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浦江伟创能源气体有限公司拟从事</w:t>
      </w:r>
      <w:r>
        <w:rPr>
          <w:rFonts w:hint="eastAsia"/>
        </w:rPr>
        <w:t>汽油、柴油（闭环闪点≤6</w:t>
      </w:r>
      <w:r>
        <w:rPr>
          <w:rFonts w:hint="eastAsia" w:ascii="宋体" w:hAnsi="宋体"/>
        </w:rPr>
        <w:t>0℃）、煤油、石油原油、天然气（富含甲烷的）、液化石油气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LNG、航空煤油、甲苯和甲烷</w:t>
      </w:r>
      <w:r>
        <w:rPr>
          <w:rFonts w:hint="eastAsia"/>
          <w:color w:val="000000"/>
        </w:rPr>
        <w:t>共41个品种的批发无仓储（零存放）经营，投资人：马费青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76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2016-08-31T02:23:37Z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