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color w:val="000000"/>
        </w:rPr>
        <w:t>浦江县千利装饰材料商行是一家从事不带储存经营危险化学</w:t>
      </w:r>
      <w:r>
        <w:rPr>
          <w:rFonts w:hint="eastAsia"/>
        </w:rPr>
        <w:t>品聚酯树脂漆类涂料、醇酸树脂漆类涂料及稀释剂，投资人严安照。企业设经营地址位于浙江省浦江县浦南街道中山南路建材市场油漆区E007-010号</w:t>
      </w:r>
      <w:r>
        <w:rPr>
          <w:rFonts w:hint="eastAsia"/>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450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2016-09-01T08:40:56Z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