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480"/>
        <w:rPr>
          <w:sz w:val="24"/>
          <w:szCs w:val="24"/>
        </w:rPr>
      </w:pPr>
      <w:r>
        <w:rPr>
          <w:rFonts w:hint="eastAsia"/>
          <w:color w:val="000000"/>
        </w:rPr>
        <w:t>浦江金辉石化有限公司拟从事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0℃）、煤油、石油原油、溶剂油、石脑油、煤焦油、煤焦沥青、异辛烷、甲基叔丁基醚（MTBE）、天然气（工业原料）、液化石油气（工业原料）</w:t>
      </w:r>
      <w:r>
        <w:rPr>
          <w:rFonts w:hint="eastAsia"/>
          <w:color w:val="000000"/>
        </w:rPr>
        <w:t>共12个品种的批发无仓储（零存放）经营，投资人：路伯会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9B92218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B02537"/>
    <w:rsid w:val="51E10317"/>
    <w:rsid w:val="55AC0064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2016-10-26T06:46:50Z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