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浦江浦益石化有限公司拟从事汽油、柴油（闭杯闪点≤6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燃料油、石油原油、溶剂油、石脑油、煤焦油、煤焦沥青、异辛烷、甲基叔丁基醚（MTBE）、天然气（工业原料）、液化石油气（工业原料）、丙烷、正丁烷、异丁烷、丙烯、苯、乙苯、沥青、喷气燃料、原料油、石油醚、二甲苯异构体混合物、1,2-二甲苯、1,3-二甲苯、1,4-二甲苯、正戊烷、异戊烷、新戊烷、1-戊烯、2-戊烯、1,2,3-三甲基苯、1,2,4-三甲基苯、1,3,5-三甲基</w:t>
      </w:r>
      <w:r>
        <w:rPr>
          <w:rFonts w:hint="eastAsia" w:ascii="宋体" w:hAnsi="宋体"/>
        </w:rPr>
        <w:t>苯、1,2,3,4-四甲苯、戊烷发泡剂</w:t>
      </w:r>
      <w:r>
        <w:rPr>
          <w:rFonts w:hint="eastAsia"/>
          <w:color w:val="000000"/>
        </w:rPr>
        <w:t>共37个品种的批发无仓储（零存放）经营，投资人：马秀明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2016-11-16T02:40:49Z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