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485"/>
        <w:rPr>
          <w:rFonts w:hint="eastAsia"/>
        </w:rPr>
      </w:pPr>
      <w:r>
        <w:t>企业应当按照本评价报告提出的整改意见，认真落实整改。整改到位（并经确认）后</w:t>
      </w:r>
      <w:r>
        <w:rPr>
          <w:rFonts w:hint="eastAsia"/>
        </w:rPr>
        <w:t>，该加油站（点）能够符合储存、使用汽油（92#、95#）的安全条件。</w:t>
      </w:r>
    </w:p>
    <w:p>
      <w:pPr>
        <w:pStyle w:val="4"/>
        <w:ind w:firstLine="485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E08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BC"/>
    <w:basedOn w:val="1"/>
    <w:qFormat/>
    <w:uiPriority w:val="0"/>
    <w:pPr>
      <w:spacing w:line="560" w:lineRule="exact"/>
      <w:ind w:firstLine="200" w:firstLineChars="200"/>
    </w:pPr>
    <w:rPr>
      <w:color w:val="000000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2016-11-24T01:11:53Z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