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浦江锦宏能源有限公司拟从事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葛志刚、冯卫国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2016-12-08T05:34:36Z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