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浙江硕怡能源有限公司拟从事汽油、柴油（闭杯闪点≤60℃）、（航空）煤油、天然气（工业原料）、液化石油气（工业原料）、石油原油、溶剂油、石脑油、甲基叔丁基醚、丙烯、苯、苯乙烯、甲醇、二甲苯、</w:t>
      </w:r>
      <w:r>
        <w:rPr>
          <w:rFonts w:hint="eastAsia" w:ascii="宋体" w:hAnsi="宋体"/>
          <w:color w:val="000000"/>
        </w:rPr>
        <w:t>煤焦油、煤焦沥青、异丁烷、乙烯、乙苯、正丁醇、异丁醇、甲苯和石油醚</w:t>
      </w:r>
      <w:r>
        <w:rPr>
          <w:rFonts w:hint="eastAsia"/>
          <w:color w:val="000000"/>
        </w:rPr>
        <w:t>共23个品种的批发无仓储（零存放）经营，投资人：许焕梅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621EEB"/>
    <w:rsid w:val="20E93596"/>
    <w:rsid w:val="21107D43"/>
    <w:rsid w:val="21520845"/>
    <w:rsid w:val="22C67157"/>
    <w:rsid w:val="232B7A0B"/>
    <w:rsid w:val="232D7916"/>
    <w:rsid w:val="247E43F7"/>
    <w:rsid w:val="24E42E62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E873CA"/>
    <w:rsid w:val="39FD7037"/>
    <w:rsid w:val="3AC7449C"/>
    <w:rsid w:val="3B762A81"/>
    <w:rsid w:val="3E2D143E"/>
    <w:rsid w:val="3E5B61F7"/>
    <w:rsid w:val="3F581743"/>
    <w:rsid w:val="411A6465"/>
    <w:rsid w:val="437C4CD3"/>
    <w:rsid w:val="44074867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60453B6"/>
    <w:rsid w:val="66097D98"/>
    <w:rsid w:val="66960F87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1794A45"/>
    <w:rsid w:val="72197FB4"/>
    <w:rsid w:val="72D95698"/>
    <w:rsid w:val="72EE0DD9"/>
    <w:rsid w:val="737B0943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2017-02-20T02:47:34Z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