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沃金天然气利用金华有限公司拟从事</w:t>
      </w:r>
      <w:r>
        <w:rPr>
          <w:rFonts w:hint="eastAsia"/>
        </w:rPr>
        <w:t>天然气（工业原料）</w:t>
      </w:r>
      <w:r>
        <w:rPr>
          <w:rFonts w:hint="eastAsia"/>
          <w:color w:val="000000"/>
        </w:rPr>
        <w:t>的批发无仓储（零存放）经营，投</w:t>
      </w:r>
      <w:bookmarkStart w:id="0" w:name="_GoBack"/>
      <w:bookmarkEnd w:id="0"/>
      <w:r>
        <w:rPr>
          <w:rFonts w:hint="eastAsia"/>
          <w:color w:val="000000"/>
        </w:rPr>
        <w:t>资人：上海沃金天然气利用有限公司，已任命主要负责人朱志鹏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0FF7526"/>
    <w:rsid w:val="21107D43"/>
    <w:rsid w:val="21520845"/>
    <w:rsid w:val="221F3B92"/>
    <w:rsid w:val="22C67157"/>
    <w:rsid w:val="232B7A0B"/>
    <w:rsid w:val="232D7916"/>
    <w:rsid w:val="242A7D5C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2017-03-02T01:08:17Z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