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浙江盛扬石化有限公司拟从事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</w:rPr>
        <w:t>氢氧化钠、1,2-二甲苯、1,3-二甲苯、1,4-二甲苯、1-丁烯和2-丁烯</w:t>
      </w:r>
      <w:r>
        <w:rPr>
          <w:rFonts w:hint="eastAsia"/>
        </w:rPr>
        <w:t>共39个品种的批</w:t>
      </w:r>
      <w:r>
        <w:rPr>
          <w:rFonts w:hint="eastAsia"/>
          <w:color w:val="000000"/>
        </w:rPr>
        <w:t>发无仓储（零存放）经营，投资人：刘学胜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6A51B1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2017-05-16T00:27:21Z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