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磐安县玉山鹏飞涂料经营部是一家从事不带储存经营危险化学品聚酯树脂漆类涂料、醇酸树脂漆类涂料及稀释剂的企业，投资人：周良飞，营业执照地址位于浙江省磐安县玉山镇西坑畈大康路33号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6577F19"/>
    <w:rsid w:val="06E83311"/>
    <w:rsid w:val="0E080B97"/>
    <w:rsid w:val="118C4AE2"/>
    <w:rsid w:val="11A03589"/>
    <w:rsid w:val="16D66180"/>
    <w:rsid w:val="1DAC32C1"/>
    <w:rsid w:val="1F970691"/>
    <w:rsid w:val="2EC44DE4"/>
    <w:rsid w:val="2ED36FE9"/>
    <w:rsid w:val="3EFF4E06"/>
    <w:rsid w:val="52CA79D0"/>
    <w:rsid w:val="54F362CD"/>
    <w:rsid w:val="58EB006C"/>
    <w:rsid w:val="5A9C089B"/>
    <w:rsid w:val="5AE866FC"/>
    <w:rsid w:val="5B314A98"/>
    <w:rsid w:val="637C309E"/>
    <w:rsid w:val="6BE071E2"/>
    <w:rsid w:val="7041036A"/>
    <w:rsid w:val="754F7969"/>
    <w:rsid w:val="775C5578"/>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2017-06-08T07:28:19Z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