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浙江长富能源有限公司是一家从事批发、零售经营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（碳四）、异丁烷、乙烷、正戊烷（碳五）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正己烷（碳六）、正庚烷（碳七）、正辛烷（碳八）、碳九、碳十、碳十一、碳十二、碳十三、碳十四、碳十五、碳十六、石蜡、燃料油、粗白油、重质油、轻质循环油、润滑油、渣油、道路沥青、喷气燃料、传导基础液、润滑剂、有色金属、矿产品、轻芳烃、重芳烃、混合芳烃、白油、导热油、冷却油、石油制品、变压器油、稀释沥青的有限责任公司，企业另有从事石油技术咨询、石油商品咨询、货物进出口、技术进出口服务（法律、行政法规禁止的项目除外；法律、行政法规限制的项目取得许可后方可经营），投资人：孙玉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DE3D9A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03D6852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