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浙江三统能源有限公司拟从事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</w:t>
      </w:r>
      <w:r>
        <w:rPr>
          <w:rFonts w:hint="eastAsia" w:ascii="宋体" w:hAnsi="宋体"/>
          <w:color w:val="000000"/>
        </w:rPr>
        <w:t>苯、氢氧化钠、1,2-二甲苯、1,3-二甲苯、1,4-二甲苯、1-丁烯、2-丁烯、石蜡、燃料油、粗白油、重质油、轻质循环油、润滑油、渣油、道路沥青、喷气燃料、传导基础液、润滑剂、有色金属、矿产品、煤炭、工艺礼品、皮革、箱包、五金交电、钢材、建材、宝石的批发、零售经营，企业另有从事石油技术咨询、石油商品咨询及货物进出口服务</w:t>
      </w:r>
      <w:r>
        <w:rPr>
          <w:rFonts w:hint="eastAsia"/>
          <w:color w:val="000000"/>
        </w:rPr>
        <w:t>，投资人：杨乾乾、夏韧旭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C4D674F"/>
    <w:rsid w:val="6E221504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2017-09-15T08:19:56Z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