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textAlignment w:val="center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浙江迪耳药业有限公司</w:t>
      </w:r>
      <w:r>
        <w:rPr>
          <w:rFonts w:hint="eastAsia" w:ascii="宋体" w:hAnsi="宋体"/>
          <w:color w:val="auto"/>
          <w:sz w:val="24"/>
        </w:rPr>
        <w:t>在中药续断总皂苷的提取过程中，企业根据生产需要，需对溶剂乙醇及萃取剂正丁醇、石油醚进行回收利用，回收的生产场地系租用浙江现代药用植物有限公司的生产车间。</w:t>
      </w:r>
    </w:p>
    <w:p>
      <w:pPr>
        <w:spacing w:line="560" w:lineRule="exact"/>
        <w:ind w:firstLine="480" w:firstLineChars="200"/>
        <w:textAlignment w:val="center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本次评价所涉及</w:t>
      </w:r>
      <w:r>
        <w:rPr>
          <w:rFonts w:hint="eastAsia" w:ascii="宋体" w:hAnsi="宋体"/>
          <w:color w:val="auto"/>
          <w:sz w:val="24"/>
        </w:rPr>
        <w:t>主要</w:t>
      </w:r>
      <w:r>
        <w:rPr>
          <w:rFonts w:ascii="宋体" w:hAnsi="宋体"/>
          <w:color w:val="auto"/>
          <w:sz w:val="24"/>
        </w:rPr>
        <w:t>是</w:t>
      </w:r>
      <w:r>
        <w:rPr>
          <w:rFonts w:hint="eastAsia" w:ascii="宋体" w:hAnsi="宋体"/>
          <w:color w:val="auto"/>
          <w:sz w:val="24"/>
        </w:rPr>
        <w:t>企业溶剂回收车间，该车间租用浙江现代药用植物有限公司厂房，</w:t>
      </w:r>
      <w:r>
        <w:rPr>
          <w:rFonts w:ascii="宋体" w:hAnsi="宋体"/>
          <w:color w:val="auto"/>
          <w:sz w:val="24"/>
        </w:rPr>
        <w:t>位于</w:t>
      </w:r>
      <w:r>
        <w:rPr>
          <w:rFonts w:hint="eastAsia" w:ascii="宋体" w:hAnsi="宋体"/>
          <w:color w:val="auto"/>
          <w:sz w:val="24"/>
        </w:rPr>
        <w:t>金华市经济技术开发区工业园美和路255号厂区内</w:t>
      </w:r>
      <w:r>
        <w:rPr>
          <w:rFonts w:ascii="宋体" w:hAnsi="宋体"/>
          <w:color w:val="auto"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2017-10-24T05:30:07Z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