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义乌市江月涂料有限公司从事不带储存经营危险化学</w:t>
      </w:r>
      <w:r>
        <w:rPr>
          <w:rFonts w:hint="eastAsia" w:ascii="宋体" w:hAnsi="宋体"/>
          <w:szCs w:val="24"/>
        </w:rPr>
        <w:t>品</w:t>
      </w:r>
      <w:r>
        <w:rPr>
          <w:rFonts w:hint="eastAsia" w:ascii="宋体" w:hAnsi="宋体" w:cs="宋体"/>
          <w:szCs w:val="24"/>
        </w:rPr>
        <w:t>聚氨酯树脂漆类涂料、丙烯酸酯类树脂漆类涂料及其</w:t>
      </w:r>
      <w:r>
        <w:rPr>
          <w:rFonts w:hint="eastAsia" w:ascii="宋体" w:hAnsi="宋体"/>
          <w:szCs w:val="24"/>
        </w:rPr>
        <w:t>稀释剂的经营，法定代表人：</w:t>
      </w:r>
      <w:r>
        <w:rPr>
          <w:rFonts w:hint="eastAsia"/>
        </w:rPr>
        <w:t>葛月飞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