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ascii="宋体" w:hAnsi="宋体" w:cs="宋体"/>
        </w:rPr>
        <w:t>浙江三美化工股份有限公司</w:t>
      </w:r>
      <w:r>
        <w:rPr>
          <w:rFonts w:hint="eastAsia" w:ascii="宋体" w:hAnsi="宋体" w:cs="宋体"/>
        </w:rPr>
        <w:t>是</w:t>
      </w:r>
      <w:r>
        <w:rPr>
          <w:rFonts w:hint="eastAsia" w:ascii="宋体" w:hAnsi="宋体" w:cs="宋体"/>
          <w:color w:val="000000"/>
          <w:lang w:val="zh-CN"/>
        </w:rPr>
        <w:t>一家从事不带储存经营危险化学品</w:t>
      </w:r>
      <w:r>
        <w:rPr>
          <w:rFonts w:hint="eastAsia" w:ascii="宋体" w:hAnsi="宋体" w:cs="宋体"/>
        </w:rPr>
        <w:t>异丁烷（R600a）、丙烷（R290）、二氟甲烷（R32）、硫酸、氢氟酸、氟硅酸、二氯甲烷、三氯乙烯、四氯乙烯、氯乙烯、三氯甲烷、氟化铵、氟化氢铵、氟硼酸、R422B、R417C、R409A和带仓储经营氢氟酸的股份有限公司。企业位于浙江省武义县城青年路胡处，法人代表胡淇翔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6026807"/>
    <w:rsid w:val="166F505B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A37F2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2018-03-06T02:55:17Z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