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4"/>
          <w:szCs w:val="44"/>
          <w:lang w:eastAsia="zh-CN"/>
        </w:rPr>
      </w:pPr>
      <w:bookmarkStart w:id="1" w:name="_Hlk51857744"/>
      <w:bookmarkStart w:id="2" w:name="_Hlk57385975"/>
      <w:r>
        <w:rPr>
          <w:rFonts w:hint="eastAsia" w:ascii="Times New Roman" w:hAnsi="Times New Roman" w:eastAsia="仿宋_GB2312" w:cs="仿宋_GB2312"/>
          <w:b/>
          <w:sz w:val="44"/>
          <w:szCs w:val="44"/>
          <w:lang w:eastAsia="zh-CN"/>
        </w:rPr>
        <w:t>浦江金理衣架有限公司</w:t>
      </w:r>
    </w:p>
    <w:bookmarkEnd w:id="1"/>
    <w:p>
      <w:pPr>
        <w:spacing w:line="800" w:lineRule="exact"/>
        <w:jc w:val="center"/>
        <w:rPr>
          <w:rFonts w:hint="eastAsia" w:ascii="Times New Roman" w:hAnsi="Times New Roman" w:eastAsia="仿宋_GB2312" w:cs="仿宋_GB2312"/>
          <w:b/>
          <w:sz w:val="44"/>
          <w:szCs w:val="44"/>
          <w:lang w:eastAsia="zh-CN"/>
        </w:rPr>
      </w:pPr>
      <w:r>
        <w:rPr>
          <w:rFonts w:hint="eastAsia" w:ascii="Times New Roman" w:hAnsi="Times New Roman" w:eastAsia="仿宋_GB2312" w:cs="仿宋_GB2312"/>
          <w:b/>
          <w:sz w:val="44"/>
          <w:szCs w:val="44"/>
          <w:lang w:eastAsia="zh-CN"/>
        </w:rPr>
        <w:t>年产1430万个衣架生产线建设项目</w:t>
      </w:r>
    </w:p>
    <w:p>
      <w:pPr>
        <w:spacing w:line="800" w:lineRule="exact"/>
        <w:jc w:val="center"/>
        <w:rPr>
          <w:rFonts w:hint="eastAsia" w:ascii="Times New Roman" w:hAnsi="Times New Roman" w:eastAsia="仿宋_GB2312" w:cs="仿宋_GB2312"/>
          <w:b/>
          <w:sz w:val="44"/>
          <w:szCs w:val="44"/>
          <w:lang w:eastAsia="zh-CN"/>
        </w:rPr>
      </w:pPr>
      <w:r>
        <w:rPr>
          <w:rFonts w:hint="eastAsia" w:ascii="Times New Roman" w:hAnsi="Times New Roman" w:eastAsia="仿宋_GB2312" w:cs="仿宋_GB2312"/>
          <w:b/>
          <w:sz w:val="44"/>
          <w:szCs w:val="44"/>
          <w:lang w:eastAsia="zh-CN"/>
        </w:rPr>
        <w:t>竣工环境保护验收监测报告</w:t>
      </w:r>
      <w:bookmarkEnd w:id="2"/>
    </w:p>
    <w:p>
      <w:pPr>
        <w:pStyle w:val="2"/>
        <w:jc w:val="center"/>
        <w:rPr>
          <w:rFonts w:hint="eastAsia" w:ascii="Times New Roman" w:hAnsi="Times New Roman" w:cs="Times New Roman"/>
          <w:b/>
          <w:sz w:val="30"/>
          <w:szCs w:val="30"/>
        </w:rPr>
      </w:pPr>
    </w:p>
    <w:p>
      <w:pPr>
        <w:pStyle w:val="3"/>
      </w:pPr>
    </w:p>
    <w:p>
      <w:pPr>
        <w:ind w:firstLine="2560" w:firstLineChars="850"/>
        <w:rPr>
          <w:rFonts w:hint="eastAsia" w:ascii="Times New Roman" w:hAnsi="Times New Roman" w:eastAsia="仿宋_GB2312" w:cs="仿宋_GB2312"/>
          <w:b/>
          <w:bCs/>
          <w:sz w:val="30"/>
          <w:szCs w:val="30"/>
          <w:lang w:eastAsia="zh-CN"/>
        </w:rPr>
      </w:pPr>
      <w:r>
        <w:rPr>
          <w:rFonts w:hint="eastAsia" w:ascii="Times New Roman" w:hAnsi="Times New Roman" w:eastAsia="仿宋_GB2312" w:cs="仿宋_GB2312"/>
          <w:b/>
          <w:bCs/>
          <w:sz w:val="30"/>
          <w:szCs w:val="30"/>
          <w:lang w:eastAsia="zh-CN"/>
        </w:rPr>
        <w:t>高鑫(验)字20220902</w:t>
      </w: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浦江金理衣架有限公司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3</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03</w:t>
      </w:r>
      <w:r>
        <w:rPr>
          <w:rFonts w:hint="eastAsia" w:ascii="Times New Roman" w:hAnsi="Times New Roman" w:eastAsia="仿宋_GB2312" w:cs="仿宋_GB2312"/>
          <w:b/>
          <w:sz w:val="28"/>
          <w:szCs w:val="28"/>
        </w:rPr>
        <w:t>月</w:t>
      </w:r>
    </w:p>
    <w:p>
      <w:pPr>
        <w:rPr>
          <w:rFonts w:ascii="Times New Roman" w:hAnsi="Times New Roman"/>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keepNext w:val="0"/>
        <w:keepLines w:val="0"/>
        <w:pageBreakBefore w:val="0"/>
        <w:widowControl/>
        <w:kinsoku/>
        <w:wordWrap/>
        <w:overflowPunct/>
        <w:topLinePunct w:val="0"/>
        <w:autoSpaceDE/>
        <w:autoSpaceDN/>
        <w:bidi w:val="0"/>
        <w:adjustRightInd/>
        <w:snapToGrid/>
        <w:spacing w:beforeAutospacing="0" w:afterAutospacing="0"/>
        <w:textAlignment w:val="auto"/>
        <w:rPr>
          <w:rFonts w:ascii="Times New Roman" w:hAnsi="Times New Roman"/>
          <w:sz w:val="10"/>
          <w:szCs w:val="10"/>
        </w:rPr>
      </w:pPr>
    </w:p>
    <w:p>
      <w:pPr>
        <w:pStyle w:val="2"/>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ascii="Times New Roman" w:hAnsi="Times New Roman"/>
          <w:sz w:val="28"/>
          <w:szCs w:val="28"/>
        </w:rPr>
        <w:drawing>
          <wp:inline distT="0" distB="0" distL="0" distR="0">
            <wp:extent cx="5274310" cy="7452995"/>
            <wp:effectExtent l="0" t="0" r="2540" b="14605"/>
            <wp:docPr id="36" name="图片 3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文本, 信件&#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7452995"/>
                    </a:xfrm>
                    <a:prstGeom prst="rect">
                      <a:avLst/>
                    </a:prstGeom>
                    <a:noFill/>
                    <a:ln>
                      <a:noFill/>
                    </a:ln>
                  </pic:spPr>
                </pic:pic>
              </a:graphicData>
            </a:graphic>
          </wp:inline>
        </w:drawing>
      </w:r>
    </w:p>
    <w:p>
      <w:pPr>
        <w:pStyle w:val="3"/>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hint="eastAsia" w:ascii="Times New Roman" w:hAnsi="Times New Roman" w:eastAsia="仿宋_GB2312" w:cs="Times New Roman"/>
          <w:b/>
          <w:color w:val="000000"/>
          <w:sz w:val="28"/>
          <w:lang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章鹏翀</w:t>
      </w:r>
    </w:p>
    <w:p>
      <w:pPr>
        <w:spacing w:line="360" w:lineRule="auto"/>
        <w:rPr>
          <w:rFonts w:hint="eastAsia" w:ascii="Times New Roman" w:hAnsi="Times New Roman" w:eastAsia="仿宋" w:cs="Times New Roman"/>
          <w:b/>
          <w:color w:val="000000"/>
          <w:sz w:val="28"/>
          <w:lang w:eastAsia="zh-CN"/>
        </w:rPr>
      </w:pPr>
      <w:r>
        <w:rPr>
          <w:rFonts w:ascii="Times New Roman" w:hAnsi="Times New Roman" w:eastAsia="仿宋" w:cs="Times New Roman"/>
          <w:b/>
          <w:color w:val="000000"/>
          <w:sz w:val="28"/>
        </w:rPr>
        <w:t>报 告 编 写 人  ：</w:t>
      </w:r>
      <w:r>
        <w:rPr>
          <w:rFonts w:hint="eastAsia" w:ascii="Times New Roman" w:hAnsi="Times New Roman" w:eastAsia="仿宋" w:cs="Times New Roman"/>
          <w:b/>
          <w:color w:val="000000"/>
          <w:sz w:val="28"/>
          <w:lang w:val="en-US" w:eastAsia="zh-CN"/>
        </w:rPr>
        <w:t>章鹏翀</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浦江金理衣架有限公司</w:t>
            </w:r>
          </w:p>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eastAsia="zh-CN"/>
              </w:rPr>
              <w:t>13600695616</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val="en-US" w:eastAsia="zh-CN"/>
              </w:rPr>
              <w:t>322204</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浙江省浦江黄宅镇中兴路99号</w:t>
            </w:r>
          </w:p>
        </w:tc>
        <w:tc>
          <w:tcPr>
            <w:tcW w:w="4261"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r>
              <w:rPr>
                <w:rFonts w:hint="eastAsia" w:ascii="Times New Roman" w:hAnsi="Times New Roman" w:eastAsia="仿宋_GB2312" w:cs="仿宋_GB2312"/>
                <w:sz w:val="28"/>
                <w:szCs w:val="28"/>
                <w:highlight w:val="none"/>
              </w:rPr>
              <w:t>：0579-82133117</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邮编：32</w:t>
            </w:r>
            <w:r>
              <w:rPr>
                <w:rFonts w:hint="eastAsia" w:ascii="Times New Roman" w:hAnsi="Times New Roman" w:eastAsia="仿宋_GB2312" w:cs="仿宋_GB2312"/>
                <w:sz w:val="28"/>
                <w:szCs w:val="28"/>
                <w:highlight w:val="none"/>
              </w:rPr>
              <w:t>10</w:t>
            </w:r>
            <w:r>
              <w:rPr>
                <w:rFonts w:hint="eastAsia" w:ascii="Times New Roman" w:hAnsi="Times New Roman" w:eastAsia="仿宋_GB2312" w:cs="仿宋_GB2312"/>
                <w:sz w:val="28"/>
                <w:szCs w:val="28"/>
                <w:highlight w:val="none"/>
                <w:lang w:val="en-US" w:eastAsia="zh-CN"/>
              </w:rPr>
              <w:t>00</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hint="default" w:ascii="Times New Roman" w:hAnsi="Times New Roman" w:cs="Times New Roman"/>
          <w:lang w:val="zh-CN"/>
        </w:rPr>
        <w:id w:val="1207214"/>
      </w:sdtPr>
      <w:sdtEndPr>
        <w:rPr>
          <w:rFonts w:hint="default" w:ascii="Times New Roman" w:hAnsi="Times New Roman" w:cs="Times New Roman"/>
          <w:lang w:val="en-US"/>
        </w:rPr>
      </w:sdtEndPr>
      <w:sdtContent>
        <w:p>
          <w:pPr>
            <w:spacing w:line="360" w:lineRule="exact"/>
            <w:jc w:val="center"/>
            <w:rPr>
              <w:rFonts w:hint="default" w:ascii="Times New Roman" w:hAnsi="Times New Roman" w:cs="Times New Roman"/>
              <w:sz w:val="24"/>
              <w:szCs w:val="24"/>
            </w:rPr>
          </w:pPr>
          <w:r>
            <w:rPr>
              <w:rFonts w:hint="default" w:ascii="Times New Roman" w:hAnsi="Times New Roman" w:cs="Times New Roman"/>
              <w:sz w:val="24"/>
              <w:szCs w:val="24"/>
            </w:rPr>
            <w:t>目录</w:t>
          </w:r>
        </w:p>
        <w:p>
          <w:pPr>
            <w:pStyle w:val="3"/>
            <w:tabs>
              <w:tab w:val="right" w:leader="dot" w:pos="8306"/>
            </w:tabs>
            <w:rPr>
              <w:rFonts w:hint="default" w:ascii="Times New Roman" w:hAnsi="Times New Roman" w:cs="Times New Roman"/>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TOC \o "1-3" \h \z \u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Cs w:val="24"/>
            </w:rPr>
            <w:fldChar w:fldCharType="begin"/>
          </w:r>
          <w:r>
            <w:rPr>
              <w:rFonts w:hint="default" w:ascii="Times New Roman" w:hAnsi="Times New Roman" w:cs="Times New Roman" w:eastAsiaTheme="minorEastAsia"/>
              <w:szCs w:val="24"/>
            </w:rPr>
            <w:instrText xml:space="preserve"> HYPERLINK \l _Toc29261 </w:instrText>
          </w:r>
          <w:r>
            <w:rPr>
              <w:rFonts w:hint="default" w:ascii="Times New Roman" w:hAnsi="Times New Roman" w:cs="Times New Roman" w:eastAsiaTheme="minorEastAsia"/>
              <w:szCs w:val="24"/>
            </w:rPr>
            <w:fldChar w:fldCharType="separate"/>
          </w:r>
          <w:r>
            <w:rPr>
              <w:rFonts w:hint="default" w:ascii="Times New Roman" w:hAnsi="Times New Roman" w:cs="Times New Roman"/>
            </w:rPr>
            <w:t>1项目概况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_Toc29261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eastAsiaTheme="minorEastAsia"/>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_Toc17750 </w:instrText>
          </w:r>
          <w:r>
            <w:rPr>
              <w:rFonts w:hint="default" w:ascii="Times New Roman" w:hAnsi="Times New Roman" w:cs="Times New Roman"/>
              <w:szCs w:val="24"/>
            </w:rPr>
            <w:fldChar w:fldCharType="separate"/>
          </w:r>
          <w:r>
            <w:rPr>
              <w:rFonts w:hint="default" w:ascii="Times New Roman" w:hAnsi="Times New Roman" w:cs="Times New Roman"/>
            </w:rPr>
            <w:t>2验收依据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_Toc17750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_Toc3043 </w:instrText>
          </w:r>
          <w:r>
            <w:rPr>
              <w:rFonts w:hint="default" w:ascii="Times New Roman" w:hAnsi="Times New Roman" w:cs="Times New Roman"/>
              <w:szCs w:val="24"/>
            </w:rPr>
            <w:fldChar w:fldCharType="separate"/>
          </w:r>
          <w:r>
            <w:rPr>
              <w:rFonts w:hint="default" w:ascii="Times New Roman" w:hAnsi="Times New Roman" w:eastAsia="宋体" w:cs="Times New Roman"/>
            </w:rPr>
            <w:t>2.1建设项目环境保护相关法律、法规和规章制度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_Toc3043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_Toc23858 </w:instrText>
          </w:r>
          <w:r>
            <w:rPr>
              <w:rFonts w:hint="default" w:ascii="Times New Roman" w:hAnsi="Times New Roman" w:cs="Times New Roman"/>
              <w:szCs w:val="24"/>
            </w:rPr>
            <w:fldChar w:fldCharType="separate"/>
          </w:r>
          <w:r>
            <w:rPr>
              <w:rFonts w:hint="default" w:ascii="Times New Roman" w:hAnsi="Times New Roman" w:eastAsia="宋体" w:cs="Times New Roman"/>
            </w:rPr>
            <w:t>2.2建设项目竣工环境保护验收技术规范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_Toc23858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_Toc3727 </w:instrText>
          </w:r>
          <w:r>
            <w:rPr>
              <w:rFonts w:hint="default" w:ascii="Times New Roman" w:hAnsi="Times New Roman" w:cs="Times New Roman"/>
              <w:szCs w:val="24"/>
            </w:rPr>
            <w:fldChar w:fldCharType="separate"/>
          </w:r>
          <w:r>
            <w:rPr>
              <w:rFonts w:hint="default" w:ascii="Times New Roman" w:hAnsi="Times New Roman" w:eastAsia="宋体" w:cs="Times New Roman"/>
            </w:rPr>
            <w:t>2.3建设</w:t>
          </w:r>
          <w:r>
            <w:rPr>
              <w:rFonts w:hint="default" w:ascii="Times New Roman" w:hAnsi="Times New Roman" w:eastAsia="宋体" w:cs="Times New Roman"/>
              <w:lang w:eastAsia="zh-CN"/>
            </w:rPr>
            <w:t>项目环境影响报告表</w:t>
          </w:r>
          <w:r>
            <w:rPr>
              <w:rFonts w:hint="default" w:ascii="Times New Roman" w:hAnsi="Times New Roman" w:eastAsia="宋体" w:cs="Times New Roman"/>
            </w:rPr>
            <w:t>及其审批部门审批决定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_Toc3727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_Toc3595 </w:instrText>
          </w:r>
          <w:r>
            <w:rPr>
              <w:rFonts w:hint="default" w:ascii="Times New Roman" w:hAnsi="Times New Roman" w:cs="Times New Roman"/>
              <w:szCs w:val="24"/>
            </w:rPr>
            <w:fldChar w:fldCharType="separate"/>
          </w:r>
          <w:r>
            <w:rPr>
              <w:rFonts w:hint="default" w:ascii="Times New Roman" w:hAnsi="Times New Roman" w:eastAsia="宋体" w:cs="Times New Roman"/>
            </w:rPr>
            <w:t>2.4其他相关文件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_Toc3595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_Toc2705 </w:instrText>
          </w:r>
          <w:r>
            <w:rPr>
              <w:rFonts w:hint="default" w:ascii="Times New Roman" w:hAnsi="Times New Roman" w:cs="Times New Roman"/>
              <w:szCs w:val="24"/>
            </w:rPr>
            <w:fldChar w:fldCharType="separate"/>
          </w:r>
          <w:r>
            <w:rPr>
              <w:rFonts w:hint="default" w:ascii="Times New Roman" w:hAnsi="Times New Roman" w:cs="Times New Roman"/>
            </w:rPr>
            <w:t>3项目建设情况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_Toc2705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_Toc17149 </w:instrText>
          </w:r>
          <w:r>
            <w:rPr>
              <w:rFonts w:hint="default" w:ascii="Times New Roman" w:hAnsi="Times New Roman" w:cs="Times New Roman"/>
              <w:szCs w:val="24"/>
            </w:rPr>
            <w:fldChar w:fldCharType="separate"/>
          </w:r>
          <w:r>
            <w:rPr>
              <w:rFonts w:hint="default" w:ascii="Times New Roman" w:hAnsi="Times New Roman" w:eastAsia="宋体" w:cs="Times New Roman"/>
            </w:rPr>
            <w:t>3.1地理位置及平面布置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_Toc17149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_Toc29421 </w:instrText>
          </w:r>
          <w:r>
            <w:rPr>
              <w:rFonts w:hint="default" w:ascii="Times New Roman" w:hAnsi="Times New Roman" w:cs="Times New Roman"/>
              <w:szCs w:val="24"/>
            </w:rPr>
            <w:fldChar w:fldCharType="separate"/>
          </w:r>
          <w:r>
            <w:rPr>
              <w:rFonts w:hint="default" w:ascii="Times New Roman" w:hAnsi="Times New Roman" w:eastAsia="宋体" w:cs="Times New Roman"/>
            </w:rPr>
            <w:t>3.2建设内容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_Toc29421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_Toc28148 </w:instrText>
          </w:r>
          <w:r>
            <w:rPr>
              <w:rFonts w:hint="default" w:ascii="Times New Roman" w:hAnsi="Times New Roman" w:cs="Times New Roman"/>
              <w:szCs w:val="24"/>
            </w:rPr>
            <w:fldChar w:fldCharType="separate"/>
          </w:r>
          <w:r>
            <w:rPr>
              <w:rFonts w:hint="default" w:ascii="Times New Roman" w:hAnsi="Times New Roman" w:eastAsia="宋体" w:cs="Times New Roman"/>
            </w:rPr>
            <w:t>3.3主要原辅材料及燃料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_Toc28148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_Toc22792 </w:instrText>
          </w:r>
          <w:r>
            <w:rPr>
              <w:rFonts w:hint="default" w:ascii="Times New Roman" w:hAnsi="Times New Roman" w:cs="Times New Roman"/>
              <w:szCs w:val="24"/>
            </w:rPr>
            <w:fldChar w:fldCharType="separate"/>
          </w:r>
          <w:r>
            <w:rPr>
              <w:rFonts w:hint="default" w:ascii="Times New Roman" w:hAnsi="Times New Roman" w:eastAsia="宋体" w:cs="Times New Roman"/>
            </w:rPr>
            <w:t>3.4水源及水平衡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_Toc22792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_Toc19774 </w:instrText>
          </w:r>
          <w:r>
            <w:rPr>
              <w:rFonts w:hint="default" w:ascii="Times New Roman" w:hAnsi="Times New Roman" w:cs="Times New Roman"/>
              <w:szCs w:val="24"/>
            </w:rPr>
            <w:fldChar w:fldCharType="separate"/>
          </w:r>
          <w:r>
            <w:rPr>
              <w:rFonts w:hint="default" w:ascii="Times New Roman" w:hAnsi="Times New Roman" w:eastAsia="宋体" w:cs="Times New Roman"/>
            </w:rPr>
            <w:t>3.5生产工艺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_Toc19774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_Toc12916 </w:instrText>
          </w:r>
          <w:r>
            <w:rPr>
              <w:rFonts w:hint="default" w:ascii="Times New Roman" w:hAnsi="Times New Roman" w:cs="Times New Roman"/>
              <w:szCs w:val="24"/>
            </w:rPr>
            <w:fldChar w:fldCharType="separate"/>
          </w:r>
          <w:r>
            <w:rPr>
              <w:rFonts w:hint="default" w:ascii="Times New Roman" w:hAnsi="Times New Roman" w:eastAsia="宋体" w:cs="Times New Roman"/>
            </w:rPr>
            <w:t>3.6主要生产设备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_Toc12916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_Toc22204 </w:instrText>
          </w:r>
          <w:r>
            <w:rPr>
              <w:rFonts w:hint="default" w:ascii="Times New Roman" w:hAnsi="Times New Roman" w:cs="Times New Roman"/>
              <w:szCs w:val="24"/>
            </w:rPr>
            <w:fldChar w:fldCharType="separate"/>
          </w:r>
          <w:r>
            <w:rPr>
              <w:rFonts w:hint="default" w:ascii="Times New Roman" w:hAnsi="Times New Roman" w:eastAsia="宋体" w:cs="Times New Roman"/>
            </w:rPr>
            <w:t>3.7</w:t>
          </w:r>
          <w:r>
            <w:rPr>
              <w:rFonts w:hint="default" w:ascii="Times New Roman" w:hAnsi="Times New Roman" w:eastAsia="宋体" w:cs="Times New Roman"/>
              <w:highlight w:val="none"/>
            </w:rPr>
            <w:t>项目变动情况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_Toc22204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_Toc25048 </w:instrText>
          </w:r>
          <w:r>
            <w:rPr>
              <w:rFonts w:hint="default" w:ascii="Times New Roman" w:hAnsi="Times New Roman" w:cs="Times New Roman"/>
              <w:szCs w:val="24"/>
            </w:rPr>
            <w:fldChar w:fldCharType="separate"/>
          </w:r>
          <w:r>
            <w:rPr>
              <w:rFonts w:hint="default" w:ascii="Times New Roman" w:hAnsi="Times New Roman" w:cs="Times New Roman"/>
            </w:rPr>
            <w:t>4环境保护设施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_Toc25048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_Toc15766 </w:instrText>
          </w:r>
          <w:r>
            <w:rPr>
              <w:rFonts w:hint="default" w:ascii="Times New Roman" w:hAnsi="Times New Roman" w:cs="Times New Roman"/>
              <w:szCs w:val="24"/>
            </w:rPr>
            <w:fldChar w:fldCharType="separate"/>
          </w:r>
          <w:r>
            <w:rPr>
              <w:rFonts w:hint="default" w:ascii="Times New Roman" w:hAnsi="Times New Roman" w:eastAsia="宋体" w:cs="Times New Roman"/>
            </w:rPr>
            <w:t>4.1污染物治理/处置设施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_Toc15766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_Toc17493 </w:instrText>
          </w:r>
          <w:r>
            <w:rPr>
              <w:rFonts w:hint="default" w:ascii="Times New Roman" w:hAnsi="Times New Roman" w:cs="Times New Roman"/>
              <w:szCs w:val="24"/>
            </w:rPr>
            <w:fldChar w:fldCharType="separate"/>
          </w:r>
          <w:r>
            <w:rPr>
              <w:rFonts w:hint="default" w:ascii="Times New Roman" w:hAnsi="Times New Roman" w:cs="Times New Roman"/>
            </w:rPr>
            <w:t>4.1.1废水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_Toc17493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_Toc28321 </w:instrText>
          </w:r>
          <w:r>
            <w:rPr>
              <w:rFonts w:hint="default" w:ascii="Times New Roman" w:hAnsi="Times New Roman" w:cs="Times New Roman"/>
              <w:szCs w:val="24"/>
            </w:rPr>
            <w:fldChar w:fldCharType="separate"/>
          </w:r>
          <w:r>
            <w:rPr>
              <w:rFonts w:hint="default" w:ascii="Times New Roman" w:hAnsi="Times New Roman" w:cs="Times New Roman"/>
            </w:rPr>
            <w:t>4.1.2废气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_Toc28321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_Toc20184 </w:instrText>
          </w:r>
          <w:r>
            <w:rPr>
              <w:rFonts w:hint="default" w:ascii="Times New Roman" w:hAnsi="Times New Roman" w:cs="Times New Roman"/>
              <w:szCs w:val="24"/>
            </w:rPr>
            <w:fldChar w:fldCharType="separate"/>
          </w:r>
          <w:r>
            <w:rPr>
              <w:rFonts w:hint="default" w:ascii="Times New Roman" w:hAnsi="Times New Roman" w:cs="Times New Roman"/>
            </w:rPr>
            <w:t>4.1.3噪声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_Toc20184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_Toc210 </w:instrText>
          </w:r>
          <w:r>
            <w:rPr>
              <w:rFonts w:hint="default" w:ascii="Times New Roman" w:hAnsi="Times New Roman" w:cs="Times New Roman"/>
              <w:szCs w:val="24"/>
            </w:rPr>
            <w:fldChar w:fldCharType="separate"/>
          </w:r>
          <w:r>
            <w:rPr>
              <w:rFonts w:hint="default" w:ascii="Times New Roman" w:hAnsi="Times New Roman" w:cs="Times New Roman"/>
            </w:rPr>
            <w:t>4.1.4</w:t>
          </w:r>
          <w:r>
            <w:rPr>
              <w:rFonts w:hint="default" w:ascii="Times New Roman" w:hAnsi="Times New Roman" w:cs="Times New Roman"/>
              <w:highlight w:val="none"/>
            </w:rPr>
            <w:t>固</w:t>
          </w:r>
          <w:r>
            <w:rPr>
              <w:rFonts w:hint="default" w:ascii="Times New Roman" w:hAnsi="Times New Roman" w:cs="Times New Roman"/>
              <w:highlight w:val="none"/>
              <w:lang w:eastAsia="zh-CN"/>
            </w:rPr>
            <w:t>（液）</w:t>
          </w:r>
          <w:r>
            <w:rPr>
              <w:rFonts w:hint="default" w:ascii="Times New Roman" w:hAnsi="Times New Roman" w:cs="Times New Roman"/>
            </w:rPr>
            <w:t>体废物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_Toc210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_Toc25400 </w:instrText>
          </w:r>
          <w:r>
            <w:rPr>
              <w:rFonts w:hint="default" w:ascii="Times New Roman" w:hAnsi="Times New Roman" w:cs="Times New Roman"/>
              <w:szCs w:val="24"/>
            </w:rPr>
            <w:fldChar w:fldCharType="separate"/>
          </w:r>
          <w:r>
            <w:rPr>
              <w:rFonts w:hint="default" w:ascii="Times New Roman" w:hAnsi="Times New Roman" w:eastAsia="宋体" w:cs="Times New Roman"/>
            </w:rPr>
            <w:t>4.2其他环境保护设施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_Toc25400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_Toc17015 </w:instrText>
          </w:r>
          <w:r>
            <w:rPr>
              <w:rFonts w:hint="default" w:ascii="Times New Roman" w:hAnsi="Times New Roman" w:cs="Times New Roman"/>
              <w:szCs w:val="24"/>
            </w:rPr>
            <w:fldChar w:fldCharType="separate"/>
          </w:r>
          <w:r>
            <w:rPr>
              <w:rFonts w:hint="default" w:ascii="Times New Roman" w:hAnsi="Times New Roman" w:cs="Times New Roman"/>
            </w:rPr>
            <w:t>4.2.1环境风险防范设施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_Toc17015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_Toc790 </w:instrText>
          </w:r>
          <w:r>
            <w:rPr>
              <w:rFonts w:hint="default" w:ascii="Times New Roman" w:hAnsi="Times New Roman" w:cs="Times New Roman"/>
              <w:szCs w:val="24"/>
            </w:rPr>
            <w:fldChar w:fldCharType="separate"/>
          </w:r>
          <w:r>
            <w:rPr>
              <w:rFonts w:hint="default" w:ascii="Times New Roman" w:hAnsi="Times New Roman" w:cs="Times New Roman"/>
            </w:rPr>
            <w:t>4.2.2规范化排污口、监测设施及在线监测装置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_Toc790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_Toc4367 </w:instrText>
          </w:r>
          <w:r>
            <w:rPr>
              <w:rFonts w:hint="default" w:ascii="Times New Roman" w:hAnsi="Times New Roman" w:cs="Times New Roman"/>
              <w:szCs w:val="24"/>
            </w:rPr>
            <w:fldChar w:fldCharType="separate"/>
          </w:r>
          <w:r>
            <w:rPr>
              <w:rFonts w:hint="default" w:ascii="Times New Roman" w:hAnsi="Times New Roman" w:cs="Times New Roman"/>
            </w:rPr>
            <w:t>4.2.3其他设施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_Toc4367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_Toc30418 </w:instrText>
          </w:r>
          <w:r>
            <w:rPr>
              <w:rFonts w:hint="default" w:ascii="Times New Roman" w:hAnsi="Times New Roman" w:cs="Times New Roman"/>
              <w:szCs w:val="24"/>
            </w:rPr>
            <w:fldChar w:fldCharType="separate"/>
          </w:r>
          <w:r>
            <w:rPr>
              <w:rFonts w:hint="default" w:ascii="Times New Roman" w:hAnsi="Times New Roman" w:eastAsia="宋体" w:cs="Times New Roman"/>
            </w:rPr>
            <w:t>4.3环保设施投资及“三同时”落实情况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_Toc30418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_Toc22768 </w:instrText>
          </w:r>
          <w:r>
            <w:rPr>
              <w:rFonts w:hint="default" w:ascii="Times New Roman" w:hAnsi="Times New Roman" w:cs="Times New Roman"/>
              <w:szCs w:val="24"/>
            </w:rPr>
            <w:fldChar w:fldCharType="separate"/>
          </w:r>
          <w:r>
            <w:rPr>
              <w:rFonts w:hint="default" w:ascii="Times New Roman" w:hAnsi="Times New Roman" w:cs="Times New Roman"/>
            </w:rPr>
            <w:t>4.3.1 环保设施投资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_Toc22768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_Toc28948 </w:instrText>
          </w:r>
          <w:r>
            <w:rPr>
              <w:rFonts w:hint="default" w:ascii="Times New Roman" w:hAnsi="Times New Roman" w:cs="Times New Roman"/>
              <w:szCs w:val="24"/>
            </w:rPr>
            <w:fldChar w:fldCharType="separate"/>
          </w:r>
          <w:r>
            <w:rPr>
              <w:rFonts w:hint="default" w:ascii="Times New Roman" w:hAnsi="Times New Roman" w:cs="Times New Roman"/>
            </w:rPr>
            <w:t>4.3.2 “三同时”落实情况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_Toc28948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_Toc17186 </w:instrText>
          </w:r>
          <w:r>
            <w:rPr>
              <w:rFonts w:hint="default" w:ascii="Times New Roman" w:hAnsi="Times New Roman" w:cs="Times New Roman"/>
              <w:szCs w:val="24"/>
            </w:rPr>
            <w:fldChar w:fldCharType="separate"/>
          </w:r>
          <w:r>
            <w:rPr>
              <w:rFonts w:hint="default" w:ascii="Times New Roman" w:hAnsi="Times New Roman" w:cs="Times New Roman"/>
            </w:rPr>
            <w:t>5建设项目</w:t>
          </w:r>
          <w:r>
            <w:rPr>
              <w:rFonts w:hint="default" w:ascii="Times New Roman" w:hAnsi="Times New Roman" w:cs="Times New Roman"/>
              <w:lang w:eastAsia="zh-CN"/>
            </w:rPr>
            <w:t>环评报告</w:t>
          </w:r>
          <w:r>
            <w:rPr>
              <w:rFonts w:hint="default" w:ascii="Times New Roman" w:hAnsi="Times New Roman" w:cs="Times New Roman"/>
            </w:rPr>
            <w:t>的主要结论与建议及其审批部门审批决定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_Toc17186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_Toc15290 </w:instrText>
          </w:r>
          <w:r>
            <w:rPr>
              <w:rFonts w:hint="default" w:ascii="Times New Roman" w:hAnsi="Times New Roman" w:cs="Times New Roman"/>
              <w:szCs w:val="24"/>
            </w:rPr>
            <w:fldChar w:fldCharType="separate"/>
          </w:r>
          <w:r>
            <w:rPr>
              <w:rFonts w:hint="default" w:ascii="Times New Roman" w:hAnsi="Times New Roman" w:eastAsia="宋体" w:cs="Times New Roman"/>
            </w:rPr>
            <w:t>5.1建设项目</w:t>
          </w:r>
          <w:r>
            <w:rPr>
              <w:rFonts w:hint="default" w:ascii="Times New Roman" w:hAnsi="Times New Roman" w:eastAsia="宋体" w:cs="Times New Roman"/>
              <w:lang w:eastAsia="zh-CN"/>
            </w:rPr>
            <w:t>环评报告</w:t>
          </w:r>
          <w:r>
            <w:rPr>
              <w:rFonts w:hint="default" w:ascii="Times New Roman" w:hAnsi="Times New Roman" w:eastAsia="宋体" w:cs="Times New Roman"/>
            </w:rPr>
            <w:t>的主要结论与建议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_Toc15290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_Toc2842 </w:instrText>
          </w:r>
          <w:r>
            <w:rPr>
              <w:rFonts w:hint="default" w:ascii="Times New Roman" w:hAnsi="Times New Roman" w:cs="Times New Roman"/>
              <w:szCs w:val="24"/>
            </w:rPr>
            <w:fldChar w:fldCharType="separate"/>
          </w:r>
          <w:r>
            <w:rPr>
              <w:rFonts w:hint="default" w:ascii="Times New Roman" w:hAnsi="Times New Roman" w:eastAsia="宋体" w:cs="Times New Roman"/>
            </w:rPr>
            <w:t>5.2审批部门审批决定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_Toc2842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_Toc8497 </w:instrText>
          </w:r>
          <w:r>
            <w:rPr>
              <w:rFonts w:hint="default" w:ascii="Times New Roman" w:hAnsi="Times New Roman" w:cs="Times New Roman"/>
              <w:szCs w:val="24"/>
            </w:rPr>
            <w:fldChar w:fldCharType="separate"/>
          </w:r>
          <w:r>
            <w:rPr>
              <w:rFonts w:hint="default" w:ascii="Times New Roman" w:hAnsi="Times New Roman" w:cs="Times New Roman"/>
            </w:rPr>
            <w:t>6验收执行标准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_Toc8497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_Toc823 </w:instrText>
          </w:r>
          <w:r>
            <w:rPr>
              <w:rFonts w:hint="default" w:ascii="Times New Roman" w:hAnsi="Times New Roman" w:cs="Times New Roman"/>
              <w:szCs w:val="24"/>
            </w:rPr>
            <w:fldChar w:fldCharType="separate"/>
          </w:r>
          <w:r>
            <w:rPr>
              <w:rFonts w:hint="default" w:ascii="Times New Roman" w:hAnsi="Times New Roman" w:eastAsia="宋体" w:cs="Times New Roman"/>
            </w:rPr>
            <w:t>6.1废水验收执行标准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_Toc823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_Toc7544 </w:instrText>
          </w:r>
          <w:r>
            <w:rPr>
              <w:rFonts w:hint="default" w:ascii="Times New Roman" w:hAnsi="Times New Roman" w:cs="Times New Roman"/>
              <w:szCs w:val="24"/>
            </w:rPr>
            <w:fldChar w:fldCharType="separate"/>
          </w:r>
          <w:r>
            <w:rPr>
              <w:rFonts w:hint="default" w:ascii="Times New Roman" w:hAnsi="Times New Roman" w:eastAsia="宋体" w:cs="Times New Roman"/>
            </w:rPr>
            <w:t>6.2废气验收执行标准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_Toc7544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_Toc17961 </w:instrText>
          </w:r>
          <w:r>
            <w:rPr>
              <w:rFonts w:hint="default" w:ascii="Times New Roman" w:hAnsi="Times New Roman" w:cs="Times New Roman"/>
              <w:szCs w:val="24"/>
            </w:rPr>
            <w:fldChar w:fldCharType="separate"/>
          </w:r>
          <w:r>
            <w:rPr>
              <w:rFonts w:hint="default" w:ascii="Times New Roman" w:hAnsi="Times New Roman" w:eastAsia="宋体" w:cs="Times New Roman"/>
            </w:rPr>
            <w:t>6.3噪声验收执行标准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_Toc17961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_Toc31845 </w:instrText>
          </w:r>
          <w:r>
            <w:rPr>
              <w:rFonts w:hint="default" w:ascii="Times New Roman" w:hAnsi="Times New Roman" w:cs="Times New Roman"/>
              <w:szCs w:val="24"/>
            </w:rPr>
            <w:fldChar w:fldCharType="separate"/>
          </w:r>
          <w:r>
            <w:rPr>
              <w:rFonts w:hint="default" w:ascii="Times New Roman" w:hAnsi="Times New Roman" w:eastAsia="宋体" w:cs="Times New Roman"/>
            </w:rPr>
            <w:t>6.4固废验收执行标准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_Toc31845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_Toc17591 </w:instrText>
          </w:r>
          <w:r>
            <w:rPr>
              <w:rFonts w:hint="default" w:ascii="Times New Roman" w:hAnsi="Times New Roman" w:cs="Times New Roman"/>
              <w:szCs w:val="24"/>
            </w:rPr>
            <w:fldChar w:fldCharType="separate"/>
          </w:r>
          <w:r>
            <w:rPr>
              <w:rFonts w:hint="default" w:ascii="Times New Roman" w:hAnsi="Times New Roman" w:eastAsia="宋体" w:cs="Times New Roman"/>
            </w:rPr>
            <w:t>6.5主要污染物排放总量控制指标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_Toc17591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_Toc30431 </w:instrText>
          </w:r>
          <w:r>
            <w:rPr>
              <w:rFonts w:hint="default" w:ascii="Times New Roman" w:hAnsi="Times New Roman" w:cs="Times New Roman"/>
              <w:szCs w:val="24"/>
            </w:rPr>
            <w:fldChar w:fldCharType="separate"/>
          </w:r>
          <w:r>
            <w:rPr>
              <w:rFonts w:hint="default" w:ascii="Times New Roman" w:hAnsi="Times New Roman" w:cs="Times New Roman"/>
            </w:rPr>
            <w:t>7验收监测内容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_Toc30431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_Toc6775 </w:instrText>
          </w:r>
          <w:r>
            <w:rPr>
              <w:rFonts w:hint="default" w:ascii="Times New Roman" w:hAnsi="Times New Roman" w:cs="Times New Roman"/>
              <w:szCs w:val="24"/>
            </w:rPr>
            <w:fldChar w:fldCharType="separate"/>
          </w:r>
          <w:r>
            <w:rPr>
              <w:rFonts w:hint="default" w:ascii="Times New Roman" w:hAnsi="Times New Roman" w:eastAsia="宋体" w:cs="Times New Roman"/>
            </w:rPr>
            <w:t>7.1环境保护设施调试运行效果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_Toc6775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_Toc12081 </w:instrText>
          </w:r>
          <w:r>
            <w:rPr>
              <w:rFonts w:hint="default" w:ascii="Times New Roman" w:hAnsi="Times New Roman" w:cs="Times New Roman"/>
              <w:szCs w:val="24"/>
            </w:rPr>
            <w:fldChar w:fldCharType="separate"/>
          </w:r>
          <w:r>
            <w:rPr>
              <w:rFonts w:hint="default" w:ascii="Times New Roman" w:hAnsi="Times New Roman" w:cs="Times New Roman"/>
            </w:rPr>
            <w:t>7.1.1废水验收监测内容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_Toc12081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_Toc10608 </w:instrText>
          </w:r>
          <w:r>
            <w:rPr>
              <w:rFonts w:hint="default" w:ascii="Times New Roman" w:hAnsi="Times New Roman" w:cs="Times New Roman"/>
              <w:szCs w:val="24"/>
            </w:rPr>
            <w:fldChar w:fldCharType="separate"/>
          </w:r>
          <w:r>
            <w:rPr>
              <w:rFonts w:hint="default" w:ascii="Times New Roman" w:hAnsi="Times New Roman" w:cs="Times New Roman"/>
            </w:rPr>
            <w:t>7.1.2废气验收监测内容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_Toc10608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_Toc11422 </w:instrText>
          </w:r>
          <w:r>
            <w:rPr>
              <w:rFonts w:hint="default" w:ascii="Times New Roman" w:hAnsi="Times New Roman" w:cs="Times New Roman"/>
              <w:szCs w:val="24"/>
            </w:rPr>
            <w:fldChar w:fldCharType="separate"/>
          </w:r>
          <w:r>
            <w:rPr>
              <w:rFonts w:hint="default" w:ascii="Times New Roman" w:hAnsi="Times New Roman" w:cs="Times New Roman"/>
            </w:rPr>
            <w:t>7.1.3厂界噪声监测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_Toc11422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_Toc15305 </w:instrText>
          </w:r>
          <w:r>
            <w:rPr>
              <w:rFonts w:hint="default" w:ascii="Times New Roman" w:hAnsi="Times New Roman" w:cs="Times New Roman"/>
              <w:szCs w:val="24"/>
            </w:rPr>
            <w:fldChar w:fldCharType="separate"/>
          </w:r>
          <w:r>
            <w:rPr>
              <w:rFonts w:hint="default" w:ascii="Times New Roman" w:hAnsi="Times New Roman" w:cs="Times New Roman"/>
            </w:rPr>
            <w:t>7.1.4采样点位布置图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_Toc15305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_Toc14550 </w:instrText>
          </w:r>
          <w:r>
            <w:rPr>
              <w:rFonts w:hint="default" w:ascii="Times New Roman" w:hAnsi="Times New Roman" w:cs="Times New Roman"/>
              <w:szCs w:val="24"/>
            </w:rPr>
            <w:fldChar w:fldCharType="separate"/>
          </w:r>
          <w:r>
            <w:rPr>
              <w:rFonts w:hint="default" w:ascii="Times New Roman" w:hAnsi="Times New Roman" w:cs="Times New Roman"/>
            </w:rPr>
            <w:t>8质量保证及质量控制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_Toc14550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_Toc9200 </w:instrText>
          </w:r>
          <w:r>
            <w:rPr>
              <w:rFonts w:hint="default" w:ascii="Times New Roman" w:hAnsi="Times New Roman" w:cs="Times New Roman"/>
              <w:szCs w:val="24"/>
            </w:rPr>
            <w:fldChar w:fldCharType="separate"/>
          </w:r>
          <w:r>
            <w:rPr>
              <w:rFonts w:hint="default" w:ascii="Times New Roman" w:hAnsi="Times New Roman" w:eastAsia="宋体" w:cs="Times New Roman"/>
            </w:rPr>
            <w:t>8.1监测分析方法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_Toc9200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_Toc22033 </w:instrText>
          </w:r>
          <w:r>
            <w:rPr>
              <w:rFonts w:hint="default" w:ascii="Times New Roman" w:hAnsi="Times New Roman" w:cs="Times New Roman"/>
              <w:szCs w:val="24"/>
            </w:rPr>
            <w:fldChar w:fldCharType="separate"/>
          </w:r>
          <w:r>
            <w:rPr>
              <w:rFonts w:hint="default" w:ascii="Times New Roman" w:hAnsi="Times New Roman" w:eastAsia="宋体" w:cs="Times New Roman"/>
            </w:rPr>
            <w:t>8.2监测仪器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_Toc22033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_Toc22228 </w:instrText>
          </w:r>
          <w:r>
            <w:rPr>
              <w:rFonts w:hint="default" w:ascii="Times New Roman" w:hAnsi="Times New Roman" w:cs="Times New Roman"/>
              <w:szCs w:val="24"/>
            </w:rPr>
            <w:fldChar w:fldCharType="separate"/>
          </w:r>
          <w:r>
            <w:rPr>
              <w:rFonts w:hint="default" w:ascii="Times New Roman" w:hAnsi="Times New Roman" w:eastAsia="宋体" w:cs="Times New Roman"/>
            </w:rPr>
            <w:t>8.3人员能力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_Toc22228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_Toc31430 </w:instrText>
          </w:r>
          <w:r>
            <w:rPr>
              <w:rFonts w:hint="default" w:ascii="Times New Roman" w:hAnsi="Times New Roman" w:cs="Times New Roman"/>
              <w:szCs w:val="24"/>
            </w:rPr>
            <w:fldChar w:fldCharType="separate"/>
          </w:r>
          <w:r>
            <w:rPr>
              <w:rFonts w:hint="default" w:ascii="Times New Roman" w:hAnsi="Times New Roman" w:eastAsia="宋体" w:cs="Times New Roman"/>
            </w:rPr>
            <w:t>8.4水质监测分析过程中的质量保证和质量控制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_Toc31430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_Toc6449 </w:instrText>
          </w:r>
          <w:r>
            <w:rPr>
              <w:rFonts w:hint="default" w:ascii="Times New Roman" w:hAnsi="Times New Roman" w:cs="Times New Roman"/>
              <w:szCs w:val="24"/>
            </w:rPr>
            <w:fldChar w:fldCharType="separate"/>
          </w:r>
          <w:r>
            <w:rPr>
              <w:rFonts w:hint="default" w:ascii="Times New Roman" w:hAnsi="Times New Roman" w:eastAsia="宋体" w:cs="Times New Roman"/>
            </w:rPr>
            <w:t>8.5气体监测分析过程中的质量保证和质量控制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_Toc6449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_Toc26717 </w:instrText>
          </w:r>
          <w:r>
            <w:rPr>
              <w:rFonts w:hint="default" w:ascii="Times New Roman" w:hAnsi="Times New Roman" w:cs="Times New Roman"/>
              <w:szCs w:val="24"/>
            </w:rPr>
            <w:fldChar w:fldCharType="separate"/>
          </w:r>
          <w:r>
            <w:rPr>
              <w:rFonts w:hint="default" w:ascii="Times New Roman" w:hAnsi="Times New Roman" w:eastAsia="宋体" w:cs="Times New Roman"/>
            </w:rPr>
            <w:t>8.6噪声监测分析过程中的质量保证和质量控制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_Toc26717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_Toc24576 </w:instrText>
          </w:r>
          <w:r>
            <w:rPr>
              <w:rFonts w:hint="default" w:ascii="Times New Roman" w:hAnsi="Times New Roman" w:cs="Times New Roman"/>
              <w:szCs w:val="24"/>
            </w:rPr>
            <w:fldChar w:fldCharType="separate"/>
          </w:r>
          <w:r>
            <w:rPr>
              <w:rFonts w:hint="default" w:ascii="Times New Roman" w:hAnsi="Times New Roman" w:eastAsia="宋体" w:cs="Times New Roman"/>
            </w:rPr>
            <w:t>8.7采样记录及分析结果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_Toc24576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_Toc23640 </w:instrText>
          </w:r>
          <w:r>
            <w:rPr>
              <w:rFonts w:hint="default" w:ascii="Times New Roman" w:hAnsi="Times New Roman" w:cs="Times New Roman"/>
              <w:szCs w:val="24"/>
            </w:rPr>
            <w:fldChar w:fldCharType="separate"/>
          </w:r>
          <w:r>
            <w:rPr>
              <w:rFonts w:hint="default" w:ascii="Times New Roman" w:hAnsi="Times New Roman" w:cs="Times New Roman"/>
            </w:rPr>
            <w:t>9验收监测结果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_Toc23640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_Toc17788 </w:instrText>
          </w:r>
          <w:r>
            <w:rPr>
              <w:rFonts w:hint="default" w:ascii="Times New Roman" w:hAnsi="Times New Roman" w:cs="Times New Roman"/>
              <w:szCs w:val="24"/>
            </w:rPr>
            <w:fldChar w:fldCharType="separate"/>
          </w:r>
          <w:r>
            <w:rPr>
              <w:rFonts w:hint="default" w:ascii="Times New Roman" w:hAnsi="Times New Roman" w:eastAsia="宋体" w:cs="Times New Roman"/>
            </w:rPr>
            <w:t>9.1生产工况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_Toc17788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_Toc6075 </w:instrText>
          </w:r>
          <w:r>
            <w:rPr>
              <w:rFonts w:hint="default" w:ascii="Times New Roman" w:hAnsi="Times New Roman" w:cs="Times New Roman"/>
              <w:szCs w:val="24"/>
            </w:rPr>
            <w:fldChar w:fldCharType="separate"/>
          </w:r>
          <w:r>
            <w:rPr>
              <w:rFonts w:hint="default" w:ascii="Times New Roman" w:hAnsi="Times New Roman" w:eastAsia="宋体" w:cs="Times New Roman"/>
            </w:rPr>
            <w:t>9.2</w:t>
          </w:r>
          <w:r>
            <w:rPr>
              <w:rFonts w:hint="default" w:ascii="Times New Roman" w:hAnsi="Times New Roman" w:cs="Times New Roman"/>
            </w:rPr>
            <w:t>污染物排放监测及环保设施处理效率结果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_Toc6075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_Toc16235 </w:instrText>
          </w:r>
          <w:r>
            <w:rPr>
              <w:rFonts w:hint="default" w:ascii="Times New Roman" w:hAnsi="Times New Roman" w:cs="Times New Roman"/>
              <w:szCs w:val="24"/>
            </w:rPr>
            <w:fldChar w:fldCharType="separate"/>
          </w:r>
          <w:r>
            <w:rPr>
              <w:rFonts w:hint="default" w:ascii="Times New Roman" w:hAnsi="Times New Roman" w:cs="Times New Roman"/>
              <w:kern w:val="22"/>
            </w:rPr>
            <w:t>9.2.1废水监测结果及评价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_Toc16235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_Toc22207 </w:instrText>
          </w:r>
          <w:r>
            <w:rPr>
              <w:rFonts w:hint="default" w:ascii="Times New Roman" w:hAnsi="Times New Roman" w:cs="Times New Roman"/>
              <w:szCs w:val="24"/>
            </w:rPr>
            <w:fldChar w:fldCharType="separate"/>
          </w:r>
          <w:r>
            <w:rPr>
              <w:rFonts w:hint="default" w:ascii="Times New Roman" w:hAnsi="Times New Roman" w:cs="Times New Roman"/>
              <w:kern w:val="22"/>
            </w:rPr>
            <w:t>9.2.2固定污染源废气检测结果及评价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_Toc22207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_Toc26759 </w:instrText>
          </w:r>
          <w:r>
            <w:rPr>
              <w:rFonts w:hint="default" w:ascii="Times New Roman" w:hAnsi="Times New Roman" w:cs="Times New Roman"/>
              <w:szCs w:val="24"/>
            </w:rPr>
            <w:fldChar w:fldCharType="separate"/>
          </w:r>
          <w:r>
            <w:rPr>
              <w:rFonts w:hint="default" w:ascii="Times New Roman" w:hAnsi="Times New Roman" w:cs="Times New Roman"/>
              <w:kern w:val="22"/>
            </w:rPr>
            <w:t>9.2.3无组织废气检测结果及评价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_Toc26759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_Toc25364 </w:instrText>
          </w:r>
          <w:r>
            <w:rPr>
              <w:rFonts w:hint="default" w:ascii="Times New Roman" w:hAnsi="Times New Roman" w:cs="Times New Roman"/>
              <w:szCs w:val="24"/>
            </w:rPr>
            <w:fldChar w:fldCharType="separate"/>
          </w:r>
          <w:r>
            <w:rPr>
              <w:rFonts w:hint="default" w:ascii="Times New Roman" w:hAnsi="Times New Roman" w:cs="Times New Roman"/>
              <w:kern w:val="22"/>
            </w:rPr>
            <w:t>9.2.4厂界噪声检测结果及评价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_Toc25364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_Toc32305 </w:instrText>
          </w:r>
          <w:r>
            <w:rPr>
              <w:rFonts w:hint="default" w:ascii="Times New Roman" w:hAnsi="Times New Roman" w:cs="Times New Roman"/>
              <w:szCs w:val="24"/>
            </w:rPr>
            <w:fldChar w:fldCharType="separate"/>
          </w:r>
          <w:r>
            <w:rPr>
              <w:rFonts w:hint="default" w:ascii="Times New Roman" w:hAnsi="Times New Roman" w:cs="Times New Roman"/>
              <w:kern w:val="22"/>
            </w:rPr>
            <w:t>9.2.5污染物排放总量核算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_Toc32305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_Toc32061 </w:instrText>
          </w:r>
          <w:r>
            <w:rPr>
              <w:rFonts w:hint="default" w:ascii="Times New Roman" w:hAnsi="Times New Roman" w:cs="Times New Roman"/>
              <w:szCs w:val="24"/>
            </w:rPr>
            <w:fldChar w:fldCharType="separate"/>
          </w:r>
          <w:r>
            <w:rPr>
              <w:rFonts w:hint="default" w:ascii="Times New Roman" w:hAnsi="Times New Roman" w:cs="Times New Roman"/>
              <w:kern w:val="22"/>
            </w:rPr>
            <w:t>9.2.6</w:t>
          </w:r>
          <w:r>
            <w:rPr>
              <w:rFonts w:hint="default" w:ascii="Times New Roman" w:hAnsi="Times New Roman" w:cs="Times New Roman"/>
              <w:kern w:val="22"/>
              <w:highlight w:val="none"/>
            </w:rPr>
            <w:t>固</w:t>
          </w:r>
          <w:r>
            <w:rPr>
              <w:rFonts w:hint="default" w:ascii="Times New Roman" w:hAnsi="Times New Roman" w:cs="Times New Roman"/>
              <w:kern w:val="22"/>
              <w:highlight w:val="none"/>
              <w:lang w:eastAsia="zh-CN"/>
            </w:rPr>
            <w:t>（液）</w:t>
          </w:r>
          <w:r>
            <w:rPr>
              <w:rFonts w:hint="default" w:ascii="Times New Roman" w:hAnsi="Times New Roman" w:cs="Times New Roman"/>
              <w:kern w:val="22"/>
              <w:highlight w:val="none"/>
            </w:rPr>
            <w:t>体废弃</w:t>
          </w:r>
          <w:r>
            <w:rPr>
              <w:rFonts w:hint="default" w:ascii="Times New Roman" w:hAnsi="Times New Roman" w:cs="Times New Roman"/>
              <w:kern w:val="22"/>
            </w:rPr>
            <w:t>物调查结果及评价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_Toc32061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_Toc31969 </w:instrText>
          </w:r>
          <w:r>
            <w:rPr>
              <w:rFonts w:hint="default" w:ascii="Times New Roman" w:hAnsi="Times New Roman" w:cs="Times New Roman"/>
              <w:szCs w:val="24"/>
            </w:rPr>
            <w:fldChar w:fldCharType="separate"/>
          </w:r>
          <w:r>
            <w:rPr>
              <w:rFonts w:hint="default" w:ascii="Times New Roman" w:hAnsi="Times New Roman" w:cs="Times New Roman"/>
              <w:kern w:val="22"/>
            </w:rPr>
            <w:t>9.2.7</w:t>
          </w:r>
          <w:r>
            <w:rPr>
              <w:rFonts w:hint="default" w:ascii="Times New Roman" w:hAnsi="Times New Roman" w:cs="Times New Roman"/>
            </w:rPr>
            <w:t>环保设施去除效率监测结果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_Toc31969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_Toc32207 </w:instrText>
          </w:r>
          <w:r>
            <w:rPr>
              <w:rFonts w:hint="default" w:ascii="Times New Roman" w:hAnsi="Times New Roman" w:cs="Times New Roman"/>
              <w:szCs w:val="24"/>
            </w:rPr>
            <w:fldChar w:fldCharType="separate"/>
          </w:r>
          <w:r>
            <w:rPr>
              <w:rFonts w:hint="default" w:ascii="Times New Roman" w:hAnsi="Times New Roman" w:eastAsia="宋体" w:cs="Times New Roman"/>
              <w:kern w:val="22"/>
            </w:rPr>
            <w:t>9.3工程建设对环境的影响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_Toc32207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_Toc22763 </w:instrText>
          </w:r>
          <w:r>
            <w:rPr>
              <w:rFonts w:hint="default" w:ascii="Times New Roman" w:hAnsi="Times New Roman" w:cs="Times New Roman"/>
              <w:szCs w:val="24"/>
            </w:rPr>
            <w:fldChar w:fldCharType="separate"/>
          </w:r>
          <w:r>
            <w:rPr>
              <w:rFonts w:hint="default" w:ascii="Times New Roman" w:hAnsi="Times New Roman" w:cs="Times New Roman"/>
            </w:rPr>
            <w:t>10验收监测结论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_Toc22763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_Toc21908 </w:instrText>
          </w:r>
          <w:r>
            <w:rPr>
              <w:rFonts w:hint="default" w:ascii="Times New Roman" w:hAnsi="Times New Roman" w:cs="Times New Roman"/>
              <w:szCs w:val="24"/>
            </w:rPr>
            <w:fldChar w:fldCharType="separate"/>
          </w:r>
          <w:r>
            <w:rPr>
              <w:rFonts w:hint="default" w:ascii="Times New Roman" w:hAnsi="Times New Roman" w:eastAsia="宋体" w:cs="Times New Roman"/>
              <w:kern w:val="22"/>
            </w:rPr>
            <w:t>10.1环保设施调试运行效果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_Toc21908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_Toc32399 </w:instrText>
          </w:r>
          <w:r>
            <w:rPr>
              <w:rFonts w:hint="default" w:ascii="Times New Roman" w:hAnsi="Times New Roman" w:cs="Times New Roman"/>
              <w:szCs w:val="24"/>
            </w:rPr>
            <w:fldChar w:fldCharType="separate"/>
          </w:r>
          <w:r>
            <w:rPr>
              <w:rFonts w:hint="default" w:ascii="Times New Roman" w:hAnsi="Times New Roman" w:cs="Times New Roman"/>
              <w:kern w:val="22"/>
            </w:rPr>
            <w:t>10.1.1环保设施处理效率监测结果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_Toc32399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_Toc3047 </w:instrText>
          </w:r>
          <w:r>
            <w:rPr>
              <w:rFonts w:hint="default" w:ascii="Times New Roman" w:hAnsi="Times New Roman" w:cs="Times New Roman"/>
              <w:szCs w:val="24"/>
            </w:rPr>
            <w:fldChar w:fldCharType="separate"/>
          </w:r>
          <w:r>
            <w:rPr>
              <w:rFonts w:hint="default" w:ascii="Times New Roman" w:hAnsi="Times New Roman" w:cs="Times New Roman"/>
              <w:kern w:val="22"/>
            </w:rPr>
            <w:t>10.1.2污染设施排放监测结果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_Toc3047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26"/>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_Toc23413 </w:instrText>
          </w:r>
          <w:r>
            <w:rPr>
              <w:rFonts w:hint="default" w:ascii="Times New Roman" w:hAnsi="Times New Roman" w:cs="Times New Roman"/>
              <w:szCs w:val="24"/>
            </w:rPr>
            <w:fldChar w:fldCharType="separate"/>
          </w:r>
          <w:r>
            <w:rPr>
              <w:rFonts w:hint="default" w:ascii="Times New Roman" w:hAnsi="Times New Roman" w:eastAsia="宋体" w:cs="Times New Roman"/>
              <w:kern w:val="22"/>
            </w:rPr>
            <w:t>10.2建议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_Toc23413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_Toc5310 </w:instrText>
          </w:r>
          <w:r>
            <w:rPr>
              <w:rFonts w:hint="default" w:ascii="Times New Roman" w:hAnsi="Times New Roman" w:cs="Times New Roman"/>
              <w:szCs w:val="24"/>
            </w:rPr>
            <w:fldChar w:fldCharType="separate"/>
          </w:r>
          <w:r>
            <w:rPr>
              <w:rFonts w:hint="default" w:ascii="Times New Roman" w:hAnsi="Times New Roman" w:cs="Times New Roman" w:eastAsiaTheme="majorEastAsia"/>
              <w:bCs w:val="0"/>
              <w:szCs w:val="32"/>
            </w:rPr>
            <w:t>附件1 建设项目环境保护“三同时”竣工验收报告表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_Toc5310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_Toc1272 </w:instrText>
          </w:r>
          <w:r>
            <w:rPr>
              <w:rFonts w:hint="default" w:ascii="Times New Roman" w:hAnsi="Times New Roman" w:cs="Times New Roman"/>
              <w:szCs w:val="24"/>
            </w:rPr>
            <w:fldChar w:fldCharType="separate"/>
          </w:r>
          <w:r>
            <w:rPr>
              <w:rFonts w:hint="default" w:ascii="Times New Roman" w:hAnsi="Times New Roman" w:cs="Times New Roman" w:eastAsiaTheme="majorEastAsia"/>
              <w:bCs w:val="0"/>
              <w:szCs w:val="32"/>
            </w:rPr>
            <w:t>附件2 环评批复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_Toc1272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_Toc25664 </w:instrText>
          </w:r>
          <w:r>
            <w:rPr>
              <w:rFonts w:hint="default" w:ascii="Times New Roman" w:hAnsi="Times New Roman" w:cs="Times New Roman"/>
              <w:szCs w:val="24"/>
            </w:rPr>
            <w:fldChar w:fldCharType="separate"/>
          </w:r>
          <w:r>
            <w:rPr>
              <w:rFonts w:hint="default" w:ascii="Times New Roman" w:hAnsi="Times New Roman" w:cs="Times New Roman" w:eastAsiaTheme="majorEastAsia"/>
              <w:bCs w:val="0"/>
              <w:szCs w:val="32"/>
            </w:rPr>
            <w:t xml:space="preserve">附件3 </w:t>
          </w:r>
          <w:r>
            <w:rPr>
              <w:rFonts w:hint="default" w:ascii="Times New Roman" w:hAnsi="Times New Roman" w:cs="Times New Roman" w:eastAsiaTheme="majorEastAsia"/>
              <w:bCs w:val="0"/>
              <w:szCs w:val="32"/>
              <w:lang w:val="en-US" w:eastAsia="zh-CN"/>
            </w:rPr>
            <w:t>排污许可证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_Toc25664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_Toc27125 </w:instrText>
          </w:r>
          <w:r>
            <w:rPr>
              <w:rFonts w:hint="default" w:ascii="Times New Roman" w:hAnsi="Times New Roman" w:cs="Times New Roman"/>
              <w:szCs w:val="24"/>
            </w:rPr>
            <w:fldChar w:fldCharType="separate"/>
          </w:r>
          <w:r>
            <w:rPr>
              <w:rFonts w:hint="default" w:ascii="Times New Roman" w:hAnsi="Times New Roman" w:cs="Times New Roman" w:eastAsiaTheme="majorEastAsia"/>
              <w:bCs w:val="0"/>
              <w:szCs w:val="32"/>
            </w:rPr>
            <w:t>附件</w:t>
          </w:r>
          <w:r>
            <w:rPr>
              <w:rFonts w:hint="default" w:ascii="Times New Roman" w:hAnsi="Times New Roman" w:cs="Times New Roman" w:eastAsiaTheme="majorEastAsia"/>
              <w:bCs w:val="0"/>
              <w:szCs w:val="32"/>
              <w:lang w:val="en-US" w:eastAsia="zh-CN"/>
            </w:rPr>
            <w:t>4</w:t>
          </w:r>
          <w:r>
            <w:rPr>
              <w:rFonts w:hint="default" w:ascii="Times New Roman" w:hAnsi="Times New Roman" w:cs="Times New Roman" w:eastAsiaTheme="majorEastAsia"/>
              <w:bCs w:val="0"/>
              <w:szCs w:val="32"/>
            </w:rPr>
            <w:t xml:space="preserve"> 固废处置协议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_Toc27125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_Toc5085 </w:instrText>
          </w:r>
          <w:r>
            <w:rPr>
              <w:rFonts w:hint="default" w:ascii="Times New Roman" w:hAnsi="Times New Roman" w:cs="Times New Roman"/>
              <w:szCs w:val="24"/>
            </w:rPr>
            <w:fldChar w:fldCharType="separate"/>
          </w:r>
          <w:r>
            <w:rPr>
              <w:rFonts w:hint="default" w:ascii="Times New Roman" w:hAnsi="Times New Roman" w:cs="Times New Roman" w:eastAsiaTheme="majorEastAsia"/>
              <w:bCs w:val="0"/>
              <w:szCs w:val="32"/>
            </w:rPr>
            <w:t>附件</w:t>
          </w:r>
          <w:r>
            <w:rPr>
              <w:rFonts w:hint="default" w:ascii="Times New Roman" w:hAnsi="Times New Roman" w:cs="Times New Roman" w:eastAsiaTheme="majorEastAsia"/>
              <w:bCs w:val="0"/>
              <w:szCs w:val="32"/>
              <w:lang w:val="en-US" w:eastAsia="zh-CN"/>
            </w:rPr>
            <w:t>5</w:t>
          </w:r>
          <w:r>
            <w:rPr>
              <w:rFonts w:hint="default" w:ascii="Times New Roman" w:hAnsi="Times New Roman" w:cs="Times New Roman" w:eastAsiaTheme="majorEastAsia"/>
              <w:bCs w:val="0"/>
              <w:szCs w:val="32"/>
            </w:rPr>
            <w:t xml:space="preserve"> 验收期间生产工况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_Toc5085 \h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_Toc13310 </w:instrText>
          </w:r>
          <w:r>
            <w:rPr>
              <w:rFonts w:hint="default" w:ascii="Times New Roman" w:hAnsi="Times New Roman" w:cs="Times New Roman"/>
              <w:szCs w:val="24"/>
            </w:rPr>
            <w:fldChar w:fldCharType="separate"/>
          </w:r>
          <w:r>
            <w:rPr>
              <w:rFonts w:hint="default" w:ascii="Times New Roman" w:hAnsi="Times New Roman" w:cs="Times New Roman" w:eastAsiaTheme="majorEastAsia"/>
              <w:bCs w:val="0"/>
              <w:szCs w:val="32"/>
            </w:rPr>
            <w:t>附件</w:t>
          </w:r>
          <w:r>
            <w:rPr>
              <w:rFonts w:hint="default" w:ascii="Times New Roman" w:hAnsi="Times New Roman" w:cs="Times New Roman" w:eastAsiaTheme="majorEastAsia"/>
              <w:bCs w:val="0"/>
              <w:szCs w:val="32"/>
              <w:lang w:val="en-US" w:eastAsia="zh-CN"/>
            </w:rPr>
            <w:t>6</w:t>
          </w:r>
          <w:r>
            <w:rPr>
              <w:rFonts w:hint="default" w:ascii="Times New Roman" w:hAnsi="Times New Roman" w:cs="Times New Roman" w:eastAsiaTheme="majorEastAsia"/>
              <w:bCs w:val="0"/>
              <w:szCs w:val="32"/>
            </w:rPr>
            <w:t xml:space="preserve"> </w:t>
          </w:r>
          <w:r>
            <w:rPr>
              <w:rFonts w:hint="default" w:ascii="Times New Roman" w:hAnsi="Times New Roman" w:cs="Times New Roman" w:eastAsiaTheme="majorEastAsia"/>
              <w:bCs w:val="0"/>
              <w:szCs w:val="32"/>
              <w:lang w:val="en-US" w:eastAsia="zh-CN"/>
            </w:rPr>
            <w:t>验收公示截图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_Toc13310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_Toc19771 </w:instrText>
          </w:r>
          <w:r>
            <w:rPr>
              <w:rFonts w:hint="default" w:ascii="Times New Roman" w:hAnsi="Times New Roman" w:cs="Times New Roman"/>
              <w:szCs w:val="24"/>
            </w:rPr>
            <w:fldChar w:fldCharType="separate"/>
          </w:r>
          <w:r>
            <w:rPr>
              <w:rFonts w:hint="default" w:ascii="Times New Roman" w:hAnsi="Times New Roman" w:cs="Times New Roman" w:eastAsiaTheme="majorEastAsia"/>
              <w:bCs w:val="0"/>
              <w:szCs w:val="32"/>
            </w:rPr>
            <w:t>附件</w:t>
          </w:r>
          <w:r>
            <w:rPr>
              <w:rFonts w:hint="default" w:ascii="Times New Roman" w:hAnsi="Times New Roman" w:cs="Times New Roman" w:eastAsiaTheme="majorEastAsia"/>
              <w:bCs w:val="0"/>
              <w:szCs w:val="32"/>
              <w:lang w:val="en-US" w:eastAsia="zh-CN"/>
            </w:rPr>
            <w:t>7</w:t>
          </w:r>
          <w:r>
            <w:rPr>
              <w:rFonts w:hint="default" w:ascii="Times New Roman" w:hAnsi="Times New Roman" w:cs="Times New Roman" w:eastAsiaTheme="majorEastAsia"/>
              <w:bCs w:val="0"/>
              <w:szCs w:val="32"/>
            </w:rPr>
            <w:t xml:space="preserve"> 验收意见及签到表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_Toc19771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pStyle w:val="3"/>
            <w:tabs>
              <w:tab w:val="right" w:leader="dot" w:pos="8306"/>
            </w:tabs>
            <w:rPr>
              <w:rFonts w:hint="default" w:ascii="Times New Roman" w:hAnsi="Times New Roman" w:cs="Times New Roman"/>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_Toc23320 </w:instrText>
          </w:r>
          <w:r>
            <w:rPr>
              <w:rFonts w:hint="default" w:ascii="Times New Roman" w:hAnsi="Times New Roman" w:cs="Times New Roman"/>
              <w:szCs w:val="24"/>
            </w:rPr>
            <w:fldChar w:fldCharType="separate"/>
          </w:r>
          <w:r>
            <w:rPr>
              <w:rFonts w:hint="default" w:ascii="Times New Roman" w:hAnsi="Times New Roman" w:cs="Times New Roman" w:eastAsiaTheme="majorEastAsia"/>
              <w:bCs w:val="0"/>
              <w:szCs w:val="32"/>
            </w:rPr>
            <w:t>附件</w:t>
          </w:r>
          <w:r>
            <w:rPr>
              <w:rFonts w:hint="default" w:ascii="Times New Roman" w:hAnsi="Times New Roman" w:cs="Times New Roman" w:eastAsiaTheme="majorEastAsia"/>
              <w:bCs w:val="0"/>
              <w:szCs w:val="32"/>
              <w:lang w:val="en-US" w:eastAsia="zh-CN"/>
            </w:rPr>
            <w:t>8</w:t>
          </w:r>
          <w:r>
            <w:rPr>
              <w:rFonts w:hint="default" w:ascii="Times New Roman" w:hAnsi="Times New Roman" w:cs="Times New Roman" w:eastAsiaTheme="majorEastAsia"/>
              <w:bCs w:val="0"/>
              <w:szCs w:val="32"/>
            </w:rPr>
            <w:t xml:space="preserve"> 其他需要说明的事项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_Toc23320 \h </w:instrText>
          </w:r>
          <w:r>
            <w:rPr>
              <w:rFonts w:hint="default" w:ascii="Times New Roman" w:hAnsi="Times New Roman" w:cs="Times New Roman"/>
            </w:rPr>
            <w:fldChar w:fldCharType="separate"/>
          </w:r>
          <w:r>
            <w:rPr>
              <w:rFonts w:hint="default" w:ascii="Times New Roman" w:hAnsi="Times New Roman" w:cs="Times New Roman"/>
            </w:rPr>
            <w:t>60</w:t>
          </w:r>
          <w:r>
            <w:rPr>
              <w:rFonts w:hint="default" w:ascii="Times New Roman" w:hAnsi="Times New Roman" w:cs="Times New Roman"/>
            </w:rPr>
            <w:fldChar w:fldCharType="end"/>
          </w:r>
          <w:r>
            <w:rPr>
              <w:rFonts w:hint="default" w:ascii="Times New Roman" w:hAnsi="Times New Roman" w:cs="Times New Roman"/>
              <w:szCs w:val="24"/>
            </w:rPr>
            <w:fldChar w:fldCharType="end"/>
          </w:r>
        </w:p>
        <w:p>
          <w:pPr>
            <w:spacing w:line="360" w:lineRule="exact"/>
            <w:rPr>
              <w:rFonts w:hint="default" w:ascii="Times New Roman" w:hAnsi="Times New Roman" w:cs="Times New Roman"/>
            </w:rPr>
          </w:pPr>
          <w:r>
            <w:rPr>
              <w:rFonts w:hint="default" w:ascii="Times New Roman" w:hAnsi="Times New Roman" w:cs="Times New Roman"/>
              <w:szCs w:val="24"/>
            </w:rPr>
            <w:fldChar w:fldCharType="end"/>
          </w:r>
        </w:p>
      </w:sdtContent>
    </w:sdt>
    <w:p>
      <w:pPr>
        <w:spacing w:line="360" w:lineRule="auto"/>
        <w:rPr>
          <w:rFonts w:hint="default" w:ascii="Times New Roman" w:hAnsi="Times New Roman" w:eastAsia="宋体" w:cs="Times New Roman"/>
          <w:smallCaps/>
          <w:color w:val="0000FF"/>
          <w:sz w:val="20"/>
          <w:szCs w:val="20"/>
        </w:rPr>
      </w:pPr>
    </w:p>
    <w:p>
      <w:pPr>
        <w:spacing w:line="360" w:lineRule="auto"/>
        <w:rPr>
          <w:rFonts w:hint="default" w:ascii="Times New Roman" w:hAnsi="Times New Roman" w:eastAsia="宋体" w:cs="Times New Roman"/>
          <w:smallCaps/>
          <w:color w:val="0000FF"/>
          <w:sz w:val="20"/>
          <w:szCs w:val="20"/>
        </w:rPr>
      </w:pPr>
      <w:bookmarkStart w:id="3" w:name="_Hlk72163640"/>
      <w:r>
        <w:rPr>
          <w:rFonts w:hint="default" w:ascii="Times New Roman" w:hAnsi="Times New Roman" w:eastAsia="宋体" w:cs="Times New Roman"/>
          <w:smallCaps/>
          <w:color w:val="0000FF"/>
          <w:sz w:val="20"/>
          <w:szCs w:val="20"/>
        </w:rPr>
        <w:t>附件1建设项目环境保护“三同时”竣工验收报告表</w:t>
      </w:r>
    </w:p>
    <w:p>
      <w:pPr>
        <w:spacing w:line="360" w:lineRule="auto"/>
        <w:rPr>
          <w:rFonts w:hint="default" w:ascii="Times New Roman" w:hAnsi="Times New Roman" w:eastAsia="宋体" w:cs="Times New Roman"/>
          <w:smallCaps/>
          <w:color w:val="0000FF"/>
          <w:sz w:val="20"/>
          <w:szCs w:val="20"/>
        </w:rPr>
      </w:pPr>
      <w:r>
        <w:rPr>
          <w:rFonts w:hint="default" w:ascii="Times New Roman" w:hAnsi="Times New Roman" w:eastAsia="宋体" w:cs="Times New Roman"/>
          <w:smallCaps/>
          <w:color w:val="0000FF"/>
          <w:sz w:val="20"/>
          <w:szCs w:val="20"/>
        </w:rPr>
        <w:t>附件2环评批复</w:t>
      </w:r>
    </w:p>
    <w:p>
      <w:pPr>
        <w:spacing w:line="360" w:lineRule="auto"/>
        <w:rPr>
          <w:rFonts w:hint="default" w:ascii="Times New Roman" w:hAnsi="Times New Roman" w:eastAsia="宋体" w:cs="Times New Roman"/>
          <w:smallCaps/>
          <w:color w:val="0000FF"/>
          <w:sz w:val="20"/>
          <w:szCs w:val="20"/>
        </w:rPr>
      </w:pPr>
      <w:r>
        <w:rPr>
          <w:rFonts w:hint="default" w:ascii="Times New Roman" w:hAnsi="Times New Roman" w:eastAsia="宋体" w:cs="Times New Roman"/>
          <w:smallCaps/>
          <w:color w:val="0000FF"/>
          <w:sz w:val="20"/>
          <w:szCs w:val="20"/>
        </w:rPr>
        <w:t>附件3排污许可证</w:t>
      </w:r>
    </w:p>
    <w:p>
      <w:pPr>
        <w:spacing w:line="360" w:lineRule="auto"/>
        <w:rPr>
          <w:rFonts w:hint="default" w:ascii="Times New Roman" w:hAnsi="Times New Roman" w:eastAsia="宋体" w:cs="Times New Roman"/>
          <w:smallCaps/>
          <w:color w:val="0000FF"/>
          <w:sz w:val="20"/>
          <w:szCs w:val="20"/>
        </w:rPr>
      </w:pPr>
      <w:r>
        <w:rPr>
          <w:rFonts w:hint="default" w:ascii="Times New Roman" w:hAnsi="Times New Roman" w:eastAsia="宋体" w:cs="Times New Roman"/>
          <w:smallCaps/>
          <w:color w:val="0000FF"/>
          <w:sz w:val="20"/>
          <w:szCs w:val="20"/>
        </w:rPr>
        <w:t>附件</w:t>
      </w:r>
      <w:r>
        <w:rPr>
          <w:rFonts w:hint="eastAsia" w:ascii="Times New Roman" w:hAnsi="Times New Roman" w:eastAsia="宋体" w:cs="Times New Roman"/>
          <w:smallCaps/>
          <w:color w:val="0000FF"/>
          <w:sz w:val="20"/>
          <w:szCs w:val="20"/>
          <w:lang w:val="en-US" w:eastAsia="zh-CN"/>
        </w:rPr>
        <w:t>4</w:t>
      </w:r>
      <w:r>
        <w:rPr>
          <w:rFonts w:hint="default" w:ascii="Times New Roman" w:hAnsi="Times New Roman" w:eastAsia="宋体" w:cs="Times New Roman"/>
          <w:smallCaps/>
          <w:color w:val="0000FF"/>
          <w:sz w:val="20"/>
          <w:szCs w:val="20"/>
        </w:rPr>
        <w:t>固废处置协议</w:t>
      </w:r>
    </w:p>
    <w:p>
      <w:pPr>
        <w:spacing w:line="360" w:lineRule="auto"/>
        <w:rPr>
          <w:rFonts w:hint="default" w:ascii="Times New Roman" w:hAnsi="Times New Roman" w:eastAsia="宋体" w:cs="Times New Roman"/>
          <w:smallCaps/>
          <w:color w:val="0000FF"/>
          <w:sz w:val="20"/>
          <w:szCs w:val="20"/>
        </w:rPr>
      </w:pPr>
      <w:r>
        <w:rPr>
          <w:rFonts w:hint="default" w:ascii="Times New Roman" w:hAnsi="Times New Roman" w:eastAsia="宋体" w:cs="Times New Roman"/>
          <w:smallCaps/>
          <w:color w:val="0000FF"/>
          <w:sz w:val="20"/>
          <w:szCs w:val="20"/>
        </w:rPr>
        <w:t>附件</w:t>
      </w:r>
      <w:r>
        <w:rPr>
          <w:rFonts w:hint="eastAsia" w:ascii="Times New Roman" w:hAnsi="Times New Roman" w:eastAsia="宋体" w:cs="Times New Roman"/>
          <w:smallCaps/>
          <w:color w:val="0000FF"/>
          <w:sz w:val="20"/>
          <w:szCs w:val="20"/>
          <w:lang w:val="en-US" w:eastAsia="zh-CN"/>
        </w:rPr>
        <w:t>5</w:t>
      </w:r>
      <w:r>
        <w:rPr>
          <w:rFonts w:hint="default" w:ascii="Times New Roman" w:hAnsi="Times New Roman" w:eastAsia="宋体" w:cs="Times New Roman"/>
          <w:smallCaps/>
          <w:color w:val="0000FF"/>
          <w:sz w:val="20"/>
          <w:szCs w:val="20"/>
        </w:rPr>
        <w:t>验收期间生产工况</w:t>
      </w:r>
    </w:p>
    <w:p>
      <w:pPr>
        <w:spacing w:line="360" w:lineRule="auto"/>
        <w:rPr>
          <w:rFonts w:hint="default" w:ascii="Times New Roman" w:hAnsi="Times New Roman" w:eastAsia="宋体" w:cs="Times New Roman"/>
          <w:smallCaps/>
          <w:color w:val="0000FF"/>
          <w:sz w:val="20"/>
          <w:szCs w:val="20"/>
        </w:rPr>
      </w:pPr>
      <w:r>
        <w:rPr>
          <w:rFonts w:hint="default" w:ascii="Times New Roman" w:hAnsi="Times New Roman" w:eastAsia="宋体" w:cs="Times New Roman"/>
          <w:smallCaps/>
          <w:color w:val="0000FF"/>
          <w:sz w:val="20"/>
          <w:szCs w:val="20"/>
        </w:rPr>
        <w:t>附件</w:t>
      </w:r>
      <w:r>
        <w:rPr>
          <w:rFonts w:hint="eastAsia" w:ascii="Times New Roman" w:hAnsi="Times New Roman" w:eastAsia="宋体" w:cs="Times New Roman"/>
          <w:smallCaps/>
          <w:color w:val="0000FF"/>
          <w:sz w:val="20"/>
          <w:szCs w:val="20"/>
          <w:lang w:val="en-US" w:eastAsia="zh-CN"/>
        </w:rPr>
        <w:t>6</w:t>
      </w:r>
      <w:r>
        <w:rPr>
          <w:rFonts w:hint="default" w:ascii="Times New Roman" w:hAnsi="Times New Roman" w:eastAsia="宋体" w:cs="Times New Roman"/>
          <w:smallCaps/>
          <w:color w:val="0000FF"/>
          <w:sz w:val="20"/>
          <w:szCs w:val="20"/>
        </w:rPr>
        <w:t xml:space="preserve"> 验收公示截图</w:t>
      </w:r>
    </w:p>
    <w:p>
      <w:pPr>
        <w:spacing w:line="360" w:lineRule="auto"/>
        <w:rPr>
          <w:rFonts w:hint="default" w:ascii="Times New Roman" w:hAnsi="Times New Roman" w:eastAsia="宋体" w:cs="Times New Roman"/>
          <w:smallCaps/>
          <w:color w:val="0000FF"/>
          <w:sz w:val="20"/>
          <w:szCs w:val="20"/>
        </w:rPr>
      </w:pPr>
      <w:r>
        <w:rPr>
          <w:rFonts w:hint="default" w:ascii="Times New Roman" w:hAnsi="Times New Roman" w:eastAsia="宋体" w:cs="Times New Roman"/>
          <w:smallCaps/>
          <w:color w:val="0000FF"/>
          <w:sz w:val="20"/>
          <w:szCs w:val="20"/>
        </w:rPr>
        <w:t>附件</w:t>
      </w:r>
      <w:r>
        <w:rPr>
          <w:rFonts w:hint="eastAsia" w:ascii="Times New Roman" w:hAnsi="Times New Roman" w:eastAsia="宋体" w:cs="Times New Roman"/>
          <w:smallCaps/>
          <w:color w:val="0000FF"/>
          <w:sz w:val="20"/>
          <w:szCs w:val="20"/>
          <w:lang w:val="en-US" w:eastAsia="zh-CN"/>
        </w:rPr>
        <w:t>7</w:t>
      </w:r>
      <w:r>
        <w:rPr>
          <w:rFonts w:hint="default" w:ascii="Times New Roman" w:hAnsi="Times New Roman" w:eastAsia="宋体" w:cs="Times New Roman"/>
          <w:smallCaps/>
          <w:color w:val="0000FF"/>
          <w:sz w:val="20"/>
          <w:szCs w:val="20"/>
        </w:rPr>
        <w:t>验收意见及签到表</w:t>
      </w:r>
    </w:p>
    <w:p>
      <w:pPr>
        <w:spacing w:line="360" w:lineRule="auto"/>
        <w:rPr>
          <w:rFonts w:hint="default" w:ascii="Times New Roman" w:hAnsi="Times New Roman" w:eastAsia="宋体" w:cs="Times New Roman"/>
          <w:smallCaps/>
          <w:color w:val="0000FF"/>
          <w:sz w:val="20"/>
          <w:szCs w:val="20"/>
        </w:rPr>
      </w:pPr>
      <w:r>
        <w:rPr>
          <w:rFonts w:hint="default" w:ascii="Times New Roman" w:hAnsi="Times New Roman" w:eastAsia="宋体" w:cs="Times New Roman"/>
          <w:smallCaps/>
          <w:color w:val="0000FF"/>
          <w:sz w:val="20"/>
          <w:szCs w:val="20"/>
        </w:rPr>
        <w:t>附件</w:t>
      </w:r>
      <w:r>
        <w:rPr>
          <w:rFonts w:hint="eastAsia" w:ascii="Times New Roman" w:hAnsi="Times New Roman" w:eastAsia="宋体" w:cs="Times New Roman"/>
          <w:smallCaps/>
          <w:color w:val="0000FF"/>
          <w:sz w:val="20"/>
          <w:szCs w:val="20"/>
          <w:lang w:val="en-US" w:eastAsia="zh-CN"/>
        </w:rPr>
        <w:t>8</w:t>
      </w:r>
      <w:r>
        <w:rPr>
          <w:rFonts w:hint="default" w:ascii="Times New Roman" w:hAnsi="Times New Roman" w:eastAsia="宋体" w:cs="Times New Roman"/>
          <w:smallCaps/>
          <w:color w:val="0000FF"/>
          <w:sz w:val="20"/>
          <w:szCs w:val="20"/>
        </w:rPr>
        <w:t>其他需要说明的事项</w:t>
      </w:r>
    </w:p>
    <w:p>
      <w:pPr>
        <w:spacing w:line="360" w:lineRule="auto"/>
        <w:rPr>
          <w:rFonts w:hint="default" w:ascii="Times New Roman" w:hAnsi="Times New Roman" w:eastAsia="宋体" w:cs="Times New Roman"/>
          <w:smallCaps/>
          <w:color w:val="0000FF"/>
          <w:sz w:val="20"/>
          <w:szCs w:val="20"/>
        </w:rPr>
      </w:pPr>
      <w:r>
        <w:rPr>
          <w:rFonts w:hint="default" w:ascii="Times New Roman" w:hAnsi="Times New Roman" w:eastAsia="宋体" w:cs="Times New Roman"/>
          <w:smallCaps/>
          <w:color w:val="0000FF"/>
          <w:sz w:val="20"/>
          <w:szCs w:val="20"/>
        </w:rPr>
        <w:t>附件</w:t>
      </w:r>
      <w:r>
        <w:rPr>
          <w:rFonts w:hint="eastAsia" w:ascii="Times New Roman" w:hAnsi="Times New Roman" w:eastAsia="宋体" w:cs="Times New Roman"/>
          <w:smallCaps/>
          <w:color w:val="0000FF"/>
          <w:sz w:val="20"/>
          <w:szCs w:val="20"/>
          <w:lang w:val="en-US" w:eastAsia="zh-CN"/>
        </w:rPr>
        <w:t>9</w:t>
      </w:r>
      <w:r>
        <w:rPr>
          <w:rFonts w:hint="default" w:ascii="Times New Roman" w:hAnsi="Times New Roman" w:eastAsia="宋体" w:cs="Times New Roman"/>
          <w:smallCaps/>
          <w:color w:val="0000FF"/>
          <w:sz w:val="20"/>
          <w:szCs w:val="20"/>
        </w:rPr>
        <w:t>检测报告</w:t>
      </w:r>
    </w:p>
    <w:bookmarkEnd w:id="3"/>
    <w:p>
      <w:pPr>
        <w:spacing w:line="360" w:lineRule="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4"/>
      </w:pPr>
      <w:bookmarkStart w:id="4" w:name="_Toc29261"/>
      <w:r>
        <w:rPr>
          <w:rFonts w:hint="eastAsia"/>
        </w:rPr>
        <w:t>1项目概况</w:t>
      </w:r>
      <w:bookmarkEnd w:id="4"/>
    </w:p>
    <w:p>
      <w:pPr>
        <w:spacing w:line="360" w:lineRule="auto"/>
        <w:ind w:firstLine="480" w:firstLineChars="200"/>
        <w:rPr>
          <w:rFonts w:hint="eastAsia" w:ascii="Times New Roman" w:hAnsi="Times New Roman" w:cs="Times New Roman"/>
          <w:bCs/>
          <w:color w:val="000000" w:themeColor="text1"/>
          <w:sz w:val="24"/>
          <w:szCs w:val="24"/>
          <w:highlight w:val="yellow"/>
          <w:lang w:bidi="zh-CN"/>
          <w14:textFill>
            <w14:solidFill>
              <w14:schemeClr w14:val="tx1"/>
            </w14:solidFill>
          </w14:textFill>
        </w:rPr>
      </w:pPr>
      <w:r>
        <w:rPr>
          <w:rFonts w:hint="eastAsia" w:ascii="Times New Roman" w:hAnsi="Times New Roman" w:cs="Times New Roman"/>
          <w:bCs/>
          <w:color w:val="000000" w:themeColor="text1"/>
          <w:sz w:val="24"/>
          <w:szCs w:val="24"/>
          <w:lang w:bidi="zh-CN"/>
          <w14:textFill>
            <w14:solidFill>
              <w14:schemeClr w14:val="tx1"/>
            </w14:solidFill>
          </w14:textFill>
        </w:rPr>
        <w:t>浦江金理衣架有限公司成立于20</w:t>
      </w:r>
      <w:r>
        <w:rPr>
          <w:rFonts w:hint="eastAsia" w:ascii="Times New Roman" w:hAnsi="Times New Roman" w:cs="Times New Roman"/>
          <w:bCs/>
          <w:color w:val="000000" w:themeColor="text1"/>
          <w:sz w:val="24"/>
          <w:szCs w:val="24"/>
          <w:lang w:val="en-US" w:bidi="zh-CN"/>
          <w14:textFill>
            <w14:solidFill>
              <w14:schemeClr w14:val="tx1"/>
            </w14:solidFill>
          </w14:textFill>
        </w:rPr>
        <w:t>14</w:t>
      </w:r>
      <w:r>
        <w:rPr>
          <w:rFonts w:hint="eastAsia" w:ascii="Times New Roman" w:hAnsi="Times New Roman" w:cs="Times New Roman"/>
          <w:bCs/>
          <w:color w:val="000000" w:themeColor="text1"/>
          <w:sz w:val="24"/>
          <w:szCs w:val="24"/>
          <w:lang w:bidi="zh-CN"/>
          <w14:textFill>
            <w14:solidFill>
              <w14:schemeClr w14:val="tx1"/>
            </w14:solidFill>
          </w14:textFill>
        </w:rPr>
        <w:t>年</w:t>
      </w:r>
      <w:r>
        <w:rPr>
          <w:rFonts w:hint="eastAsia" w:ascii="Times New Roman" w:hAnsi="Times New Roman" w:cs="Times New Roman"/>
          <w:bCs/>
          <w:color w:val="000000" w:themeColor="text1"/>
          <w:sz w:val="24"/>
          <w:szCs w:val="24"/>
          <w:lang w:val="en-US" w:bidi="zh-CN"/>
          <w14:textFill>
            <w14:solidFill>
              <w14:schemeClr w14:val="tx1"/>
            </w14:solidFill>
          </w14:textFill>
        </w:rPr>
        <w:t>11</w:t>
      </w:r>
      <w:r>
        <w:rPr>
          <w:rFonts w:hint="eastAsia" w:ascii="Times New Roman" w:hAnsi="Times New Roman" w:cs="Times New Roman"/>
          <w:bCs/>
          <w:color w:val="000000" w:themeColor="text1"/>
          <w:sz w:val="24"/>
          <w:szCs w:val="24"/>
          <w:lang w:bidi="zh-CN"/>
          <w14:textFill>
            <w14:solidFill>
              <w14:schemeClr w14:val="tx1"/>
            </w14:solidFill>
          </w14:textFill>
        </w:rPr>
        <w:t>月</w:t>
      </w:r>
      <w:r>
        <w:rPr>
          <w:rFonts w:hint="eastAsia" w:ascii="Times New Roman" w:hAnsi="Times New Roman" w:cs="Times New Roman"/>
          <w:bCs/>
          <w:color w:val="000000" w:themeColor="text1"/>
          <w:sz w:val="24"/>
          <w:szCs w:val="24"/>
          <w:lang w:val="en-US" w:bidi="zh-CN"/>
          <w14:textFill>
            <w14:solidFill>
              <w14:schemeClr w14:val="tx1"/>
            </w14:solidFill>
          </w14:textFill>
        </w:rPr>
        <w:t>25日</w:t>
      </w:r>
      <w:r>
        <w:rPr>
          <w:rFonts w:hint="eastAsia" w:ascii="Times New Roman" w:hAnsi="Times New Roman" w:cs="Times New Roman"/>
          <w:bCs/>
          <w:color w:val="000000" w:themeColor="text1"/>
          <w:sz w:val="24"/>
          <w:szCs w:val="24"/>
          <w:lang w:bidi="zh-CN"/>
          <w14:textFill>
            <w14:solidFill>
              <w14:schemeClr w14:val="tx1"/>
            </w14:solidFill>
          </w14:textFill>
        </w:rPr>
        <w:t>，</w:t>
      </w:r>
      <w:r>
        <w:rPr>
          <w:rFonts w:hint="eastAsia" w:ascii="Times New Roman" w:hAnsi="Times New Roman" w:cs="Times New Roman"/>
          <w:bCs/>
          <w:color w:val="000000" w:themeColor="text1"/>
          <w:sz w:val="24"/>
          <w:szCs w:val="24"/>
          <w:lang w:val="en-US" w:bidi="zh-CN"/>
          <w14:textFill>
            <w14:solidFill>
              <w14:schemeClr w14:val="tx1"/>
            </w14:solidFill>
          </w14:textFill>
        </w:rPr>
        <w:t>是一家主要从事衣架生产及销售的企业</w:t>
      </w:r>
      <w:r>
        <w:rPr>
          <w:rFonts w:hint="eastAsia" w:ascii="Times New Roman" w:hAnsi="Times New Roman" w:cs="Times New Roman"/>
          <w:bCs/>
          <w:color w:val="000000" w:themeColor="text1"/>
          <w:sz w:val="24"/>
          <w:szCs w:val="24"/>
          <w:lang w:bidi="zh-CN"/>
          <w14:textFill>
            <w14:solidFill>
              <w14:schemeClr w14:val="tx1"/>
            </w14:solidFill>
          </w14:textFill>
        </w:rPr>
        <w:t>。</w:t>
      </w:r>
      <w:r>
        <w:rPr>
          <w:rFonts w:hint="eastAsia" w:ascii="Times New Roman" w:hAnsi="Times New Roman" w:cs="Times New Roman"/>
          <w:bCs/>
          <w:color w:val="000000" w:themeColor="text1"/>
          <w:sz w:val="24"/>
          <w:szCs w:val="24"/>
          <w:lang w:val="en-US" w:bidi="zh-CN"/>
          <w14:textFill>
            <w14:solidFill>
              <w14:schemeClr w14:val="tx1"/>
            </w14:solidFill>
          </w14:textFill>
        </w:rPr>
        <w:t>为了公司的发展，公司总投资450万元，利用企业现有空置厂房，位于浦江县黄宅镇中兴路99号，建筑面积7070m</w:t>
      </w:r>
      <w:r>
        <w:rPr>
          <w:rFonts w:hint="eastAsia" w:ascii="Times New Roman" w:hAnsi="Times New Roman" w:cs="Times New Roman"/>
          <w:bCs/>
          <w:color w:val="000000" w:themeColor="text1"/>
          <w:sz w:val="24"/>
          <w:szCs w:val="24"/>
          <w:vertAlign w:val="superscript"/>
          <w:lang w:val="en-US" w:bidi="zh-CN"/>
          <w14:textFill>
            <w14:solidFill>
              <w14:schemeClr w14:val="tx1"/>
            </w14:solidFill>
          </w14:textFill>
        </w:rPr>
        <w:t>2</w:t>
      </w:r>
      <w:r>
        <w:rPr>
          <w:rFonts w:hint="eastAsia" w:ascii="Times New Roman" w:hAnsi="Times New Roman" w:cs="Times New Roman"/>
          <w:bCs/>
          <w:color w:val="000000" w:themeColor="text1"/>
          <w:sz w:val="24"/>
          <w:szCs w:val="24"/>
          <w:lang w:val="en-US" w:bidi="zh-CN"/>
          <w14:textFill>
            <w14:solidFill>
              <w14:schemeClr w14:val="tx1"/>
            </w14:solidFill>
          </w14:textFill>
        </w:rPr>
        <w:t>，购置打磨机、下料机、折弯机、浸塑机等生产设备，实施本次建设项目，项目完成后可形成年产1430万个衣架的生产能力。</w:t>
      </w:r>
      <w:r>
        <w:rPr>
          <w:rFonts w:hint="default" w:ascii="Times New Roman" w:hAnsi="Times New Roman" w:cs="Times New Roman" w:eastAsiaTheme="minorEastAsia"/>
          <w:bCs/>
          <w:color w:val="000000" w:themeColor="text1"/>
          <w:sz w:val="24"/>
          <w:szCs w:val="24"/>
          <w:lang w:val="en-US" w:eastAsia="zh-CN" w:bidi="zh-CN"/>
          <w14:textFill>
            <w14:solidFill>
              <w14:schemeClr w14:val="tx1"/>
            </w14:solidFill>
          </w14:textFill>
        </w:rPr>
        <w:t>项目已在浦江县经济商务局备案，</w:t>
      </w:r>
      <w:r>
        <w:rPr>
          <w:rFonts w:hint="eastAsia" w:ascii="Times New Roman" w:hAnsi="Times New Roman" w:cs="Times New Roman"/>
          <w:bCs/>
          <w:color w:val="000000" w:themeColor="text1"/>
          <w:sz w:val="24"/>
          <w:szCs w:val="24"/>
          <w:lang w:bidi="zh-CN"/>
          <w14:textFill>
            <w14:solidFill>
              <w14:schemeClr w14:val="tx1"/>
            </w14:solidFill>
          </w14:textFill>
        </w:rPr>
        <w:t>项目代码：2018-330726-33-03-047324-000。</w:t>
      </w:r>
    </w:p>
    <w:p>
      <w:pPr>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浦江金理衣架有限公司</w:t>
      </w:r>
      <w:r>
        <w:rPr>
          <w:rFonts w:hint="eastAsia" w:ascii="Times New Roman" w:hAnsi="Times New Roman" w:cs="Times New Roman"/>
          <w:color w:val="000000" w:themeColor="text1"/>
          <w:sz w:val="24"/>
          <w:szCs w:val="24"/>
          <w14:textFill>
            <w14:solidFill>
              <w14:schemeClr w14:val="tx1"/>
            </w14:solidFill>
          </w14:textFill>
        </w:rPr>
        <w:t>委托</w:t>
      </w:r>
      <w:r>
        <w:rPr>
          <w:rFonts w:hint="eastAsia" w:ascii="Times New Roman" w:hAnsi="Times New Roman" w:cs="Times New Roman"/>
          <w:color w:val="000000" w:themeColor="text1"/>
          <w:sz w:val="24"/>
          <w:szCs w:val="24"/>
          <w:lang w:eastAsia="zh-CN"/>
          <w14:textFill>
            <w14:solidFill>
              <w14:schemeClr w14:val="tx1"/>
            </w14:solidFill>
          </w14:textFill>
        </w:rPr>
        <w:t>浙江瀚邦环保科技有限公司</w:t>
      </w:r>
      <w:r>
        <w:rPr>
          <w:rFonts w:hint="eastAsia" w:ascii="Times New Roman" w:hAnsi="Times New Roman" w:cs="Times New Roman"/>
          <w:color w:val="000000" w:themeColor="text1"/>
          <w:sz w:val="24"/>
          <w:szCs w:val="24"/>
          <w14:textFill>
            <w14:solidFill>
              <w14:schemeClr w14:val="tx1"/>
            </w14:solidFill>
          </w14:textFill>
        </w:rPr>
        <w:t>承担项目的环境影响评价工作，于2</w:t>
      </w:r>
      <w:r>
        <w:rPr>
          <w:rFonts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19</w:t>
      </w:r>
      <w:r>
        <w:rPr>
          <w:rFonts w:hint="eastAsia"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月编制了《</w:t>
      </w:r>
      <w:r>
        <w:rPr>
          <w:rFonts w:hint="eastAsia" w:ascii="Times New Roman" w:hAnsi="Times New Roman" w:cs="Times New Roman"/>
          <w:color w:val="000000" w:themeColor="text1"/>
          <w:sz w:val="24"/>
          <w:szCs w:val="24"/>
          <w:lang w:eastAsia="zh-CN"/>
          <w14:textFill>
            <w14:solidFill>
              <w14:schemeClr w14:val="tx1"/>
            </w14:solidFill>
          </w14:textFill>
        </w:rPr>
        <w:t>浦江金理衣架有限公司年产1430万个衣架生产线建设项目环境影响报告表</w:t>
      </w:r>
      <w:r>
        <w:rPr>
          <w:rFonts w:hint="eastAsia" w:ascii="Times New Roman" w:hAnsi="Times New Roman" w:cs="Times New Roman"/>
          <w:color w:val="auto"/>
          <w:sz w:val="24"/>
          <w:szCs w:val="24"/>
        </w:rPr>
        <w:t>》，并于</w:t>
      </w:r>
      <w:r>
        <w:rPr>
          <w:rFonts w:hint="eastAsia" w:ascii="Times New Roman" w:hAnsi="Times New Roman" w:cs="Times New Roman"/>
          <w:color w:val="auto"/>
          <w:sz w:val="24"/>
          <w:szCs w:val="24"/>
          <w:lang w:val="en-US" w:eastAsia="zh-CN"/>
        </w:rPr>
        <w:t>2019</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11</w:t>
      </w:r>
      <w:r>
        <w:rPr>
          <w:rFonts w:hint="eastAsia" w:ascii="Times New Roman" w:hAnsi="Times New Roman" w:cs="Times New Roman"/>
          <w:color w:val="auto"/>
          <w:sz w:val="24"/>
          <w:szCs w:val="24"/>
        </w:rPr>
        <w:t>日通过</w:t>
      </w:r>
      <w:r>
        <w:rPr>
          <w:rFonts w:hint="eastAsia" w:ascii="Times New Roman" w:hAnsi="Times New Roman" w:cs="Times New Roman"/>
          <w:color w:val="000000" w:themeColor="text1"/>
          <w:sz w:val="24"/>
          <w:szCs w:val="24"/>
          <w:lang w:eastAsia="zh-CN"/>
          <w14:textFill>
            <w14:solidFill>
              <w14:schemeClr w14:val="tx1"/>
            </w14:solidFill>
          </w14:textFill>
        </w:rPr>
        <w:t>金华市生态环境局</w:t>
      </w:r>
      <w:r>
        <w:rPr>
          <w:rFonts w:hint="eastAsia" w:ascii="Times New Roman" w:hAnsi="Times New Roman" w:cs="Times New Roman"/>
          <w:color w:val="auto"/>
          <w:sz w:val="24"/>
          <w:szCs w:val="24"/>
        </w:rPr>
        <w:t>审批，取得</w:t>
      </w:r>
      <w:r>
        <w:rPr>
          <w:rFonts w:hint="eastAsia" w:ascii="Times New Roman" w:hAnsi="Times New Roman" w:cs="Times New Roman"/>
          <w:color w:val="000000" w:themeColor="text1"/>
          <w:sz w:val="24"/>
          <w:szCs w:val="24"/>
          <w:lang w:eastAsia="zh-CN"/>
          <w14:textFill>
            <w14:solidFill>
              <w14:schemeClr w14:val="tx1"/>
            </w14:solidFill>
          </w14:textFill>
        </w:rPr>
        <w:t>金华市生态环境局</w:t>
      </w:r>
      <w:r>
        <w:rPr>
          <w:rFonts w:hint="eastAsia" w:ascii="Times New Roman" w:hAnsi="Times New Roman" w:cs="Times New Roman"/>
          <w:color w:val="auto"/>
          <w:sz w:val="24"/>
          <w:szCs w:val="24"/>
        </w:rPr>
        <w:t>文件</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eastAsia="zh-CN"/>
        </w:rPr>
        <w:t>关于浦江金理衣架有限公司年产1430万个衣架生产线建设项目环境</w:t>
      </w:r>
      <w:r>
        <w:rPr>
          <w:rFonts w:hint="eastAsia" w:ascii="Times New Roman" w:hAnsi="Times New Roman" w:eastAsia="宋体" w:cs="Times New Roman"/>
          <w:color w:val="auto"/>
          <w:kern w:val="0"/>
          <w:sz w:val="24"/>
          <w:highlight w:val="none"/>
          <w:lang w:eastAsia="zh-CN"/>
        </w:rPr>
        <w:t>影响报告表的</w:t>
      </w:r>
      <w:r>
        <w:rPr>
          <w:rFonts w:hint="eastAsia" w:ascii="Times New Roman" w:hAnsi="Times New Roman" w:eastAsia="宋体" w:cs="Times New Roman"/>
          <w:color w:val="auto"/>
          <w:kern w:val="0"/>
          <w:sz w:val="24"/>
          <w:highlight w:val="none"/>
          <w:lang w:val="en-US" w:eastAsia="zh-CN"/>
        </w:rPr>
        <w:t>批复</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金环建浦[2019]55号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企业已</w:t>
      </w:r>
      <w:r>
        <w:rPr>
          <w:rFonts w:hint="default" w:ascii="Times New Roman" w:hAnsi="Times New Roman" w:cs="Times New Roman"/>
          <w:color w:val="auto"/>
          <w:sz w:val="24"/>
          <w:szCs w:val="24"/>
          <w:highlight w:val="none"/>
          <w:lang w:val="en-US" w:eastAsia="zh-CN"/>
        </w:rPr>
        <w:t>于202</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27</w:t>
      </w:r>
      <w:r>
        <w:rPr>
          <w:rFonts w:hint="default" w:ascii="Times New Roman" w:hAnsi="Times New Roman" w:cs="Times New Roman"/>
          <w:color w:val="auto"/>
          <w:sz w:val="24"/>
          <w:szCs w:val="24"/>
          <w:highlight w:val="none"/>
          <w:lang w:val="en-US" w:eastAsia="zh-CN"/>
        </w:rPr>
        <w:t>日</w:t>
      </w:r>
      <w:r>
        <w:rPr>
          <w:rFonts w:hint="eastAsia" w:ascii="Times New Roman" w:hAnsi="Times New Roman" w:cs="Times New Roman"/>
          <w:color w:val="auto"/>
          <w:sz w:val="24"/>
          <w:szCs w:val="24"/>
          <w:highlight w:val="none"/>
          <w:lang w:val="en-US" w:eastAsia="zh-CN"/>
        </w:rPr>
        <w:t>办理排污许可登记工作</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并取得排污许可登记回执，登记</w:t>
      </w:r>
      <w:r>
        <w:rPr>
          <w:rFonts w:hint="default" w:ascii="Times New Roman" w:hAnsi="Times New Roman" w:cs="Times New Roman"/>
          <w:color w:val="auto"/>
          <w:sz w:val="24"/>
          <w:szCs w:val="24"/>
          <w:highlight w:val="none"/>
          <w:lang w:val="en-US" w:eastAsia="zh-CN"/>
        </w:rPr>
        <w:t>编号为</w:t>
      </w:r>
      <w:r>
        <w:rPr>
          <w:rFonts w:hint="eastAsia" w:ascii="Times New Roman" w:hAnsi="Times New Roman" w:cs="Times New Roman"/>
          <w:color w:val="auto"/>
          <w:sz w:val="24"/>
          <w:szCs w:val="24"/>
          <w:highlight w:val="none"/>
          <w:lang w:val="en-US" w:eastAsia="zh-CN"/>
        </w:rPr>
        <w:t>91330726307777500J001X。</w:t>
      </w:r>
    </w:p>
    <w:p>
      <w:pPr>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受浦江金理衣架有限公司的委托，浙江高鑫安全检测科技有限公司开展浦江金理衣架有限公司年产1430万个衣架生产线建设项目环境保护竣工验收监测。本次验收按实际建设情况验收，验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收范围为该项目的整体验收：年产1230万个衣架生产线建设项目（不含木衣架）。</w:t>
      </w:r>
      <w:r>
        <w:rPr>
          <w:rFonts w:hint="eastAsia" w:ascii="Times New Roman" w:hAnsi="Times New Roman" w:cs="Times New Roman"/>
          <w:color w:val="000000" w:themeColor="text1"/>
          <w:sz w:val="24"/>
          <w:szCs w:val="24"/>
          <w:lang w:val="en-US" w:eastAsia="zh-CN"/>
          <w14:textFill>
            <w14:solidFill>
              <w14:schemeClr w14:val="tx1"/>
            </w14:solidFill>
          </w14:textFill>
        </w:rPr>
        <w:t>本次</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验收涉及的建筑有：生产车间厂房（包括1F机加工车间和点焊车间，2F浸塑车间和点焊车间，3F包装车间和仓库，4F、5F仓库，6F浸塑车间和点焊车间）</w:t>
      </w:r>
      <w:r>
        <w:rPr>
          <w:rFonts w:hint="eastAsia" w:ascii="Times New Roman" w:hAnsi="Times New Roman" w:cs="Times New Roman"/>
          <w:color w:val="000000" w:themeColor="text1"/>
          <w:sz w:val="24"/>
          <w:szCs w:val="24"/>
          <w:lang w:val="en-US" w:eastAsia="zh-CN"/>
          <w14:textFill>
            <w14:solidFill>
              <w14:schemeClr w14:val="tx1"/>
            </w14:solidFill>
          </w14:textFill>
        </w:rPr>
        <w:t>。根据竣工验收监测的有关要求，对项目进行现场勘查和资料收集整理后，编制了验收监测方案，并于2022年10月9日-10日进行了现场取样和环保检查，现根据现场监测情况、样品分析结果及环保检查结果，编制本验收监测报告。</w:t>
      </w:r>
    </w:p>
    <w:p>
      <w:pPr>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本验收报告是以委托单位提供的</w:t>
      </w:r>
      <w:r>
        <w:rPr>
          <w:rFonts w:ascii="Times New Roman" w:hAnsi="Times New Roman" w:eastAsia="宋体" w:cs="Times New Roman"/>
          <w:color w:val="000000" w:themeColor="text1"/>
          <w:kern w:val="0"/>
          <w:sz w:val="24"/>
          <w:szCs w:val="24"/>
          <w14:textFill>
            <w14:solidFill>
              <w14:schemeClr w14:val="tx1"/>
            </w14:solidFill>
          </w14:textFill>
        </w:rPr>
        <w:t>环境影响报告</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表</w:t>
      </w:r>
      <w:r>
        <w:rPr>
          <w:rFonts w:hint="eastAsia" w:ascii="Times New Roman" w:hAnsi="Times New Roman" w:cs="Times New Roman"/>
          <w:color w:val="000000" w:themeColor="text1"/>
          <w:sz w:val="24"/>
          <w:szCs w:val="24"/>
          <w14:textFill>
            <w14:solidFill>
              <w14:schemeClr w14:val="tx1"/>
            </w14:solidFill>
          </w14:textFill>
        </w:rPr>
        <w:t>、总平图、生产工艺、设备设施、物料清单为基础进行监测、分析与验收的。如建设单位未能向监测机构如实提供相关资料，或今后该项目有工艺、设备、物料等重大改动或该项目改建、扩建等情形发生，其所涉及的环境保护问题，均不在本验收报告的责任范围之内。</w:t>
      </w:r>
    </w:p>
    <w:p>
      <w:pPr>
        <w:pStyle w:val="4"/>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300" w:after="300" w:line="579" w:lineRule="auto"/>
        <w:textAlignment w:val="auto"/>
      </w:pPr>
      <w:bookmarkStart w:id="5" w:name="_Toc17750"/>
      <w:r>
        <w:rPr>
          <w:rFonts w:hint="eastAsia"/>
        </w:rPr>
        <w:t>2验收依据</w:t>
      </w:r>
      <w:bookmarkEnd w:id="5"/>
    </w:p>
    <w:p>
      <w:pPr>
        <w:pStyle w:val="5"/>
        <w:keepNext/>
        <w:keepLines/>
        <w:pageBreakBefore w:val="0"/>
        <w:widowControl w:val="0"/>
        <w:kinsoku/>
        <w:wordWrap/>
        <w:overflowPunct/>
        <w:topLinePunct w:val="0"/>
        <w:autoSpaceDE/>
        <w:autoSpaceDN/>
        <w:bidi w:val="0"/>
        <w:adjustRightInd/>
        <w:snapToGrid/>
        <w:spacing w:before="200" w:after="200" w:line="416" w:lineRule="auto"/>
        <w:textAlignment w:val="auto"/>
        <w:rPr>
          <w:rFonts w:eastAsia="宋体"/>
        </w:rPr>
      </w:pPr>
      <w:bookmarkStart w:id="6" w:name="_Toc9651"/>
      <w:bookmarkStart w:id="7" w:name="_Toc17244"/>
      <w:bookmarkStart w:id="8" w:name="_Toc20591"/>
      <w:bookmarkStart w:id="9" w:name="_Toc3043"/>
      <w:r>
        <w:rPr>
          <w:rFonts w:eastAsia="宋体"/>
        </w:rPr>
        <w:t>2.1建设项目环境保护相关法律、法规</w:t>
      </w:r>
      <w:bookmarkEnd w:id="6"/>
      <w:bookmarkEnd w:id="7"/>
      <w:bookmarkEnd w:id="8"/>
      <w:r>
        <w:rPr>
          <w:rFonts w:eastAsia="宋体"/>
        </w:rPr>
        <w:t>和规章制度</w:t>
      </w:r>
      <w:bookmarkEnd w:id="9"/>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0" w:name="_Toc73"/>
      <w:bookmarkStart w:id="11" w:name="_Toc30754"/>
      <w:bookmarkStart w:id="12" w:name="_Toc18677"/>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p>
    <w:p>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val="en-US" w:eastAsia="zh-CN"/>
        </w:rPr>
      </w:pP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5</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关于印发《</w:t>
      </w:r>
      <w:r>
        <w:rPr>
          <w:rFonts w:hint="default" w:ascii="Times New Roman" w:hAnsi="Times New Roman" w:eastAsia="宋体" w:cs="Times New Roman"/>
          <w:kern w:val="0"/>
          <w:sz w:val="24"/>
          <w:highlight w:val="none"/>
          <w:lang w:val="en-US" w:eastAsia="zh-CN"/>
        </w:rPr>
        <w:t>污染影响类建设项目重大变动清单（试行）》的通知（环办环评函（2020）688号</w:t>
      </w:r>
      <w:r>
        <w:rPr>
          <w:rFonts w:hint="eastAsia" w:ascii="Times New Roman" w:hAnsi="Times New Roman" w:eastAsia="宋体" w:cs="Times New Roman"/>
          <w:kern w:val="0"/>
          <w:sz w:val="24"/>
          <w:highlight w:val="none"/>
          <w:lang w:val="en-US" w:eastAsia="zh-CN"/>
        </w:rPr>
        <w:t>，</w:t>
      </w:r>
      <w:r>
        <w:rPr>
          <w:rFonts w:hint="eastAsia" w:ascii="Times New Roman" w:hAnsi="Times New Roman" w:eastAsia="宋体" w:cs="Times New Roman"/>
          <w:kern w:val="0"/>
          <w:sz w:val="24"/>
          <w:highlight w:val="none"/>
        </w:rPr>
        <w:t>20</w:t>
      </w:r>
      <w:r>
        <w:rPr>
          <w:rFonts w:hint="eastAsia" w:ascii="Times New Roman" w:hAnsi="Times New Roman" w:eastAsia="宋体" w:cs="Times New Roman"/>
          <w:kern w:val="0"/>
          <w:sz w:val="24"/>
          <w:highlight w:val="none"/>
          <w:lang w:val="en-US" w:eastAsia="zh-CN"/>
        </w:rPr>
        <w:t>20</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12</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13</w:t>
      </w:r>
      <w:r>
        <w:rPr>
          <w:rFonts w:hint="eastAsia" w:ascii="Times New Roman" w:hAnsi="Times New Roman" w:eastAsia="宋体" w:cs="Times New Roman"/>
          <w:kern w:val="0"/>
          <w:sz w:val="24"/>
          <w:highlight w:val="none"/>
        </w:rPr>
        <w:t>日起实施</w:t>
      </w:r>
      <w:r>
        <w:rPr>
          <w:rFonts w:hint="default" w:ascii="Times New Roman" w:hAnsi="Times New Roman" w:eastAsia="宋体" w:cs="Times New Roman"/>
          <w:kern w:val="0"/>
          <w:sz w:val="24"/>
          <w:highlight w:val="none"/>
          <w:lang w:val="en-US" w:eastAsia="zh-CN"/>
        </w:rPr>
        <w:t>）</w:t>
      </w:r>
    </w:p>
    <w:p>
      <w:pPr>
        <w:pStyle w:val="5"/>
        <w:keepNext/>
        <w:keepLines/>
        <w:pageBreakBefore w:val="0"/>
        <w:widowControl w:val="0"/>
        <w:kinsoku/>
        <w:wordWrap/>
        <w:overflowPunct/>
        <w:topLinePunct w:val="0"/>
        <w:autoSpaceDE/>
        <w:autoSpaceDN/>
        <w:bidi w:val="0"/>
        <w:adjustRightInd/>
        <w:snapToGrid/>
        <w:spacing w:before="200" w:after="200" w:line="416" w:lineRule="auto"/>
        <w:textAlignment w:val="auto"/>
        <w:rPr>
          <w:rFonts w:eastAsia="宋体"/>
        </w:rPr>
      </w:pPr>
      <w:bookmarkStart w:id="13" w:name="_Toc23858"/>
      <w:r>
        <w:rPr>
          <w:rFonts w:eastAsia="宋体"/>
        </w:rPr>
        <w:t>2.2建设项目竣工环境保护验收技术规范</w:t>
      </w:r>
      <w:bookmarkEnd w:id="10"/>
      <w:bookmarkEnd w:id="11"/>
      <w:bookmarkEnd w:id="12"/>
      <w:bookmarkEnd w:id="13"/>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建设项目竣工环境保护验收技术指南 污染影响类》</w:t>
      </w:r>
      <w:r>
        <w:rPr>
          <w:rFonts w:hint="eastAsia" w:ascii="Times New Roman" w:hAnsi="Times New Roman" w:eastAsia="宋体" w:cs="Times New Roman"/>
          <w:kern w:val="0"/>
          <w:sz w:val="24"/>
        </w:rPr>
        <w:t>（生态环境部公告2018年 第9号）</w:t>
      </w:r>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p>
    <w:p>
      <w:pPr>
        <w:pStyle w:val="5"/>
        <w:keepNext/>
        <w:keepLines/>
        <w:pageBreakBefore w:val="0"/>
        <w:widowControl w:val="0"/>
        <w:kinsoku/>
        <w:wordWrap/>
        <w:overflowPunct/>
        <w:topLinePunct w:val="0"/>
        <w:autoSpaceDE/>
        <w:autoSpaceDN/>
        <w:bidi w:val="0"/>
        <w:adjustRightInd/>
        <w:snapToGrid/>
        <w:spacing w:before="200" w:after="200" w:line="416" w:lineRule="auto"/>
        <w:textAlignment w:val="auto"/>
        <w:rPr>
          <w:rFonts w:eastAsia="宋体"/>
        </w:rPr>
      </w:pPr>
      <w:bookmarkStart w:id="14" w:name="_Toc23835"/>
      <w:bookmarkStart w:id="15" w:name="_Toc2924"/>
      <w:bookmarkStart w:id="16" w:name="_Toc3185"/>
      <w:bookmarkStart w:id="17" w:name="_Toc3727"/>
      <w:r>
        <w:rPr>
          <w:rFonts w:eastAsia="宋体"/>
        </w:rPr>
        <w:t>2.3建设</w:t>
      </w:r>
      <w:r>
        <w:rPr>
          <w:rFonts w:hint="eastAsia" w:eastAsia="宋体"/>
          <w:lang w:eastAsia="zh-CN"/>
        </w:rPr>
        <w:t>项目环境影响报告表</w:t>
      </w:r>
      <w:r>
        <w:rPr>
          <w:rFonts w:eastAsia="宋体"/>
        </w:rPr>
        <w:t>及其审批部门</w:t>
      </w:r>
      <w:bookmarkEnd w:id="14"/>
      <w:bookmarkEnd w:id="15"/>
      <w:bookmarkEnd w:id="16"/>
      <w:r>
        <w:rPr>
          <w:rFonts w:eastAsia="宋体"/>
        </w:rPr>
        <w:t>审批决定</w:t>
      </w:r>
      <w:bookmarkEnd w:id="17"/>
    </w:p>
    <w:p>
      <w:pPr>
        <w:widowControl/>
        <w:adjustRightInd w:val="0"/>
        <w:snapToGrid w:val="0"/>
        <w:spacing w:line="360" w:lineRule="auto"/>
        <w:ind w:firstLine="480" w:firstLineChars="200"/>
        <w:rPr>
          <w:rFonts w:ascii="Times New Roman" w:hAnsi="Times New Roman" w:eastAsia="宋体" w:cs="Times New Roman"/>
          <w:kern w:val="0"/>
          <w:sz w:val="24"/>
        </w:rPr>
      </w:pPr>
      <w:bookmarkStart w:id="18" w:name="_Hlk528872215"/>
      <w:r>
        <w:rPr>
          <w:rFonts w:hint="eastAsia" w:ascii="Times New Roman" w:hAnsi="Times New Roman" w:eastAsia="宋体" w:cs="Times New Roman"/>
          <w:kern w:val="0"/>
          <w:sz w:val="24"/>
        </w:rPr>
        <w:t>（1）</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浦江金理衣架有限公司年产1430万个衣架生产线建设项目环境影响报告表</w:t>
      </w:r>
      <w:r>
        <w:rPr>
          <w:rFonts w:ascii="Times New Roman" w:hAnsi="Times New Roman" w:eastAsia="宋体" w:cs="Times New Roman"/>
          <w:kern w:val="0"/>
          <w:sz w:val="24"/>
        </w:rPr>
        <w:t>》</w:t>
      </w:r>
      <w:r>
        <w:rPr>
          <w:rFonts w:hint="eastAsia" w:ascii="Times New Roman" w:hAnsi="Times New Roman" w:eastAsia="宋体" w:cs="Times New Roman"/>
          <w:sz w:val="24"/>
          <w:szCs w:val="24"/>
          <w:lang w:eastAsia="zh-CN"/>
        </w:rPr>
        <w:t>浙江瀚邦环保科技有限公司</w:t>
      </w:r>
      <w:r>
        <w:rPr>
          <w:rFonts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2019</w:t>
      </w:r>
      <w:r>
        <w:rPr>
          <w:rFonts w:ascii="Times New Roman" w:hAnsi="Times New Roman" w:eastAsia="宋体" w:cs="Times New Roman"/>
          <w:kern w:val="0"/>
          <w:sz w:val="24"/>
        </w:rPr>
        <w:t>年</w:t>
      </w:r>
      <w:r>
        <w:rPr>
          <w:rFonts w:hint="eastAsia" w:ascii="Times New Roman" w:hAnsi="Times New Roman" w:eastAsia="宋体" w:cs="Times New Roman"/>
          <w:kern w:val="0"/>
          <w:sz w:val="24"/>
          <w:lang w:val="en-US" w:eastAsia="zh-CN"/>
        </w:rPr>
        <w:t>5</w:t>
      </w:r>
      <w:r>
        <w:rPr>
          <w:rFonts w:ascii="Times New Roman" w:hAnsi="Times New Roman" w:eastAsia="宋体" w:cs="Times New Roman"/>
          <w:kern w:val="0"/>
          <w:sz w:val="24"/>
        </w:rPr>
        <w:t>月</w:t>
      </w:r>
    </w:p>
    <w:p>
      <w:pPr>
        <w:widowControl/>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（2）</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关于浦江金理衣架有限公司年产1430万个衣架生产线建设项目环境影响报告表的</w:t>
      </w:r>
      <w:r>
        <w:rPr>
          <w:rFonts w:hint="eastAsia" w:ascii="Times New Roman" w:hAnsi="Times New Roman" w:eastAsia="宋体" w:cs="Times New Roman"/>
          <w:kern w:val="0"/>
          <w:sz w:val="24"/>
          <w:lang w:val="en-US" w:eastAsia="zh-CN"/>
        </w:rPr>
        <w:t>批复</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金环建浦[2019]55号</w:t>
      </w:r>
      <w:r>
        <w:rPr>
          <w:rFonts w:ascii="Times New Roman" w:hAnsi="Times New Roman" w:eastAsia="宋体" w:cs="Times New Roman"/>
          <w:kern w:val="0"/>
          <w:sz w:val="24"/>
        </w:rPr>
        <w:t>）</w:t>
      </w:r>
    </w:p>
    <w:bookmarkEnd w:id="18"/>
    <w:p>
      <w:pPr>
        <w:pStyle w:val="5"/>
        <w:keepNext/>
        <w:keepLines/>
        <w:pageBreakBefore w:val="0"/>
        <w:widowControl w:val="0"/>
        <w:kinsoku/>
        <w:wordWrap/>
        <w:overflowPunct/>
        <w:topLinePunct w:val="0"/>
        <w:autoSpaceDE/>
        <w:autoSpaceDN/>
        <w:bidi w:val="0"/>
        <w:adjustRightInd/>
        <w:snapToGrid/>
        <w:spacing w:before="200" w:after="200" w:line="416" w:lineRule="auto"/>
        <w:textAlignment w:val="auto"/>
        <w:rPr>
          <w:rFonts w:eastAsia="宋体"/>
        </w:rPr>
      </w:pPr>
      <w:bookmarkStart w:id="19" w:name="_Toc3595"/>
      <w:r>
        <w:rPr>
          <w:rFonts w:eastAsia="宋体"/>
        </w:rPr>
        <w:t>2.4其他相关文件</w:t>
      </w:r>
      <w:bookmarkEnd w:id="19"/>
    </w:p>
    <w:p>
      <w:pPr>
        <w:spacing w:line="360" w:lineRule="auto"/>
        <w:rPr>
          <w:sz w:val="24"/>
          <w:szCs w:val="24"/>
        </w:rPr>
      </w:pPr>
      <w:r>
        <w:rPr>
          <w:rFonts w:hint="eastAsia"/>
          <w:sz w:val="24"/>
          <w:szCs w:val="24"/>
        </w:rPr>
        <w:t>（</w:t>
      </w:r>
      <w:r>
        <w:rPr>
          <w:sz w:val="24"/>
          <w:szCs w:val="24"/>
        </w:rPr>
        <w:t>1</w:t>
      </w:r>
      <w:r>
        <w:rPr>
          <w:rFonts w:hint="eastAsia"/>
          <w:sz w:val="24"/>
          <w:szCs w:val="24"/>
        </w:rPr>
        <w:t>）浙江高鑫安全检测科技有限公司《检测报告》高鑫（</w:t>
      </w:r>
      <w:r>
        <w:rPr>
          <w:rFonts w:hint="default" w:ascii="Times New Roman" w:hAnsi="Times New Roman" w:cs="Times New Roman"/>
          <w:sz w:val="24"/>
          <w:szCs w:val="24"/>
        </w:rPr>
        <w:t>验）字</w:t>
      </w:r>
      <w:r>
        <w:rPr>
          <w:rFonts w:hint="eastAsia" w:ascii="Times New Roman" w:hAnsi="Times New Roman" w:cs="Times New Roman"/>
          <w:sz w:val="24"/>
          <w:szCs w:val="24"/>
          <w:lang w:eastAsia="zh-CN"/>
        </w:rPr>
        <w:t>20220902</w:t>
      </w:r>
      <w:r>
        <w:rPr>
          <w:rFonts w:hint="eastAsia"/>
          <w:sz w:val="24"/>
          <w:szCs w:val="24"/>
        </w:rPr>
        <w:t>；</w:t>
      </w:r>
    </w:p>
    <w:p>
      <w:pPr>
        <w:spacing w:line="360" w:lineRule="auto"/>
        <w:rPr>
          <w:rFonts w:hint="default" w:ascii="Times New Roman" w:hAnsi="Times New Roman" w:cs="Times New Roman"/>
          <w:sz w:val="24"/>
          <w:szCs w:val="24"/>
        </w:rPr>
      </w:pPr>
      <w:r>
        <w:rPr>
          <w:rFonts w:hint="eastAsia"/>
          <w:sz w:val="24"/>
          <w:szCs w:val="24"/>
        </w:rPr>
        <w:t>（</w:t>
      </w:r>
      <w:r>
        <w:rPr>
          <w:sz w:val="24"/>
          <w:szCs w:val="24"/>
        </w:rPr>
        <w:t>2</w:t>
      </w:r>
      <w:r>
        <w:rPr>
          <w:rFonts w:hint="eastAsia"/>
          <w:sz w:val="24"/>
          <w:szCs w:val="24"/>
        </w:rPr>
        <w:t>）企</w:t>
      </w:r>
      <w:r>
        <w:rPr>
          <w:rFonts w:hint="default" w:ascii="Times New Roman" w:hAnsi="Times New Roman" w:cs="Times New Roman"/>
          <w:sz w:val="24"/>
          <w:szCs w:val="24"/>
        </w:rPr>
        <w:t>业提供的用水量、监测期间生产工况、固废产生量等。</w:t>
      </w:r>
    </w:p>
    <w:p>
      <w:pPr>
        <w:rPr>
          <w:rFonts w:ascii="Times New Roman" w:hAnsi="Times New Roman" w:eastAsia="宋体" w:cs="Times New Roman"/>
          <w:sz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pPr>
      <w:bookmarkStart w:id="20" w:name="_Toc2705"/>
      <w:r>
        <w:rPr>
          <w:rFonts w:hint="eastAsia"/>
        </w:rPr>
        <w:t>3项目建设情况</w:t>
      </w:r>
      <w:bookmarkEnd w:id="20"/>
    </w:p>
    <w:p>
      <w:pPr>
        <w:pStyle w:val="5"/>
        <w:rPr>
          <w:rFonts w:eastAsia="宋体"/>
        </w:rPr>
      </w:pPr>
      <w:bookmarkStart w:id="21" w:name="_Toc17149"/>
      <w:r>
        <w:rPr>
          <w:rFonts w:eastAsia="宋体"/>
        </w:rPr>
        <w:t>3.1地理位置及平面布置</w:t>
      </w:r>
      <w:bookmarkEnd w:id="21"/>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lang w:eastAsia="zh-CN"/>
        </w:rPr>
        <w:t>浦江金理衣架有限公司</w:t>
      </w:r>
      <w:r>
        <w:rPr>
          <w:rFonts w:ascii="Times New Roman" w:hAnsi="Times New Roman" w:cs="Times New Roman"/>
          <w:sz w:val="24"/>
          <w:szCs w:val="24"/>
        </w:rPr>
        <w:t>位于</w:t>
      </w:r>
      <w:r>
        <w:rPr>
          <w:rFonts w:hint="eastAsia" w:ascii="Times New Roman" w:hAnsi="Times New Roman" w:cs="Times New Roman"/>
          <w:sz w:val="24"/>
          <w:szCs w:val="24"/>
          <w:lang w:eastAsia="zh-CN"/>
        </w:rPr>
        <w:t>浦江</w:t>
      </w:r>
      <w:r>
        <w:rPr>
          <w:rFonts w:hint="eastAsia" w:ascii="Times New Roman" w:hAnsi="Times New Roman" w:cs="Times New Roman"/>
          <w:sz w:val="24"/>
          <w:szCs w:val="24"/>
          <w:highlight w:val="none"/>
          <w:lang w:eastAsia="zh-CN"/>
        </w:rPr>
        <w:t>县黄宅镇中兴路99号</w:t>
      </w:r>
      <w:r>
        <w:rPr>
          <w:rFonts w:hint="eastAsia" w:ascii="Times New Roman" w:hAnsi="Times New Roman" w:eastAsia="宋体" w:cs="Times New Roman"/>
          <w:kern w:val="0"/>
          <w:sz w:val="24"/>
          <w:highlight w:val="none"/>
        </w:rPr>
        <w:t>。项目中心经纬度坐标</w:t>
      </w:r>
      <w:r>
        <w:rPr>
          <w:rFonts w:hint="eastAsia" w:ascii="Times New Roman" w:hAnsi="Times New Roman" w:eastAsia="宋体" w:cs="Times New Roman"/>
          <w:color w:val="auto"/>
          <w:kern w:val="0"/>
          <w:sz w:val="24"/>
          <w:highlight w:val="none"/>
        </w:rPr>
        <w:t>为</w:t>
      </w:r>
      <w:r>
        <w:rPr>
          <w:rFonts w:hint="eastAsia" w:ascii="Times New Roman" w:hAnsi="Times New Roman" w:eastAsia="宋体" w:cs="Times New Roman"/>
          <w:color w:val="auto"/>
          <w:kern w:val="0"/>
          <w:sz w:val="24"/>
          <w:highlight w:val="none"/>
          <w:lang w:val="en-US" w:eastAsia="zh-CN"/>
        </w:rPr>
        <w:t>东经</w:t>
      </w:r>
      <w:r>
        <w:rPr>
          <w:rFonts w:hint="eastAsia" w:ascii="Times New Roman" w:hAnsi="Times New Roman" w:eastAsia="宋体" w:cs="Times New Roman"/>
          <w:color w:val="auto"/>
          <w:sz w:val="24"/>
          <w:szCs w:val="24"/>
          <w:highlight w:val="none"/>
          <w:lang w:val="en-US" w:eastAsia="zh-CN"/>
        </w:rPr>
        <w:t>120.012460</w:t>
      </w:r>
      <w:r>
        <w:rPr>
          <w:rFonts w:hint="eastAsia"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北纬</w:t>
      </w:r>
      <w:r>
        <w:rPr>
          <w:rFonts w:hint="eastAsia" w:ascii="Times New Roman" w:hAnsi="Times New Roman" w:eastAsia="宋体" w:cs="Times New Roman"/>
          <w:color w:val="auto"/>
          <w:sz w:val="24"/>
          <w:szCs w:val="24"/>
          <w:highlight w:val="none"/>
          <w:lang w:val="en-US" w:eastAsia="zh-CN"/>
        </w:rPr>
        <w:t>29.436440</w:t>
      </w:r>
      <w:r>
        <w:rPr>
          <w:rFonts w:hint="eastAsia" w:ascii="Times New Roman" w:hAnsi="Times New Roman" w:eastAsia="宋体" w:cs="Times New Roman"/>
          <w:kern w:val="0"/>
          <w:sz w:val="24"/>
        </w:rPr>
        <w:t>。</w:t>
      </w:r>
      <w:r>
        <w:rPr>
          <w:rFonts w:hint="eastAsia" w:ascii="Times New Roman" w:hAnsi="Times New Roman" w:cs="Times New Roman"/>
          <w:sz w:val="24"/>
          <w:szCs w:val="24"/>
        </w:rPr>
        <w:t>具体地理位置见图3.1-1，厂区四周关系详见表3.1-1，厂区周边关系图见图3.1-2，厂区平面布置图见图3.1-3。</w:t>
      </w:r>
    </w:p>
    <w:p>
      <w:pPr>
        <w:adjustRightInd w:val="0"/>
        <w:snapToGrid w:val="0"/>
        <w:spacing w:line="360" w:lineRule="auto"/>
        <w:ind w:left="210" w:hanging="240" w:hangingChars="100"/>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4747895" cy="3969385"/>
            <wp:effectExtent l="0" t="0" r="14605" b="12065"/>
            <wp:docPr id="2" name="图片 2" descr="166909998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9099982096"/>
                    <pic:cNvPicPr>
                      <a:picLocks noChangeAspect="1"/>
                    </pic:cNvPicPr>
                  </pic:nvPicPr>
                  <pic:blipFill>
                    <a:blip r:embed="rId15"/>
                    <a:stretch>
                      <a:fillRect/>
                    </a:stretch>
                  </pic:blipFill>
                  <pic:spPr>
                    <a:xfrm>
                      <a:off x="0" y="0"/>
                      <a:ext cx="4747895" cy="3969385"/>
                    </a:xfrm>
                    <a:prstGeom prst="rect">
                      <a:avLst/>
                    </a:prstGeom>
                  </pic:spPr>
                </pic:pic>
              </a:graphicData>
            </a:graphic>
          </wp:inline>
        </w:drawing>
      </w:r>
    </w:p>
    <w:p>
      <w:pPr>
        <w:widowControl/>
        <w:jc w:val="center"/>
        <w:rPr>
          <w:rFonts w:ascii="Times New Roman" w:hAnsi="Times New Roman" w:cs="Times New Roman"/>
          <w:b/>
          <w:bCs/>
          <w:szCs w:val="21"/>
        </w:rP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ascii="Times New Roman" w:hAnsi="Times New Roman" w:cs="Times New Roman"/>
          <w:b/>
          <w:bCs/>
          <w:sz w:val="10"/>
          <w:szCs w:val="10"/>
        </w:rPr>
      </w:pPr>
    </w:p>
    <w:p>
      <w:pPr>
        <w:widowControl/>
        <w:jc w:val="center"/>
        <w:rPr>
          <w:rFonts w:ascii="Times New Roman" w:hAnsi="Times New Roman" w:cs="Times New Roman"/>
          <w:b/>
          <w:bCs/>
          <w:szCs w:val="21"/>
        </w:rPr>
      </w:pPr>
      <w:r>
        <w:rPr>
          <w:rFonts w:hint="eastAsia" w:ascii="Times New Roman" w:hAnsi="Times New Roman" w:cs="Times New Roman"/>
          <w:b/>
          <w:bCs/>
          <w:szCs w:val="21"/>
        </w:rPr>
        <w:t>表3.1</w:t>
      </w:r>
      <w:r>
        <w:rPr>
          <w:rFonts w:hint="eastAsia" w:ascii="Times New Roman" w:hAnsi="Times New Roman" w:cs="Times New Roman"/>
          <w:b/>
          <w:bCs/>
          <w:szCs w:val="21"/>
        </w:rPr>
        <w:noBreakHyphen/>
      </w:r>
      <w:r>
        <w:rPr>
          <w:rFonts w:hint="eastAsia" w:ascii="Times New Roman" w:hAnsi="Times New Roman" w:cs="Times New Roman"/>
          <w:b/>
          <w:bCs/>
          <w:szCs w:val="21"/>
        </w:rPr>
        <w:t>1本项目厂区周边环境概况</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4"/>
        <w:gridCol w:w="1568"/>
        <w:gridCol w:w="52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0" w:type="auto"/>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方位</w:t>
            </w:r>
          </w:p>
        </w:tc>
        <w:tc>
          <w:tcPr>
            <w:tcW w:w="1568" w:type="dxa"/>
            <w:tcBorders>
              <w:right w:val="single" w:color="auto" w:sz="4" w:space="0"/>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位置关系</w:t>
            </w:r>
          </w:p>
        </w:tc>
        <w:tc>
          <w:tcPr>
            <w:tcW w:w="5250" w:type="dxa"/>
            <w:tcBorders>
              <w:left w:val="single" w:color="auto" w:sz="4" w:space="0"/>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704"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东</w:t>
            </w:r>
          </w:p>
        </w:tc>
        <w:tc>
          <w:tcPr>
            <w:tcW w:w="1568" w:type="dxa"/>
            <w:tcBorders>
              <w:right w:val="single" w:color="auto" w:sz="4" w:space="0"/>
            </w:tcBorders>
            <w:vAlign w:val="center"/>
          </w:tcPr>
          <w:p>
            <w:pPr>
              <w:spacing w:line="36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紧邻</w:t>
            </w:r>
          </w:p>
        </w:tc>
        <w:tc>
          <w:tcPr>
            <w:tcW w:w="5250" w:type="dxa"/>
            <w:tcBorders>
              <w:left w:val="single" w:color="auto" w:sz="4" w:space="0"/>
            </w:tcBorders>
            <w:vAlign w:val="center"/>
          </w:tcPr>
          <w:p>
            <w:pPr>
              <w:spacing w:line="360" w:lineRule="auto"/>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浦江县新森衣架厂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0" w:type="auto"/>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南</w:t>
            </w:r>
          </w:p>
        </w:tc>
        <w:tc>
          <w:tcPr>
            <w:tcW w:w="1568" w:type="dxa"/>
            <w:tcBorders>
              <w:right w:val="single" w:color="auto" w:sz="4" w:space="0"/>
            </w:tcBorders>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相邻</w:t>
            </w:r>
          </w:p>
        </w:tc>
        <w:tc>
          <w:tcPr>
            <w:tcW w:w="5250" w:type="dxa"/>
            <w:tcBorders>
              <w:left w:val="single" w:color="auto" w:sz="4" w:space="0"/>
            </w:tcBorders>
            <w:vAlign w:val="center"/>
          </w:tcPr>
          <w:p>
            <w:pPr>
              <w:spacing w:line="360" w:lineRule="auto"/>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浦江县鑫鸿工贸有限公司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704"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西</w:t>
            </w:r>
          </w:p>
        </w:tc>
        <w:tc>
          <w:tcPr>
            <w:tcW w:w="1568" w:type="dxa"/>
            <w:tcBorders>
              <w:right w:val="single" w:color="auto" w:sz="4" w:space="0"/>
            </w:tcBorders>
            <w:vAlign w:val="center"/>
          </w:tcPr>
          <w:p>
            <w:pPr>
              <w:spacing w:line="360" w:lineRule="auto"/>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紧邻</w:t>
            </w:r>
          </w:p>
        </w:tc>
        <w:tc>
          <w:tcPr>
            <w:tcW w:w="5250" w:type="dxa"/>
            <w:tcBorders>
              <w:left w:val="single" w:color="auto" w:sz="4" w:space="0"/>
            </w:tcBorders>
            <w:vAlign w:val="center"/>
          </w:tcPr>
          <w:p>
            <w:pPr>
              <w:spacing w:line="360" w:lineRule="auto"/>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浦江欣美恋针织有限公司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704" w:type="dxa"/>
            <w:vMerge w:val="restart"/>
            <w:vAlign w:val="center"/>
          </w:tcPr>
          <w:p>
            <w:pPr>
              <w:spacing w:line="36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北</w:t>
            </w:r>
          </w:p>
        </w:tc>
        <w:tc>
          <w:tcPr>
            <w:tcW w:w="1568" w:type="dxa"/>
            <w:tcBorders>
              <w:right w:val="single" w:color="auto" w:sz="4" w:space="0"/>
            </w:tcBorders>
            <w:vAlign w:val="center"/>
          </w:tcPr>
          <w:p>
            <w:pPr>
              <w:spacing w:line="36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紧邻</w:t>
            </w:r>
          </w:p>
        </w:tc>
        <w:tc>
          <w:tcPr>
            <w:tcW w:w="5250" w:type="dxa"/>
            <w:tcBorders>
              <w:left w:val="single" w:color="auto" w:sz="4" w:space="0"/>
            </w:tcBorders>
            <w:vAlign w:val="center"/>
          </w:tcPr>
          <w:p>
            <w:pPr>
              <w:spacing w:line="360" w:lineRule="auto"/>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园区道路（中兴路）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704" w:type="dxa"/>
            <w:vMerge w:val="continue"/>
            <w:vAlign w:val="center"/>
          </w:tcPr>
          <w:p>
            <w:pPr>
              <w:spacing w:line="360" w:lineRule="auto"/>
              <w:jc w:val="center"/>
              <w:rPr>
                <w:rFonts w:hint="eastAsia" w:ascii="Times New Roman" w:hAnsi="Times New Roman" w:cs="Times New Roman"/>
                <w:szCs w:val="21"/>
              </w:rPr>
            </w:pPr>
          </w:p>
        </w:tc>
        <w:tc>
          <w:tcPr>
            <w:tcW w:w="1568" w:type="dxa"/>
            <w:tcBorders>
              <w:right w:val="single" w:color="auto" w:sz="4" w:space="0"/>
            </w:tcBorders>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隔中兴路</w:t>
            </w:r>
          </w:p>
        </w:tc>
        <w:tc>
          <w:tcPr>
            <w:tcW w:w="5250" w:type="dxa"/>
            <w:tcBorders>
              <w:left w:val="single" w:color="auto" w:sz="4" w:space="0"/>
            </w:tcBorders>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农田</w:t>
            </w:r>
          </w:p>
        </w:tc>
      </w:tr>
    </w:tbl>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3960495" cy="4389755"/>
            <wp:effectExtent l="0" t="0" r="1905" b="10795"/>
            <wp:docPr id="3" name="图片 3" descr="16690997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9099711003"/>
                    <pic:cNvPicPr>
                      <a:picLocks noChangeAspect="1"/>
                    </pic:cNvPicPr>
                  </pic:nvPicPr>
                  <pic:blipFill>
                    <a:blip r:embed="rId16"/>
                    <a:stretch>
                      <a:fillRect/>
                    </a:stretch>
                  </pic:blipFill>
                  <pic:spPr>
                    <a:xfrm>
                      <a:off x="0" y="0"/>
                      <a:ext cx="3960495" cy="4389755"/>
                    </a:xfrm>
                    <a:prstGeom prst="rect">
                      <a:avLst/>
                    </a:prstGeom>
                  </pic:spPr>
                </pic:pic>
              </a:graphicData>
            </a:graphic>
          </wp:inline>
        </w:drawing>
      </w:r>
    </w:p>
    <w:p>
      <w:pPr>
        <w:spacing w:line="360" w:lineRule="auto"/>
        <w:jc w:val="center"/>
        <w:rPr>
          <w:rFonts w:ascii="Times New Roman" w:hAnsi="Times New Roman" w:cs="Times New Roman"/>
          <w:b/>
          <w:bCs/>
          <w:szCs w:val="21"/>
        </w:rP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w:t>
      </w:r>
      <w:r>
        <w:rPr>
          <w:rFonts w:hint="eastAsia" w:ascii="Times New Roman" w:hAnsi="Times New Roman" w:cs="Times New Roman"/>
          <w:b/>
          <w:bCs/>
          <w:szCs w:val="21"/>
        </w:rPr>
        <w:t>2</w:t>
      </w:r>
      <w:r>
        <w:rPr>
          <w:rFonts w:ascii="Times New Roman" w:hAnsi="Times New Roman" w:cs="Times New Roman"/>
          <w:b/>
          <w:bCs/>
          <w:szCs w:val="21"/>
        </w:rPr>
        <w:t xml:space="preserve"> 项目</w:t>
      </w:r>
      <w:r>
        <w:rPr>
          <w:rFonts w:hint="eastAsia" w:ascii="Times New Roman" w:hAnsi="Times New Roman" w:cs="Times New Roman"/>
          <w:b/>
          <w:bCs/>
          <w:szCs w:val="21"/>
        </w:rPr>
        <w:t>周边关系图</w:t>
      </w:r>
    </w:p>
    <w:p>
      <w:pPr>
        <w:spacing w:line="360" w:lineRule="auto"/>
        <w:jc w:val="center"/>
        <w:rPr>
          <w:rFonts w:hint="eastAsia" w:ascii="Times New Roman" w:hAnsi="Times New Roman" w:cs="Times New Roman" w:eastAsiaTheme="minorEastAsia"/>
          <w:b/>
          <w:bCs/>
          <w:szCs w:val="21"/>
          <w:lang w:eastAsia="zh-CN"/>
        </w:rPr>
      </w:pPr>
      <w:bookmarkStart w:id="22" w:name="_Hlk534829572"/>
      <w:r>
        <w:rPr>
          <w:rFonts w:hint="eastAsia" w:ascii="Times New Roman" w:hAnsi="Times New Roman" w:cs="Times New Roman" w:eastAsiaTheme="minorEastAsia"/>
          <w:b/>
          <w:bCs/>
          <w:szCs w:val="21"/>
          <w:lang w:eastAsia="zh-CN"/>
        </w:rPr>
        <w:drawing>
          <wp:inline distT="0" distB="0" distL="114300" distR="114300">
            <wp:extent cx="3321685" cy="3648075"/>
            <wp:effectExtent l="0" t="0" r="12065" b="9525"/>
            <wp:docPr id="4" name="图片 4" descr="车间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车间布局图"/>
                    <pic:cNvPicPr>
                      <a:picLocks noChangeAspect="1"/>
                    </pic:cNvPicPr>
                  </pic:nvPicPr>
                  <pic:blipFill>
                    <a:blip r:embed="rId17"/>
                    <a:stretch>
                      <a:fillRect/>
                    </a:stretch>
                  </pic:blipFill>
                  <pic:spPr>
                    <a:xfrm>
                      <a:off x="0" y="0"/>
                      <a:ext cx="3321685" cy="3648075"/>
                    </a:xfrm>
                    <a:prstGeom prst="rect">
                      <a:avLst/>
                    </a:prstGeom>
                  </pic:spPr>
                </pic:pic>
              </a:graphicData>
            </a:graphic>
          </wp:inline>
        </w:drawing>
      </w:r>
    </w:p>
    <w:p>
      <w:pPr>
        <w:widowControl/>
        <w:jc w:val="center"/>
        <w:rPr>
          <w:rFonts w:ascii="Times New Roman" w:hAnsi="Times New Roman" w:cs="Times New Roman"/>
          <w:b/>
          <w:bCs/>
          <w:szCs w:val="21"/>
        </w:rPr>
      </w:pPr>
      <w:r>
        <w:rPr>
          <w:rFonts w:ascii="Times New Roman" w:hAnsi="Times New Roman" w:cs="Times New Roman"/>
          <w:b/>
          <w:bCs/>
          <w:szCs w:val="21"/>
        </w:rPr>
        <w:t xml:space="preserve">图 </w:t>
      </w:r>
      <w:bookmarkEnd w:id="22"/>
      <w:r>
        <w:rPr>
          <w:rFonts w:ascii="Times New Roman" w:hAnsi="Times New Roman" w:cs="Times New Roman"/>
          <w:b/>
          <w:bCs/>
          <w:szCs w:val="21"/>
        </w:rPr>
        <w:t>3.1-</w:t>
      </w:r>
      <w:r>
        <w:rPr>
          <w:rFonts w:hint="eastAsia" w:ascii="Times New Roman" w:hAnsi="Times New Roman" w:cs="Times New Roman"/>
          <w:b/>
          <w:bCs/>
          <w:szCs w:val="21"/>
        </w:rPr>
        <w:t>3</w:t>
      </w:r>
      <w:r>
        <w:rPr>
          <w:rFonts w:ascii="Times New Roman" w:hAnsi="Times New Roman" w:cs="Times New Roman"/>
          <w:b/>
          <w:bCs/>
          <w:szCs w:val="21"/>
        </w:rPr>
        <w:t xml:space="preserve">  项目厂区平面布置图 </w:t>
      </w:r>
    </w:p>
    <w:p>
      <w:pPr>
        <w:pStyle w:val="5"/>
        <w:rPr>
          <w:rFonts w:eastAsia="宋体"/>
        </w:rPr>
      </w:pPr>
      <w:bookmarkStart w:id="23" w:name="_Toc29421"/>
      <w:r>
        <w:rPr>
          <w:rFonts w:eastAsia="宋体"/>
        </w:rPr>
        <w:t>3.2建设内容</w:t>
      </w:r>
      <w:bookmarkEnd w:id="23"/>
    </w:p>
    <w:p>
      <w:pPr>
        <w:spacing w:line="360" w:lineRule="auto"/>
        <w:ind w:firstLine="480"/>
        <w:rPr>
          <w:rFonts w:hint="default" w:ascii="Times New Roman" w:hAnsi="Times New Roman" w:cs="Times New Roman" w:eastAsiaTheme="minorEastAsia"/>
          <w:sz w:val="24"/>
          <w:szCs w:val="24"/>
          <w:lang w:eastAsia="zh-CN"/>
        </w:rPr>
      </w:pPr>
      <w:r>
        <w:rPr>
          <w:rFonts w:hint="default" w:ascii="Times New Roman" w:hAnsi="Times New Roman" w:cs="Times New Roman"/>
          <w:bCs/>
          <w:sz w:val="24"/>
          <w:szCs w:val="24"/>
        </w:rPr>
        <w:t>（1）项目名称：</w:t>
      </w:r>
      <w:r>
        <w:rPr>
          <w:rFonts w:hint="eastAsia" w:ascii="Times New Roman" w:hAnsi="Times New Roman" w:cs="Times New Roman"/>
          <w:sz w:val="24"/>
          <w:szCs w:val="24"/>
          <w:lang w:eastAsia="zh-CN"/>
        </w:rPr>
        <w:t>浦江金理衣架有限公司年产1430万个衣架生产线建设项目</w:t>
      </w:r>
    </w:p>
    <w:p>
      <w:pPr>
        <w:spacing w:line="360" w:lineRule="auto"/>
        <w:ind w:firstLine="480"/>
        <w:rPr>
          <w:rFonts w:hint="default" w:ascii="Times New Roman" w:hAnsi="Times New Roman" w:cs="Times New Roman" w:eastAsiaTheme="minorEastAsia"/>
          <w:sz w:val="24"/>
          <w:szCs w:val="24"/>
          <w:highlight w:val="yellow"/>
          <w:lang w:val="en-US" w:eastAsia="zh-CN"/>
        </w:rPr>
      </w:pPr>
      <w:r>
        <w:rPr>
          <w:rFonts w:hint="default" w:ascii="Times New Roman" w:hAnsi="Times New Roman" w:cs="Times New Roman"/>
          <w:sz w:val="24"/>
          <w:szCs w:val="24"/>
        </w:rPr>
        <w:t>（2）项目性质：</w:t>
      </w:r>
      <w:r>
        <w:rPr>
          <w:rFonts w:hint="eastAsia" w:ascii="Times New Roman" w:hAnsi="Times New Roman" w:cs="Times New Roman"/>
          <w:sz w:val="24"/>
          <w:szCs w:val="24"/>
          <w:highlight w:val="none"/>
          <w:lang w:val="en-US" w:eastAsia="zh-CN"/>
        </w:rPr>
        <w:t>新建</w:t>
      </w:r>
    </w:p>
    <w:p>
      <w:pPr>
        <w:spacing w:line="360" w:lineRule="auto"/>
        <w:ind w:firstLine="480"/>
        <w:rPr>
          <w:rFonts w:hint="default" w:ascii="Times New Roman" w:hAnsi="Times New Roman" w:cs="Times New Roman" w:eastAsiaTheme="minorEastAsia"/>
          <w:sz w:val="24"/>
          <w:lang w:eastAsia="zh-CN"/>
        </w:rPr>
      </w:pPr>
      <w:r>
        <w:rPr>
          <w:rFonts w:hint="default" w:ascii="Times New Roman" w:hAnsi="Times New Roman" w:cs="Times New Roman"/>
          <w:sz w:val="24"/>
          <w:szCs w:val="24"/>
        </w:rPr>
        <w:t>（3）建设地点：</w:t>
      </w:r>
      <w:r>
        <w:rPr>
          <w:rFonts w:hint="eastAsia" w:ascii="Times New Roman" w:hAnsi="Times New Roman" w:eastAsia="宋体" w:cs="Times New Roman"/>
          <w:kern w:val="0"/>
          <w:sz w:val="24"/>
          <w:lang w:eastAsia="zh-CN"/>
        </w:rPr>
        <w:t>浦江县黄宅镇中兴路99号</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（4）项目总投资、生产组织方式及劳动定员</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项目实际总投资</w:t>
      </w:r>
      <w:r>
        <w:rPr>
          <w:rFonts w:hint="eastAsia" w:ascii="Times New Roman" w:hAnsi="Times New Roman" w:cs="Times New Roman"/>
          <w:sz w:val="24"/>
          <w:szCs w:val="24"/>
          <w:lang w:val="en-US" w:eastAsia="zh-CN"/>
        </w:rPr>
        <w:t>450</w:t>
      </w:r>
      <w:r>
        <w:rPr>
          <w:rFonts w:hint="default" w:ascii="Times New Roman" w:hAnsi="Times New Roman" w:cs="Times New Roman"/>
          <w:color w:val="auto"/>
          <w:sz w:val="24"/>
          <w:szCs w:val="24"/>
          <w:lang w:val="en-US" w:eastAsia="zh-CN"/>
        </w:rPr>
        <w:t>万</w:t>
      </w:r>
      <w:r>
        <w:rPr>
          <w:rFonts w:hint="default" w:ascii="Times New Roman" w:hAnsi="Times New Roman" w:cs="Times New Roman"/>
          <w:color w:val="auto"/>
          <w:sz w:val="24"/>
          <w:szCs w:val="24"/>
        </w:rPr>
        <w:t>元，环保</w:t>
      </w:r>
      <w:r>
        <w:rPr>
          <w:rFonts w:hint="default" w:ascii="Times New Roman" w:hAnsi="Times New Roman" w:cs="Times New Roman"/>
          <w:color w:val="auto"/>
          <w:sz w:val="24"/>
          <w:szCs w:val="24"/>
          <w:highlight w:val="none"/>
        </w:rPr>
        <w:t>实际投资</w:t>
      </w:r>
      <w:r>
        <w:rPr>
          <w:rFonts w:hint="eastAsia"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万元，占总投资</w:t>
      </w:r>
      <w:r>
        <w:rPr>
          <w:rFonts w:hint="eastAsia" w:ascii="Times New Roman" w:hAnsi="Times New Roman" w:cs="Times New Roman"/>
          <w:color w:val="auto"/>
          <w:sz w:val="24"/>
          <w:szCs w:val="24"/>
          <w:highlight w:val="none"/>
          <w:lang w:val="en-US" w:eastAsia="zh-CN"/>
        </w:rPr>
        <w:t>5.11%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rPr>
        <w:t>本项目现有员</w:t>
      </w:r>
      <w:r>
        <w:rPr>
          <w:rFonts w:hint="default" w:ascii="Times New Roman" w:hAnsi="Times New Roman" w:cs="Times New Roman"/>
          <w:color w:val="auto"/>
          <w:sz w:val="24"/>
          <w:szCs w:val="24"/>
          <w:highlight w:val="none"/>
        </w:rPr>
        <w:t>工</w:t>
      </w:r>
      <w:r>
        <w:rPr>
          <w:rFonts w:hint="eastAsia"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rPr>
        <w:t>人</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白班制生产，8</w:t>
      </w:r>
      <w:r>
        <w:rPr>
          <w:rFonts w:hint="default" w:ascii="Times New Roman" w:hAnsi="Times New Roman" w:cs="Times New Roman"/>
          <w:color w:val="auto"/>
          <w:sz w:val="24"/>
          <w:szCs w:val="24"/>
          <w:highlight w:val="none"/>
          <w:lang w:val="en-US" w:eastAsia="zh-CN"/>
        </w:rPr>
        <w:t>小时</w:t>
      </w:r>
      <w:r>
        <w:rPr>
          <w:rFonts w:hint="eastAsia" w:ascii="Times New Roman" w:hAnsi="Times New Roman" w:cs="Times New Roman"/>
          <w:color w:val="auto"/>
          <w:sz w:val="24"/>
          <w:szCs w:val="24"/>
          <w:highlight w:val="none"/>
          <w:lang w:val="en-US" w:eastAsia="zh-CN"/>
        </w:rPr>
        <w:t>/班，年生产300天</w:t>
      </w:r>
      <w:r>
        <w:rPr>
          <w:rFonts w:hint="default" w:ascii="Times New Roman" w:hAnsi="Times New Roman" w:cs="Times New Roman"/>
          <w:color w:val="auto"/>
          <w:sz w:val="24"/>
          <w:szCs w:val="24"/>
          <w:highlight w:val="none"/>
        </w:rPr>
        <w:t>。</w:t>
      </w:r>
      <w:r>
        <w:rPr>
          <w:rFonts w:hint="default" w:ascii="Times New Roman" w:hAnsi="Times New Roman" w:cs="Times New Roman"/>
          <w:sz w:val="24"/>
          <w:szCs w:val="24"/>
          <w:highlight w:val="none"/>
        </w:rPr>
        <w:t>厂内</w:t>
      </w:r>
      <w:r>
        <w:rPr>
          <w:rFonts w:hint="eastAsia" w:ascii="Times New Roman" w:hAnsi="Times New Roman" w:cs="Times New Roman"/>
          <w:sz w:val="24"/>
          <w:szCs w:val="24"/>
          <w:highlight w:val="none"/>
          <w:lang w:val="en-US" w:eastAsia="zh-CN"/>
        </w:rPr>
        <w:t>设有</w:t>
      </w:r>
      <w:r>
        <w:rPr>
          <w:rFonts w:hint="default" w:ascii="Times New Roman" w:hAnsi="Times New Roman" w:cs="Times New Roman"/>
          <w:sz w:val="24"/>
          <w:szCs w:val="24"/>
          <w:highlight w:val="none"/>
        </w:rPr>
        <w:t>宿舍</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rPr>
        <w:t>不提供</w:t>
      </w:r>
      <w:r>
        <w:rPr>
          <w:rFonts w:hint="default" w:ascii="Times New Roman" w:hAnsi="Times New Roman" w:cs="Times New Roman"/>
          <w:sz w:val="24"/>
          <w:szCs w:val="24"/>
          <w:highlight w:val="none"/>
          <w:lang w:val="en-US" w:eastAsia="zh-CN"/>
        </w:rPr>
        <w:t>食堂</w:t>
      </w:r>
      <w:r>
        <w:rPr>
          <w:rFonts w:hint="default" w:ascii="Times New Roman" w:hAnsi="Times New Roman" w:cs="Times New Roman"/>
          <w:sz w:val="24"/>
          <w:szCs w:val="24"/>
        </w:rPr>
        <w:t>。项目环评报告与实际建设内容变更情况见表3.2-1。</w:t>
      </w:r>
    </w:p>
    <w:p>
      <w:pPr>
        <w:spacing w:line="360" w:lineRule="auto"/>
        <w:ind w:firstLine="42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表3.2-1 项目环评</w:t>
      </w:r>
      <w:r>
        <w:rPr>
          <w:rFonts w:hint="eastAsia" w:ascii="Times New Roman" w:hAnsi="Times New Roman" w:eastAsia="宋体" w:cs="Times New Roman"/>
          <w:b/>
          <w:bCs/>
          <w:szCs w:val="21"/>
        </w:rPr>
        <w:t>报告</w:t>
      </w:r>
      <w:r>
        <w:rPr>
          <w:rFonts w:ascii="Times New Roman" w:hAnsi="Times New Roman" w:eastAsia="宋体" w:cs="Times New Roman"/>
          <w:b/>
          <w:bCs/>
          <w:szCs w:val="21"/>
        </w:rPr>
        <w:t>与实际建设内容变更对照表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178"/>
        <w:gridCol w:w="2881"/>
        <w:gridCol w:w="2716"/>
        <w:gridCol w:w="10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916" w:type="dxa"/>
            <w:gridSpan w:val="2"/>
            <w:vAlign w:val="center"/>
          </w:tcPr>
          <w:p>
            <w:pPr>
              <w:spacing w:line="360" w:lineRule="auto"/>
              <w:jc w:val="center"/>
              <w:rPr>
                <w:rFonts w:hint="default" w:ascii="Times New Roman" w:hAnsi="Times New Roman" w:cs="Times New Roman"/>
              </w:rPr>
            </w:pPr>
            <w:bookmarkStart w:id="24" w:name="_Hlk14792919"/>
            <w:r>
              <w:rPr>
                <w:rFonts w:hint="default" w:ascii="Times New Roman" w:hAnsi="Times New Roman" w:cs="Times New Roman"/>
                <w:b/>
                <w:bCs/>
                <w:snapToGrid w:val="0"/>
                <w:spacing w:val="-10"/>
                <w:kern w:val="24"/>
                <w:szCs w:val="21"/>
              </w:rPr>
              <w:t>项目工程</w:t>
            </w:r>
          </w:p>
        </w:tc>
        <w:tc>
          <w:tcPr>
            <w:tcW w:w="2881" w:type="dxa"/>
            <w:vAlign w:val="center"/>
          </w:tcPr>
          <w:p>
            <w:pPr>
              <w:spacing w:line="360" w:lineRule="auto"/>
              <w:jc w:val="center"/>
              <w:rPr>
                <w:rFonts w:hint="default" w:ascii="Times New Roman" w:hAnsi="Times New Roman" w:cs="Times New Roman"/>
                <w:b/>
                <w:bCs/>
                <w:snapToGrid w:val="0"/>
                <w:spacing w:val="-10"/>
                <w:kern w:val="24"/>
                <w:szCs w:val="21"/>
              </w:rPr>
            </w:pPr>
            <w:r>
              <w:rPr>
                <w:rFonts w:hint="default" w:ascii="Times New Roman" w:hAnsi="Times New Roman" w:eastAsia="宋体" w:cs="Times New Roman"/>
                <w:b/>
                <w:bCs/>
                <w:snapToGrid w:val="0"/>
                <w:spacing w:val="-10"/>
                <w:kern w:val="24"/>
                <w:szCs w:val="21"/>
                <w:highlight w:val="none"/>
              </w:rPr>
              <w:t>环评</w:t>
            </w:r>
            <w:r>
              <w:rPr>
                <w:rFonts w:hint="eastAsia" w:ascii="Times New Roman" w:hAnsi="Times New Roman" w:eastAsia="宋体" w:cs="Times New Roman"/>
                <w:b/>
                <w:bCs/>
                <w:snapToGrid w:val="0"/>
                <w:spacing w:val="-10"/>
                <w:kern w:val="24"/>
                <w:szCs w:val="21"/>
                <w:highlight w:val="none"/>
                <w:lang w:eastAsia="zh-CN"/>
              </w:rPr>
              <w:t>及批复要求</w:t>
            </w:r>
          </w:p>
        </w:tc>
        <w:tc>
          <w:tcPr>
            <w:tcW w:w="2716" w:type="dxa"/>
            <w:vAlign w:val="center"/>
          </w:tcPr>
          <w:p>
            <w:pPr>
              <w:spacing w:line="360" w:lineRule="auto"/>
              <w:jc w:val="center"/>
              <w:rPr>
                <w:rFonts w:hint="default" w:ascii="Times New Roman" w:hAnsi="Times New Roman" w:cs="Times New Roman"/>
                <w:b/>
                <w:bCs/>
                <w:snapToGrid w:val="0"/>
                <w:spacing w:val="-10"/>
                <w:kern w:val="24"/>
                <w:szCs w:val="21"/>
              </w:rPr>
            </w:pPr>
            <w:r>
              <w:rPr>
                <w:rFonts w:hint="default" w:ascii="Times New Roman" w:hAnsi="Times New Roman" w:cs="Times New Roman"/>
                <w:b/>
                <w:bCs/>
                <w:snapToGrid w:val="0"/>
                <w:spacing w:val="-10"/>
                <w:kern w:val="24"/>
                <w:szCs w:val="21"/>
              </w:rPr>
              <w:t>实际建设情况</w:t>
            </w:r>
          </w:p>
        </w:tc>
        <w:tc>
          <w:tcPr>
            <w:tcW w:w="1009" w:type="dxa"/>
            <w:vAlign w:val="center"/>
          </w:tcPr>
          <w:p>
            <w:pPr>
              <w:spacing w:line="360" w:lineRule="auto"/>
              <w:jc w:val="center"/>
              <w:rPr>
                <w:rFonts w:hint="default" w:ascii="Times New Roman" w:hAnsi="Times New Roman" w:cs="Times New Roman"/>
                <w:b/>
                <w:bCs/>
                <w:snapToGrid w:val="0"/>
                <w:spacing w:val="-10"/>
                <w:kern w:val="24"/>
                <w:szCs w:val="21"/>
              </w:rPr>
            </w:pPr>
            <w:r>
              <w:rPr>
                <w:rFonts w:hint="default" w:ascii="Times New Roman" w:hAnsi="Times New Roman" w:cs="Times New Roman"/>
                <w:b/>
                <w:bCs/>
                <w:snapToGrid w:val="0"/>
                <w:spacing w:val="-10"/>
                <w:kern w:val="24"/>
                <w:szCs w:val="21"/>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6" w:type="dxa"/>
            <w:gridSpan w:val="2"/>
            <w:vAlign w:val="center"/>
          </w:tcPr>
          <w:p>
            <w:pPr>
              <w:jc w:val="center"/>
              <w:rPr>
                <w:rFonts w:hint="default" w:ascii="Times New Roman" w:hAnsi="Times New Roman" w:cs="Times New Roman"/>
                <w:snapToGrid w:val="0"/>
                <w:spacing w:val="-10"/>
                <w:kern w:val="24"/>
                <w:szCs w:val="21"/>
              </w:rPr>
            </w:pPr>
            <w:r>
              <w:rPr>
                <w:rFonts w:hint="default" w:ascii="Times New Roman" w:hAnsi="Times New Roman" w:cs="Times New Roman"/>
                <w:snapToGrid w:val="0"/>
                <w:spacing w:val="-10"/>
                <w:kern w:val="24"/>
                <w:szCs w:val="21"/>
              </w:rPr>
              <w:t>建设规模</w:t>
            </w:r>
          </w:p>
        </w:tc>
        <w:tc>
          <w:tcPr>
            <w:tcW w:w="2881" w:type="dxa"/>
            <w:vAlign w:val="center"/>
          </w:tcPr>
          <w:p>
            <w:pPr>
              <w:jc w:val="left"/>
              <w:rPr>
                <w:rFonts w:hint="default"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年产1430万个衣架生产线建设项目</w:t>
            </w:r>
          </w:p>
        </w:tc>
        <w:tc>
          <w:tcPr>
            <w:tcW w:w="2716" w:type="dxa"/>
            <w:vAlign w:val="center"/>
          </w:tcPr>
          <w:p>
            <w:pPr>
              <w:jc w:val="left"/>
              <w:rPr>
                <w:rFonts w:hint="default" w:ascii="Times New Roman" w:hAnsi="Times New Roman" w:cs="Times New Roman" w:eastAsiaTheme="minorEastAsia"/>
                <w:color w:val="auto"/>
                <w:szCs w:val="21"/>
                <w:lang w:eastAsia="zh-CN"/>
              </w:rPr>
            </w:pPr>
            <w:r>
              <w:rPr>
                <w:rFonts w:hint="eastAsia" w:ascii="Times New Roman" w:hAnsi="Times New Roman" w:cs="Times New Roman"/>
                <w:color w:val="auto"/>
                <w:szCs w:val="21"/>
                <w:highlight w:val="none"/>
                <w:lang w:eastAsia="zh-CN"/>
              </w:rPr>
              <w:t>年产1</w:t>
            </w:r>
            <w:r>
              <w:rPr>
                <w:rFonts w:hint="eastAsia"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eastAsia="zh-CN"/>
              </w:rPr>
              <w:t>30万个衣架生产线建设项目</w:t>
            </w:r>
          </w:p>
        </w:tc>
        <w:tc>
          <w:tcPr>
            <w:tcW w:w="1009"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木衣架不生产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738" w:type="dxa"/>
            <w:vAlign w:val="center"/>
          </w:tcPr>
          <w:p>
            <w:pPr>
              <w:jc w:val="center"/>
              <w:rPr>
                <w:rFonts w:hint="default" w:ascii="Times New Roman" w:hAnsi="Times New Roman" w:cs="Times New Roman"/>
                <w:snapToGrid w:val="0"/>
                <w:spacing w:val="-10"/>
                <w:kern w:val="24"/>
                <w:szCs w:val="21"/>
              </w:rPr>
            </w:pPr>
            <w:r>
              <w:rPr>
                <w:rFonts w:hint="default" w:ascii="Times New Roman" w:hAnsi="Times New Roman" w:cs="Times New Roman"/>
                <w:snapToGrid w:val="0"/>
                <w:spacing w:val="-10"/>
                <w:kern w:val="24"/>
                <w:szCs w:val="21"/>
              </w:rPr>
              <w:t>主体工程</w:t>
            </w:r>
          </w:p>
        </w:tc>
        <w:tc>
          <w:tcPr>
            <w:tcW w:w="1178" w:type="dxa"/>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生产厂房</w:t>
            </w:r>
          </w:p>
        </w:tc>
        <w:tc>
          <w:tcPr>
            <w:tcW w:w="2881" w:type="dxa"/>
            <w:vAlign w:val="center"/>
          </w:tcPr>
          <w:p>
            <w:pP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szCs w:val="21"/>
                <w:lang w:val="en-US" w:eastAsia="zh-CN"/>
              </w:rPr>
              <w:t>第1幢为生产用房，包含机加工车间、浸塑车间、</w:t>
            </w:r>
            <w:r>
              <w:rPr>
                <w:rFonts w:hint="eastAsia" w:ascii="Times New Roman" w:hAnsi="Times New Roman" w:cs="Times New Roman"/>
                <w:szCs w:val="21"/>
                <w:highlight w:val="none"/>
                <w:lang w:val="en-US" w:eastAsia="zh-CN"/>
              </w:rPr>
              <w:t>点焊车</w:t>
            </w:r>
            <w:r>
              <w:rPr>
                <w:rFonts w:hint="eastAsia" w:ascii="Times New Roman" w:hAnsi="Times New Roman" w:cs="Times New Roman"/>
                <w:szCs w:val="21"/>
                <w:lang w:val="en-US" w:eastAsia="zh-CN"/>
              </w:rPr>
              <w:t>间、包装、电焊车间、喷漆车间、仓库</w:t>
            </w:r>
          </w:p>
        </w:tc>
        <w:tc>
          <w:tcPr>
            <w:tcW w:w="2716" w:type="dxa"/>
            <w:vAlign w:val="center"/>
          </w:tcPr>
          <w:p>
            <w:pPr>
              <w:jc w:val="left"/>
              <w:rPr>
                <w:rFonts w:hint="eastAsia" w:ascii="Times New Roman" w:hAnsi="Times New Roman" w:cs="Times New Roman"/>
                <w:color w:val="auto"/>
                <w:szCs w:val="21"/>
                <w:lang w:eastAsia="zh-CN"/>
              </w:rPr>
            </w:pPr>
            <w:r>
              <w:rPr>
                <w:rFonts w:hint="default" w:ascii="Times New Roman" w:hAnsi="Times New Roman" w:cs="Times New Roman"/>
                <w:color w:val="auto"/>
                <w:szCs w:val="21"/>
                <w:highlight w:val="none"/>
              </w:rPr>
              <w:t>生产车间厂房</w:t>
            </w:r>
            <w:r>
              <w:rPr>
                <w:rFonts w:hint="eastAsia" w:ascii="Times New Roman" w:hAnsi="Times New Roman" w:cs="Times New Roman"/>
                <w:color w:val="auto"/>
                <w:szCs w:val="21"/>
                <w:highlight w:val="none"/>
                <w:lang w:eastAsia="zh-CN"/>
              </w:rPr>
              <w:t>，</w:t>
            </w:r>
            <w:r>
              <w:rPr>
                <w:rFonts w:hint="default" w:ascii="Times New Roman" w:hAnsi="Times New Roman" w:cs="Times New Roman"/>
                <w:szCs w:val="21"/>
              </w:rPr>
              <w:t>包括1F机加工车间和点焊车间，2F浸塑车间和点焊车间，3F包装车间和仓库，4F、5F仓库，6F浸塑车间和点焊车间</w:t>
            </w:r>
          </w:p>
        </w:tc>
        <w:tc>
          <w:tcPr>
            <w:tcW w:w="1009" w:type="dxa"/>
            <w:vAlign w:val="center"/>
          </w:tcPr>
          <w:p>
            <w:pPr>
              <w:jc w:val="center"/>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restart"/>
            <w:vAlign w:val="center"/>
          </w:tcPr>
          <w:p>
            <w:pPr>
              <w:jc w:val="center"/>
              <w:rPr>
                <w:rFonts w:hint="eastAsia" w:ascii="Times New Roman" w:hAnsi="Times New Roman" w:cs="Times New Roman"/>
                <w:snapToGrid w:val="0"/>
                <w:spacing w:val="-10"/>
                <w:kern w:val="24"/>
                <w:szCs w:val="21"/>
                <w:lang w:val="en-US" w:eastAsia="zh-CN"/>
              </w:rPr>
            </w:pPr>
            <w:r>
              <w:rPr>
                <w:rFonts w:hint="eastAsia" w:ascii="Times New Roman" w:hAnsi="Times New Roman" w:cs="Times New Roman"/>
                <w:snapToGrid w:val="0"/>
                <w:spacing w:val="-10"/>
                <w:kern w:val="24"/>
                <w:szCs w:val="21"/>
                <w:lang w:val="en-US" w:eastAsia="zh-CN"/>
              </w:rPr>
              <w:t>辅助工程</w:t>
            </w:r>
          </w:p>
        </w:tc>
        <w:tc>
          <w:tcPr>
            <w:tcW w:w="117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食堂</w:t>
            </w:r>
          </w:p>
        </w:tc>
        <w:tc>
          <w:tcPr>
            <w:tcW w:w="2881" w:type="dxa"/>
            <w:vAlign w:val="center"/>
          </w:tcPr>
          <w:p>
            <w:pPr>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第2幢设有食堂，作为员工就餐场所</w:t>
            </w:r>
          </w:p>
        </w:tc>
        <w:tc>
          <w:tcPr>
            <w:tcW w:w="2716" w:type="dxa"/>
            <w:vAlign w:val="center"/>
          </w:tcPr>
          <w:p>
            <w:pPr>
              <w:jc w:val="left"/>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目前不设食堂，第2幢作为办公室和宿舍使用</w:t>
            </w:r>
          </w:p>
        </w:tc>
        <w:tc>
          <w:tcPr>
            <w:tcW w:w="1009" w:type="dxa"/>
            <w:vAlign w:val="center"/>
          </w:tcPr>
          <w:p>
            <w:pPr>
              <w:spacing w:line="360" w:lineRule="auto"/>
              <w:jc w:val="center"/>
              <w:rPr>
                <w:rFonts w:hint="eastAsia" w:ascii="Times New Roman" w:hAnsi="Times New Roman" w:cs="Times New Roman"/>
                <w:szCs w:val="21"/>
                <w:highlight w:val="none"/>
                <w:lang w:val="en-US" w:eastAsia="zh-CN"/>
              </w:rPr>
            </w:pPr>
            <w:r>
              <w:rPr>
                <w:rFonts w:hint="eastAsia" w:ascii="Times New Roman" w:hAnsi="Times New Roman" w:cs="Times New Roman"/>
                <w:snapToGrid w:val="0"/>
                <w:color w:val="auto"/>
                <w:spacing w:val="-10"/>
                <w:kern w:val="24"/>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continue"/>
            <w:vAlign w:val="center"/>
          </w:tcPr>
          <w:p>
            <w:pPr>
              <w:jc w:val="center"/>
              <w:rPr>
                <w:rFonts w:hint="eastAsia" w:ascii="Times New Roman" w:hAnsi="Times New Roman" w:cs="Times New Roman"/>
                <w:snapToGrid w:val="0"/>
                <w:spacing w:val="-10"/>
                <w:kern w:val="24"/>
                <w:szCs w:val="21"/>
                <w:lang w:val="en-US" w:eastAsia="zh-CN"/>
              </w:rPr>
            </w:pPr>
          </w:p>
        </w:tc>
        <w:tc>
          <w:tcPr>
            <w:tcW w:w="117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办公区</w:t>
            </w:r>
          </w:p>
        </w:tc>
        <w:tc>
          <w:tcPr>
            <w:tcW w:w="2881" w:type="dxa"/>
            <w:vAlign w:val="center"/>
          </w:tcPr>
          <w:p>
            <w:pPr>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第2幢设有办公区，作为办公及休息场所使用</w:t>
            </w:r>
          </w:p>
        </w:tc>
        <w:tc>
          <w:tcPr>
            <w:tcW w:w="2716" w:type="dxa"/>
            <w:vAlign w:val="center"/>
          </w:tcPr>
          <w:p>
            <w:pPr>
              <w:jc w:val="left"/>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第2幢2F设有办公区，作为办公及休息场所使用</w:t>
            </w:r>
          </w:p>
        </w:tc>
        <w:tc>
          <w:tcPr>
            <w:tcW w:w="1009" w:type="dxa"/>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napToGrid w:val="0"/>
                <w:color w:val="auto"/>
                <w:spacing w:val="-10"/>
                <w:kern w:val="24"/>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restart"/>
            <w:vAlign w:val="center"/>
          </w:tcPr>
          <w:p>
            <w:pPr>
              <w:jc w:val="center"/>
              <w:rPr>
                <w:rFonts w:hint="default" w:ascii="Times New Roman" w:hAnsi="Times New Roman" w:cs="Times New Roman"/>
                <w:snapToGrid w:val="0"/>
                <w:spacing w:val="-10"/>
                <w:kern w:val="24"/>
                <w:szCs w:val="21"/>
              </w:rPr>
            </w:pPr>
            <w:r>
              <w:rPr>
                <w:rFonts w:hint="eastAsia" w:ascii="Times New Roman" w:hAnsi="Times New Roman" w:cs="Times New Roman"/>
                <w:snapToGrid w:val="0"/>
                <w:spacing w:val="-10"/>
                <w:kern w:val="24"/>
                <w:szCs w:val="21"/>
                <w:lang w:val="en-US" w:eastAsia="zh-CN"/>
              </w:rPr>
              <w:t>公用</w:t>
            </w:r>
            <w:r>
              <w:rPr>
                <w:rFonts w:hint="default" w:ascii="Times New Roman" w:hAnsi="Times New Roman" w:cs="Times New Roman"/>
                <w:snapToGrid w:val="0"/>
                <w:spacing w:val="-10"/>
                <w:kern w:val="24"/>
                <w:szCs w:val="21"/>
              </w:rPr>
              <w:t>工程</w:t>
            </w:r>
          </w:p>
        </w:tc>
        <w:tc>
          <w:tcPr>
            <w:tcW w:w="1178" w:type="dxa"/>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z w:val="21"/>
                <w:szCs w:val="21"/>
                <w:lang w:val="en-US" w:eastAsia="zh-CN"/>
              </w:rPr>
              <w:t>给水</w:t>
            </w:r>
          </w:p>
        </w:tc>
        <w:tc>
          <w:tcPr>
            <w:tcW w:w="2881" w:type="dxa"/>
            <w:vAlign w:val="center"/>
          </w:tcPr>
          <w:p>
            <w:pPr>
              <w:rPr>
                <w:rFonts w:hint="default" w:ascii="Times New Roman" w:hAnsi="Times New Roman" w:cs="Times New Roman"/>
                <w:szCs w:val="21"/>
                <w:lang w:val="en-US" w:eastAsia="zh-CN"/>
              </w:rPr>
            </w:pPr>
            <w:r>
              <w:rPr>
                <w:rFonts w:hint="eastAsia" w:ascii="Times New Roman" w:hAnsi="Times New Roman" w:cs="Times New Roman"/>
                <w:szCs w:val="21"/>
                <w:highlight w:val="none"/>
                <w:lang w:val="en-US" w:eastAsia="zh-CN"/>
              </w:rPr>
              <w:t>由当地自来水公司提供，总量约为1062m</w:t>
            </w:r>
            <w:r>
              <w:rPr>
                <w:rFonts w:hint="eastAsia" w:ascii="Times New Roman" w:hAnsi="Times New Roman" w:cs="Times New Roman"/>
                <w:szCs w:val="21"/>
                <w:highlight w:val="none"/>
                <w:vertAlign w:val="superscript"/>
                <w:lang w:val="en-US" w:eastAsia="zh-CN"/>
              </w:rPr>
              <w:t>3</w:t>
            </w:r>
            <w:r>
              <w:rPr>
                <w:rFonts w:hint="eastAsia" w:ascii="Times New Roman" w:hAnsi="Times New Roman" w:cs="Times New Roman"/>
                <w:szCs w:val="21"/>
                <w:highlight w:val="none"/>
                <w:lang w:val="en-US" w:eastAsia="zh-CN"/>
              </w:rPr>
              <w:t>/a</w:t>
            </w:r>
          </w:p>
        </w:tc>
        <w:tc>
          <w:tcPr>
            <w:tcW w:w="2716" w:type="dxa"/>
            <w:vAlign w:val="center"/>
          </w:tcPr>
          <w:p>
            <w:pP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由当地自来水公司提供</w:t>
            </w:r>
          </w:p>
        </w:tc>
        <w:tc>
          <w:tcPr>
            <w:tcW w:w="1009" w:type="dxa"/>
            <w:vAlign w:val="center"/>
          </w:tcPr>
          <w:p>
            <w:pPr>
              <w:spacing w:line="360" w:lineRule="auto"/>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continue"/>
            <w:vAlign w:val="center"/>
          </w:tcPr>
          <w:p>
            <w:pPr>
              <w:jc w:val="left"/>
              <w:rPr>
                <w:rFonts w:hint="eastAsia" w:ascii="Times New Roman" w:hAnsi="Times New Roman" w:cs="Times New Roman"/>
                <w:bCs/>
                <w:color w:val="auto"/>
                <w:szCs w:val="21"/>
                <w:lang w:val="en-US" w:eastAsia="zh-CN"/>
              </w:rPr>
            </w:pPr>
          </w:p>
        </w:tc>
        <w:tc>
          <w:tcPr>
            <w:tcW w:w="1178" w:type="dxa"/>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z w:val="21"/>
                <w:szCs w:val="21"/>
                <w:lang w:val="en-US" w:eastAsia="zh-CN"/>
              </w:rPr>
              <w:t>排水</w:t>
            </w:r>
          </w:p>
        </w:tc>
        <w:tc>
          <w:tcPr>
            <w:tcW w:w="2881" w:type="dxa"/>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雨污分流，雨水进入雨水管网，生活污水排入污水管网</w:t>
            </w:r>
          </w:p>
        </w:tc>
        <w:tc>
          <w:tcPr>
            <w:tcW w:w="2716" w:type="dxa"/>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pacing w:val="2"/>
                <w:kern w:val="2"/>
                <w:sz w:val="21"/>
                <w:szCs w:val="21"/>
                <w:highlight w:val="none"/>
                <w:lang w:val="en-US" w:eastAsia="zh-CN" w:bidi="ar-SA"/>
              </w:rPr>
              <w:t>雨污分流，雨水进入雨水管网，生活污水</w:t>
            </w:r>
            <w:r>
              <w:rPr>
                <w:rFonts w:hint="eastAsia" w:ascii="Arial" w:hAnsi="Arial" w:cs="Arial"/>
                <w:sz w:val="21"/>
                <w:szCs w:val="21"/>
                <w:highlight w:val="none"/>
                <w:lang w:bidi="en-US"/>
              </w:rPr>
              <w:t>经化粪池预处理</w:t>
            </w:r>
            <w:r>
              <w:rPr>
                <w:rFonts w:hint="eastAsia" w:ascii="Arial" w:hAnsi="Arial" w:cs="Arial"/>
                <w:sz w:val="21"/>
                <w:szCs w:val="21"/>
                <w:highlight w:val="none"/>
                <w:lang w:val="en-US" w:eastAsia="zh-CN" w:bidi="en-US"/>
              </w:rPr>
              <w:t>达标</w:t>
            </w:r>
            <w:r>
              <w:rPr>
                <w:rFonts w:hint="eastAsia" w:ascii="Arial" w:hAnsi="Arial" w:cs="Arial"/>
                <w:sz w:val="21"/>
                <w:szCs w:val="21"/>
                <w:highlight w:val="none"/>
                <w:lang w:bidi="en-US"/>
              </w:rPr>
              <w:t>后，纳入园区污水管网</w:t>
            </w:r>
            <w:r>
              <w:rPr>
                <w:rFonts w:hint="eastAsia" w:ascii="Arial" w:hAnsi="Arial" w:cs="Arial"/>
                <w:sz w:val="21"/>
                <w:szCs w:val="21"/>
                <w:highlight w:val="none"/>
                <w:lang w:eastAsia="zh-CN" w:bidi="en-US"/>
              </w:rPr>
              <w:t>，</w:t>
            </w:r>
            <w:r>
              <w:rPr>
                <w:rFonts w:hint="eastAsia" w:ascii="Arial" w:hAnsi="Arial" w:cs="Arial"/>
                <w:sz w:val="21"/>
                <w:szCs w:val="21"/>
                <w:highlight w:val="none"/>
                <w:lang w:val="en-US" w:eastAsia="zh-CN" w:bidi="en-US"/>
              </w:rPr>
              <w:t>排入浦江富春紫光水务有限公司（四厂）统一处理达标后排入浦阳江</w:t>
            </w:r>
          </w:p>
        </w:tc>
        <w:tc>
          <w:tcPr>
            <w:tcW w:w="1009" w:type="dxa"/>
            <w:vAlign w:val="center"/>
          </w:tcPr>
          <w:p>
            <w:pPr>
              <w:spacing w:line="36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continue"/>
            <w:vAlign w:val="center"/>
          </w:tcPr>
          <w:p>
            <w:pPr>
              <w:jc w:val="left"/>
              <w:rPr>
                <w:rFonts w:hint="eastAsia" w:ascii="Times New Roman" w:hAnsi="Times New Roman" w:cs="Times New Roman"/>
                <w:bCs/>
                <w:color w:val="auto"/>
                <w:szCs w:val="21"/>
                <w:lang w:val="en-US" w:eastAsia="zh-CN"/>
              </w:rPr>
            </w:pPr>
          </w:p>
        </w:tc>
        <w:tc>
          <w:tcPr>
            <w:tcW w:w="1178" w:type="dxa"/>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z w:val="21"/>
                <w:szCs w:val="21"/>
                <w:lang w:val="en-US" w:eastAsia="zh-CN"/>
              </w:rPr>
              <w:t>供电</w:t>
            </w:r>
          </w:p>
        </w:tc>
        <w:tc>
          <w:tcPr>
            <w:tcW w:w="2881" w:type="dxa"/>
            <w:vAlign w:val="center"/>
          </w:tcPr>
          <w:p>
            <w:pP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用电量约19万度/年，由当地供电电网直接供给</w:t>
            </w:r>
          </w:p>
        </w:tc>
        <w:tc>
          <w:tcPr>
            <w:tcW w:w="2716" w:type="dxa"/>
            <w:vAlign w:val="center"/>
          </w:tcPr>
          <w:p>
            <w:pP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由当地供电电网直接供给</w:t>
            </w:r>
          </w:p>
        </w:tc>
        <w:tc>
          <w:tcPr>
            <w:tcW w:w="1009" w:type="dxa"/>
            <w:vAlign w:val="center"/>
          </w:tcPr>
          <w:p>
            <w:pPr>
              <w:spacing w:line="360" w:lineRule="auto"/>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restart"/>
            <w:vAlign w:val="center"/>
          </w:tcPr>
          <w:p>
            <w:pPr>
              <w:jc w:val="center"/>
              <w:rPr>
                <w:rFonts w:hint="default" w:ascii="Times New Roman" w:hAnsi="Times New Roman" w:cs="Times New Roman" w:eastAsiaTheme="minorEastAsia"/>
                <w:snapToGrid w:val="0"/>
                <w:spacing w:val="-10"/>
                <w:kern w:val="24"/>
                <w:szCs w:val="21"/>
                <w:lang w:val="en-US" w:eastAsia="zh-CN"/>
              </w:rPr>
            </w:pPr>
            <w:r>
              <w:rPr>
                <w:rFonts w:hint="eastAsia" w:ascii="Times New Roman" w:hAnsi="Times New Roman" w:cs="Times New Roman"/>
                <w:snapToGrid w:val="0"/>
                <w:spacing w:val="-10"/>
                <w:kern w:val="24"/>
                <w:szCs w:val="21"/>
                <w:lang w:val="en-US" w:eastAsia="zh-CN"/>
              </w:rPr>
              <w:t>环保工程</w:t>
            </w:r>
          </w:p>
        </w:tc>
        <w:tc>
          <w:tcPr>
            <w:tcW w:w="117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废水</w:t>
            </w:r>
          </w:p>
        </w:tc>
        <w:tc>
          <w:tcPr>
            <w:tcW w:w="2881" w:type="dxa"/>
            <w:vAlign w:val="center"/>
          </w:tcPr>
          <w:p>
            <w:pPr>
              <w:jc w:val="left"/>
              <w:rPr>
                <w:rFonts w:hint="default" w:ascii="Times New Roman" w:hAnsi="Times New Roman" w:cs="Times New Roman" w:eastAsiaTheme="minorEastAsia"/>
                <w:color w:val="auto"/>
                <w:szCs w:val="21"/>
                <w:lang w:val="en-US" w:eastAsia="zh-CN"/>
              </w:rPr>
            </w:pPr>
            <w:r>
              <w:rPr>
                <w:rFonts w:hint="eastAsia" w:ascii="Arial" w:hAnsi="Arial" w:cs="Arial"/>
                <w:sz w:val="21"/>
                <w:szCs w:val="21"/>
                <w:lang w:val="en-US" w:eastAsia="zh-CN" w:bidi="en-US"/>
              </w:rPr>
              <w:t>员工生活污水经化粪池预处理</w:t>
            </w:r>
          </w:p>
        </w:tc>
        <w:tc>
          <w:tcPr>
            <w:tcW w:w="2716" w:type="dxa"/>
            <w:vAlign w:val="center"/>
          </w:tcPr>
          <w:p>
            <w:pPr>
              <w:jc w:val="left"/>
              <w:rPr>
                <w:rFonts w:hint="default" w:ascii="Times New Roman" w:hAnsi="Times New Roman" w:cs="Times New Roman" w:eastAsiaTheme="minorEastAsia"/>
                <w:bCs/>
                <w:szCs w:val="21"/>
                <w:lang w:val="en-US" w:eastAsia="zh-CN"/>
              </w:rPr>
            </w:pPr>
            <w:r>
              <w:rPr>
                <w:rFonts w:hint="eastAsia" w:ascii="Arial" w:hAnsi="Arial" w:cs="Arial"/>
                <w:sz w:val="21"/>
                <w:szCs w:val="21"/>
                <w:lang w:bidi="en-US"/>
              </w:rPr>
              <w:t>生活污水经化粪池预处理后，纳入园区污水管网，</w:t>
            </w:r>
            <w:r>
              <w:rPr>
                <w:rFonts w:hint="eastAsia" w:ascii="Arial" w:hAnsi="Arial" w:cs="Arial"/>
                <w:sz w:val="21"/>
                <w:szCs w:val="21"/>
                <w:lang w:val="en-US" w:eastAsia="zh-CN" w:bidi="en-US"/>
              </w:rPr>
              <w:t>排入浦江富春紫光水务有限公司（四厂）统一处理达标后排入浦阳江</w:t>
            </w:r>
          </w:p>
        </w:tc>
        <w:tc>
          <w:tcPr>
            <w:tcW w:w="1009" w:type="dxa"/>
            <w:vAlign w:val="center"/>
          </w:tcPr>
          <w:p>
            <w:pPr>
              <w:spacing w:line="360" w:lineRule="auto"/>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continue"/>
            <w:vAlign w:val="center"/>
          </w:tcPr>
          <w:p>
            <w:pPr>
              <w:jc w:val="center"/>
              <w:rPr>
                <w:rFonts w:hint="eastAsia" w:ascii="Times New Roman" w:hAnsi="Times New Roman" w:cs="Times New Roman"/>
                <w:snapToGrid w:val="0"/>
                <w:spacing w:val="-10"/>
                <w:kern w:val="24"/>
                <w:szCs w:val="21"/>
                <w:lang w:val="en-US" w:eastAsia="zh-CN"/>
              </w:rPr>
            </w:pPr>
          </w:p>
        </w:tc>
        <w:tc>
          <w:tcPr>
            <w:tcW w:w="1178" w:type="dxa"/>
            <w:vMerge w:val="restart"/>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废气</w:t>
            </w:r>
          </w:p>
        </w:tc>
        <w:tc>
          <w:tcPr>
            <w:tcW w:w="2881" w:type="dxa"/>
            <w:vAlign w:val="center"/>
          </w:tcPr>
          <w:p>
            <w:pPr>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浸塑固化废气：在上方安装集气罩，废气经集气罩收集后，通过光催化氧化处理后，通过15m高排气筒（</w:t>
            </w: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）高空排放</w:t>
            </w:r>
          </w:p>
        </w:tc>
        <w:tc>
          <w:tcPr>
            <w:tcW w:w="2716" w:type="dxa"/>
            <w:vAlign w:val="center"/>
          </w:tcPr>
          <w:p>
            <w:pPr>
              <w:jc w:val="left"/>
              <w:rPr>
                <w:rFonts w:hint="eastAsia" w:ascii="Times New Roman" w:hAnsi="Times New Roman" w:cs="Times New Roman"/>
                <w:bCs/>
                <w:szCs w:val="21"/>
                <w:lang w:val="en-US" w:eastAsia="zh-CN"/>
              </w:rPr>
            </w:pPr>
            <w:r>
              <w:rPr>
                <w:rFonts w:hint="eastAsia" w:ascii="Times New Roman" w:hAnsi="Times New Roman" w:cs="Times New Roman"/>
                <w:color w:val="auto"/>
                <w:szCs w:val="21"/>
                <w:lang w:val="en-US" w:eastAsia="zh-CN"/>
              </w:rPr>
              <w:t>浸塑固化废气：在上方安装集气罩，废气经集气罩收集后，通过光催化氧化处理后，通过25m高排气筒（G1-2）高空排放</w:t>
            </w:r>
          </w:p>
        </w:tc>
        <w:tc>
          <w:tcPr>
            <w:tcW w:w="1009" w:type="dxa"/>
            <w:vAlign w:val="center"/>
          </w:tcPr>
          <w:p>
            <w:pPr>
              <w:spacing w:line="360" w:lineRule="auto"/>
              <w:jc w:val="center"/>
              <w:rPr>
                <w:rFonts w:hint="eastAsia" w:ascii="Times New Roman" w:hAnsi="Times New Roman" w:cs="Times New Roman"/>
                <w:szCs w:val="21"/>
                <w:lang w:val="en-US" w:eastAsia="zh-CN"/>
              </w:rPr>
            </w:pPr>
            <w:r>
              <w:rPr>
                <w:rFonts w:hint="default" w:ascii="Times New Roman" w:hAnsi="Times New Roman" w:cs="Times New Roman"/>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continue"/>
            <w:vAlign w:val="center"/>
          </w:tcPr>
          <w:p>
            <w:pPr>
              <w:jc w:val="center"/>
              <w:rPr>
                <w:rFonts w:hint="eastAsia" w:ascii="Times New Roman" w:hAnsi="Times New Roman" w:cs="Times New Roman"/>
                <w:snapToGrid w:val="0"/>
                <w:spacing w:val="-10"/>
                <w:kern w:val="24"/>
                <w:szCs w:val="21"/>
                <w:lang w:val="en-US" w:eastAsia="zh-CN"/>
              </w:rPr>
            </w:pPr>
          </w:p>
        </w:tc>
        <w:tc>
          <w:tcPr>
            <w:tcW w:w="1178" w:type="dxa"/>
            <w:vMerge w:val="continue"/>
            <w:vAlign w:val="center"/>
          </w:tcPr>
          <w:p>
            <w:pPr>
              <w:jc w:val="center"/>
              <w:rPr>
                <w:rFonts w:hint="eastAsia" w:ascii="Times New Roman" w:hAnsi="Times New Roman" w:cs="Times New Roman"/>
                <w:color w:val="auto"/>
                <w:szCs w:val="21"/>
                <w:lang w:val="en-US" w:eastAsia="zh-CN"/>
              </w:rPr>
            </w:pPr>
          </w:p>
        </w:tc>
        <w:tc>
          <w:tcPr>
            <w:tcW w:w="2881" w:type="dxa"/>
            <w:vAlign w:val="center"/>
          </w:tcPr>
          <w:p>
            <w:pPr>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喷漆、晾干废气：本项目设置喷漆车间，调漆、自然晾干设置在喷漆车间内。喷房废气经集气系统集中收集后经水喷淋+除雾装置+光催化氧化+活性炭吸附处理后，通过15m高排气筒（2#）高空排放</w:t>
            </w:r>
          </w:p>
        </w:tc>
        <w:tc>
          <w:tcPr>
            <w:tcW w:w="2716" w:type="dxa"/>
            <w:vAlign w:val="center"/>
          </w:tcPr>
          <w:p>
            <w:pPr>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w:t>
            </w:r>
            <w:r>
              <w:rPr>
                <w:rFonts w:hint="eastAsia" w:ascii="Times New Roman" w:hAnsi="Times New Roman" w:cs="Times New Roman"/>
                <w:color w:val="auto"/>
                <w:szCs w:val="21"/>
                <w:highlight w:val="none"/>
                <w:lang w:val="en-US" w:eastAsia="zh-CN"/>
              </w:rPr>
              <w:t>不生产</w:t>
            </w:r>
            <w:r>
              <w:rPr>
                <w:rFonts w:hint="eastAsia" w:ascii="Times New Roman" w:hAnsi="Times New Roman" w:cs="Times New Roman"/>
                <w:color w:val="auto"/>
                <w:szCs w:val="21"/>
                <w:lang w:val="en-US" w:eastAsia="zh-CN"/>
              </w:rPr>
              <w:t>木衣架，故喷漆工序未建设，未安装喷漆废气处理设施</w:t>
            </w:r>
          </w:p>
        </w:tc>
        <w:tc>
          <w:tcPr>
            <w:tcW w:w="1009"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不产生喷漆、晾干废气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continue"/>
            <w:vAlign w:val="center"/>
          </w:tcPr>
          <w:p>
            <w:pPr>
              <w:jc w:val="center"/>
              <w:rPr>
                <w:rFonts w:hint="eastAsia" w:ascii="Times New Roman" w:hAnsi="Times New Roman" w:cs="Times New Roman"/>
                <w:snapToGrid w:val="0"/>
                <w:spacing w:val="-10"/>
                <w:kern w:val="24"/>
                <w:szCs w:val="21"/>
                <w:lang w:val="en-US" w:eastAsia="zh-CN"/>
              </w:rPr>
            </w:pPr>
          </w:p>
        </w:tc>
        <w:tc>
          <w:tcPr>
            <w:tcW w:w="1178" w:type="dxa"/>
            <w:vMerge w:val="continue"/>
            <w:vAlign w:val="center"/>
          </w:tcPr>
          <w:p>
            <w:pPr>
              <w:jc w:val="center"/>
              <w:rPr>
                <w:rFonts w:hint="eastAsia" w:ascii="Times New Roman" w:hAnsi="Times New Roman" w:cs="Times New Roman"/>
                <w:color w:val="auto"/>
                <w:szCs w:val="21"/>
                <w:lang w:val="en-US" w:eastAsia="zh-CN"/>
              </w:rPr>
            </w:pPr>
          </w:p>
        </w:tc>
        <w:tc>
          <w:tcPr>
            <w:tcW w:w="2881" w:type="dxa"/>
            <w:vAlign w:val="center"/>
          </w:tcPr>
          <w:p>
            <w:pPr>
              <w:jc w:val="left"/>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打磨粉尘：配套设置布袋除尘装置对打磨工序产生的粉尘进行收集，经过处理后通过15m高排气筒（3#）高空排放</w:t>
            </w:r>
          </w:p>
        </w:tc>
        <w:tc>
          <w:tcPr>
            <w:tcW w:w="2716" w:type="dxa"/>
            <w:vAlign w:val="center"/>
          </w:tcPr>
          <w:p>
            <w:pPr>
              <w:jc w:val="left"/>
              <w:rPr>
                <w:rFonts w:hint="eastAsia"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color w:val="auto"/>
                <w:szCs w:val="21"/>
                <w:highlight w:val="none"/>
                <w:lang w:val="en-US" w:eastAsia="zh-CN"/>
              </w:rPr>
              <w:t>本项目不生产木衣架，故打磨工序未建设，未安装布袋除尘装置</w:t>
            </w:r>
          </w:p>
        </w:tc>
        <w:tc>
          <w:tcPr>
            <w:tcW w:w="1009"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不产生打磨粉尘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continue"/>
            <w:vAlign w:val="center"/>
          </w:tcPr>
          <w:p>
            <w:pPr>
              <w:jc w:val="center"/>
              <w:rPr>
                <w:rFonts w:hint="eastAsia" w:ascii="Times New Roman" w:hAnsi="Times New Roman" w:cs="Times New Roman"/>
                <w:snapToGrid w:val="0"/>
                <w:spacing w:val="-10"/>
                <w:kern w:val="24"/>
                <w:szCs w:val="21"/>
                <w:lang w:val="en-US" w:eastAsia="zh-CN"/>
              </w:rPr>
            </w:pPr>
          </w:p>
        </w:tc>
        <w:tc>
          <w:tcPr>
            <w:tcW w:w="1178" w:type="dxa"/>
            <w:vMerge w:val="continue"/>
            <w:vAlign w:val="center"/>
          </w:tcPr>
          <w:p>
            <w:pPr>
              <w:jc w:val="center"/>
              <w:rPr>
                <w:rFonts w:hint="eastAsia" w:ascii="Times New Roman" w:hAnsi="Times New Roman" w:cs="Times New Roman"/>
                <w:color w:val="auto"/>
                <w:szCs w:val="21"/>
                <w:lang w:val="en-US" w:eastAsia="zh-CN"/>
              </w:rPr>
            </w:pPr>
          </w:p>
        </w:tc>
        <w:tc>
          <w:tcPr>
            <w:tcW w:w="2881" w:type="dxa"/>
            <w:vAlign w:val="center"/>
          </w:tcPr>
          <w:p>
            <w:pPr>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油烟废气：在食堂安装油烟净化装置，油烟废气收集后经过油烟净化装置处理后通过15m高排气筒（4#）高空排放，排气筒位于厨房所在建筑的顶楼</w:t>
            </w:r>
          </w:p>
        </w:tc>
        <w:tc>
          <w:tcPr>
            <w:tcW w:w="2716" w:type="dxa"/>
            <w:vAlign w:val="center"/>
          </w:tcPr>
          <w:p>
            <w:pPr>
              <w:jc w:val="left"/>
              <w:rPr>
                <w:rFonts w:hint="default" w:ascii="Times New Roman" w:hAnsi="Times New Roman"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本项目未建设食堂，未安装油烟净化装置</w:t>
            </w:r>
          </w:p>
        </w:tc>
        <w:tc>
          <w:tcPr>
            <w:tcW w:w="1009"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不产生油烟废气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continue"/>
            <w:vAlign w:val="center"/>
          </w:tcPr>
          <w:p>
            <w:pPr>
              <w:jc w:val="center"/>
              <w:rPr>
                <w:rFonts w:hint="default" w:ascii="Times New Roman" w:hAnsi="Times New Roman" w:cs="Times New Roman"/>
                <w:snapToGrid w:val="0"/>
                <w:spacing w:val="-10"/>
                <w:kern w:val="24"/>
                <w:szCs w:val="21"/>
              </w:rPr>
            </w:pPr>
          </w:p>
        </w:tc>
        <w:tc>
          <w:tcPr>
            <w:tcW w:w="117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噪声</w:t>
            </w:r>
          </w:p>
        </w:tc>
        <w:tc>
          <w:tcPr>
            <w:tcW w:w="2881" w:type="dxa"/>
            <w:vAlign w:val="center"/>
          </w:tcPr>
          <w:p>
            <w:pPr>
              <w:jc w:val="left"/>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①生产时关闭好车间门窗，做好生产车间的隔声降噪措施；②加强设备维护，确保设备处于良好的运行状态，避免非正常运行，产生强噪声；③加强进出车辆管理，在厂区内及用过附近居民住宅时禁止鸣笛</w:t>
            </w:r>
          </w:p>
        </w:tc>
        <w:tc>
          <w:tcPr>
            <w:tcW w:w="2716" w:type="dxa"/>
            <w:vAlign w:val="center"/>
          </w:tcPr>
          <w:p>
            <w:pPr>
              <w:jc w:val="left"/>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rPr>
              <w:t>企业合理安排作业时间，减少对周边企业的噪声影响；</w:t>
            </w:r>
            <w:r>
              <w:rPr>
                <w:rFonts w:hint="default" w:ascii="Times New Roman" w:hAnsi="Times New Roman" w:eastAsia="宋体" w:cs="Times New Roman"/>
                <w:bCs/>
                <w:lang w:bidi="zh-CN"/>
              </w:rPr>
              <w:t>对</w:t>
            </w:r>
            <w:r>
              <w:rPr>
                <w:rFonts w:hint="eastAsia" w:ascii="Times New Roman" w:hAnsi="Times New Roman" w:eastAsia="宋体" w:cs="Times New Roman"/>
                <w:bCs/>
                <w:lang w:bidi="zh-CN"/>
              </w:rPr>
              <w:t>风机</w:t>
            </w:r>
            <w:r>
              <w:rPr>
                <w:rFonts w:hint="default" w:ascii="Times New Roman" w:hAnsi="Times New Roman" w:eastAsia="宋体" w:cs="Times New Roman"/>
                <w:bCs/>
                <w:lang w:bidi="zh-CN"/>
              </w:rPr>
              <w:t>安装</w:t>
            </w:r>
            <w:r>
              <w:rPr>
                <w:rFonts w:hint="eastAsia" w:ascii="Times New Roman" w:hAnsi="Times New Roman" w:eastAsia="宋体" w:cs="Times New Roman"/>
                <w:bCs/>
                <w:lang w:val="en-US" w:bidi="zh-CN"/>
              </w:rPr>
              <w:t>了基础</w:t>
            </w:r>
            <w:r>
              <w:rPr>
                <w:rFonts w:hint="default" w:ascii="Times New Roman" w:hAnsi="Times New Roman" w:eastAsia="宋体" w:cs="Times New Roman"/>
                <w:bCs/>
                <w:lang w:bidi="zh-CN"/>
              </w:rPr>
              <w:t>减震装置</w:t>
            </w:r>
            <w:r>
              <w:rPr>
                <w:rFonts w:hint="eastAsia" w:ascii="Times New Roman" w:hAnsi="Times New Roman" w:eastAsia="宋体" w:cs="Times New Roman"/>
                <w:bCs/>
                <w:lang w:bidi="zh-CN"/>
              </w:rPr>
              <w:t>；</w:t>
            </w:r>
            <w:r>
              <w:rPr>
                <w:rFonts w:hint="default" w:ascii="Times New Roman" w:hAnsi="Times New Roman" w:cs="Times New Roman"/>
                <w:bCs/>
              </w:rPr>
              <w:t>平时加强设备的维护，确保设备处于良好的运转状态，杜绝因设备不正常运转时产生的高噪声现象</w:t>
            </w:r>
            <w:r>
              <w:rPr>
                <w:rFonts w:hint="eastAsia" w:ascii="Times New Roman" w:hAnsi="Times New Roman" w:cs="Times New Roman"/>
                <w:bCs/>
                <w:lang w:eastAsia="zh-CN"/>
              </w:rPr>
              <w:t>；企业夜间不生产</w:t>
            </w:r>
          </w:p>
        </w:tc>
        <w:tc>
          <w:tcPr>
            <w:tcW w:w="1009"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Merge w:val="continue"/>
            <w:vAlign w:val="center"/>
          </w:tcPr>
          <w:p>
            <w:pPr>
              <w:jc w:val="center"/>
              <w:rPr>
                <w:rFonts w:hint="default" w:ascii="Times New Roman" w:hAnsi="Times New Roman" w:cs="Times New Roman"/>
                <w:snapToGrid w:val="0"/>
                <w:spacing w:val="-10"/>
                <w:kern w:val="24"/>
                <w:szCs w:val="21"/>
              </w:rPr>
            </w:pPr>
          </w:p>
        </w:tc>
        <w:tc>
          <w:tcPr>
            <w:tcW w:w="117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固废</w:t>
            </w:r>
          </w:p>
        </w:tc>
        <w:tc>
          <w:tcPr>
            <w:tcW w:w="2881" w:type="dxa"/>
            <w:vAlign w:val="center"/>
          </w:tcPr>
          <w:p>
            <w:pPr>
              <w:jc w:val="left"/>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设置暂存场所。边角料、焊渣、布袋除尘收集的粉尘收集后外卖综合利用；废包装桶、废矿物油、喷漆废液、漆渣、废活性炭、初效过滤棉、废砂光轮收集后委托有资质单位处置；含油抹布等、生活垃圾收集后由环卫部门统一清运</w:t>
            </w:r>
          </w:p>
        </w:tc>
        <w:tc>
          <w:tcPr>
            <w:tcW w:w="2716" w:type="dxa"/>
            <w:vAlign w:val="center"/>
          </w:tcPr>
          <w:p>
            <w:pPr>
              <w:jc w:val="left"/>
              <w:rPr>
                <w:rFonts w:hint="default" w:ascii="Times New Roman" w:hAnsi="Times New Roman" w:cs="Times New Roman" w:eastAsiaTheme="minorEastAsia"/>
                <w:bCs/>
                <w:kern w:val="2"/>
                <w:sz w:val="21"/>
                <w:szCs w:val="21"/>
                <w:highlight w:val="none"/>
                <w:lang w:val="en-US" w:eastAsia="zh-CN" w:bidi="ar-SA"/>
              </w:rPr>
            </w:pPr>
            <w:r>
              <w:rPr>
                <w:rFonts w:hint="default" w:ascii="Times New Roman" w:hAnsi="Times New Roman" w:eastAsia="宋体" w:cs="Times New Roman"/>
                <w:bCs/>
                <w:color w:val="auto"/>
                <w:highlight w:val="none"/>
                <w:lang w:bidi="zh-CN"/>
              </w:rPr>
              <w:t>危险废物贮存间设置在</w:t>
            </w:r>
            <w:r>
              <w:rPr>
                <w:rFonts w:hint="eastAsia" w:ascii="Times New Roman" w:hAnsi="Times New Roman" w:eastAsia="宋体" w:cs="Times New Roman"/>
                <w:bCs/>
                <w:color w:val="auto"/>
                <w:highlight w:val="none"/>
                <w:lang w:val="en-US" w:bidi="zh-CN"/>
              </w:rPr>
              <w:t>厂房顶楼，约5</w:t>
            </w:r>
            <w:r>
              <w:rPr>
                <w:rFonts w:hint="eastAsia"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eastAsia="宋体" w:cs="Times New Roman"/>
                <w:bCs/>
                <w:color w:val="auto"/>
                <w:highlight w:val="none"/>
                <w:lang w:val="en-US" w:bidi="zh-CN"/>
              </w:rPr>
              <w:t>：边角料、焊渣外售物资回收公司进性再利用；废包装桶、废矿物油等委托浦江三阳环保科技有限公司处置；生活垃圾、含油废抹布等由环卫部门统一清运</w:t>
            </w:r>
          </w:p>
        </w:tc>
        <w:tc>
          <w:tcPr>
            <w:tcW w:w="1009"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不产生布袋除尘收集的粉尘、</w:t>
            </w:r>
            <w:r>
              <w:rPr>
                <w:rFonts w:hint="eastAsia" w:ascii="Times New Roman" w:hAnsi="Times New Roman" w:cs="Times New Roman"/>
                <w:color w:val="auto"/>
                <w:szCs w:val="21"/>
                <w:highlight w:val="none"/>
                <w:lang w:val="en-US" w:eastAsia="zh-CN"/>
              </w:rPr>
              <w:t>喷漆废液、漆渣、废活性炭、初效过滤棉、废砂光轮</w:t>
            </w:r>
          </w:p>
        </w:tc>
      </w:tr>
      <w:bookmarkEnd w:id="24"/>
    </w:tbl>
    <w:p>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（5）</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7"/>
        <w:spacing w:beforeLines="0" w:afterLines="0"/>
        <w:ind w:firstLine="0" w:firstLineChars="0"/>
        <w:jc w:val="center"/>
        <w:rPr>
          <w:rFonts w:hint="eastAsia" w:ascii="Times New Roman" w:hAnsi="Times New Roman" w:cs="Times New Roman"/>
          <w:b/>
          <w:bCs/>
          <w:sz w:val="21"/>
          <w:szCs w:val="21"/>
        </w:rPr>
      </w:pPr>
    </w:p>
    <w:p>
      <w:pPr>
        <w:pStyle w:val="47"/>
        <w:spacing w:beforeLines="0" w:afterLines="0"/>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表3</w:t>
      </w:r>
      <w:r>
        <w:rPr>
          <w:rFonts w:ascii="Times New Roman" w:hAnsi="Times New Roman" w:cs="Times New Roman"/>
          <w:b/>
          <w:bCs/>
          <w:sz w:val="21"/>
          <w:szCs w:val="21"/>
        </w:rPr>
        <w:t>.2</w:t>
      </w:r>
      <w:r>
        <w:rPr>
          <w:rFonts w:hint="eastAsia" w:ascii="Times New Roman" w:hAnsi="Times New Roman" w:cs="Times New Roman"/>
          <w:b/>
          <w:bCs/>
          <w:sz w:val="21"/>
          <w:szCs w:val="21"/>
        </w:rPr>
        <w:t>-</w:t>
      </w:r>
      <w:r>
        <w:rPr>
          <w:rFonts w:ascii="Times New Roman" w:hAnsi="Times New Roman" w:cs="Times New Roman"/>
          <w:b/>
          <w:bCs/>
          <w:sz w:val="21"/>
          <w:szCs w:val="21"/>
        </w:rPr>
        <w:t>2</w:t>
      </w:r>
      <w:r>
        <w:rPr>
          <w:rFonts w:hint="eastAsia" w:ascii="Times New Roman" w:hAnsi="Times New Roman" w:cs="Times New Roman"/>
          <w:b/>
          <w:bCs/>
          <w:sz w:val="21"/>
          <w:szCs w:val="21"/>
        </w:rPr>
        <w:t xml:space="preserve"> 项目产品方案一览表</w:t>
      </w:r>
    </w:p>
    <w:tbl>
      <w:tblPr>
        <w:tblStyle w:val="33"/>
        <w:tblW w:w="51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84"/>
        <w:gridCol w:w="2120"/>
        <w:gridCol w:w="2430"/>
        <w:gridCol w:w="1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序号</w:t>
            </w:r>
          </w:p>
        </w:tc>
        <w:tc>
          <w:tcPr>
            <w:tcW w:w="2084"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产品种类</w:t>
            </w:r>
          </w:p>
        </w:tc>
        <w:tc>
          <w:tcPr>
            <w:tcW w:w="2120" w:type="dxa"/>
            <w:tcBorders>
              <w:tl2br w:val="nil"/>
              <w:tr2bl w:val="nil"/>
            </w:tcBorders>
            <w:vAlign w:val="center"/>
          </w:tcPr>
          <w:p>
            <w:pPr>
              <w:adjustRightInd w:val="0"/>
              <w:snapToGrid w:val="0"/>
              <w:spacing w:line="259" w:lineRule="auto"/>
              <w:ind w:right="46"/>
              <w:jc w:val="center"/>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环评及批复年产量</w:t>
            </w:r>
          </w:p>
        </w:tc>
        <w:tc>
          <w:tcPr>
            <w:tcW w:w="2430" w:type="dxa"/>
            <w:tcBorders>
              <w:tl2br w:val="nil"/>
              <w:tr2bl w:val="nil"/>
            </w:tcBorders>
            <w:vAlign w:val="center"/>
          </w:tcPr>
          <w:p>
            <w:pPr>
              <w:adjustRightInd w:val="0"/>
              <w:snapToGrid w:val="0"/>
              <w:spacing w:line="259" w:lineRule="auto"/>
              <w:ind w:right="46"/>
              <w:jc w:val="center"/>
              <w:rPr>
                <w:rFonts w:hint="eastAsia" w:ascii="宋体" w:hAnsi="宋体" w:eastAsia="宋体" w:cs="Times New Roman"/>
                <w:b/>
                <w:bCs/>
                <w:szCs w:val="21"/>
                <w:highlight w:val="none"/>
              </w:rPr>
            </w:pPr>
            <w:r>
              <w:rPr>
                <w:rFonts w:hint="eastAsia" w:ascii="宋体" w:hAnsi="宋体" w:eastAsia="宋体" w:cs="Times New Roman"/>
                <w:b/>
                <w:bCs/>
                <w:szCs w:val="21"/>
                <w:highlight w:val="none"/>
                <w:lang w:val="en-US" w:eastAsia="zh-CN"/>
              </w:rPr>
              <w:t>实际</w:t>
            </w:r>
            <w:r>
              <w:rPr>
                <w:rFonts w:hint="eastAsia" w:ascii="宋体" w:hAnsi="宋体" w:eastAsia="宋体" w:cs="Times New Roman"/>
                <w:b/>
                <w:bCs/>
                <w:szCs w:val="21"/>
                <w:highlight w:val="none"/>
              </w:rPr>
              <w:t>年产量</w:t>
            </w:r>
          </w:p>
        </w:tc>
        <w:tc>
          <w:tcPr>
            <w:tcW w:w="1420"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pStyle w:val="111"/>
              <w:numPr>
                <w:ilvl w:val="0"/>
                <w:numId w:val="3"/>
              </w:numPr>
              <w:ind w:left="630" w:leftChars="0" w:firstLineChars="0"/>
              <w:rPr>
                <w:rFonts w:ascii="Times New Roman" w:hAnsi="Times New Roman" w:eastAsia="宋体" w:cs="Times New Roman"/>
                <w:kern w:val="0"/>
                <w:sz w:val="21"/>
                <w:szCs w:val="21"/>
              </w:rPr>
            </w:pPr>
          </w:p>
        </w:tc>
        <w:tc>
          <w:tcPr>
            <w:tcW w:w="2084" w:type="dxa"/>
            <w:tcBorders>
              <w:tl2br w:val="nil"/>
              <w:tr2bl w:val="nil"/>
            </w:tcBorders>
            <w:vAlign w:val="center"/>
          </w:tcPr>
          <w:p>
            <w:pPr>
              <w:ind w:right="48"/>
              <w:jc w:val="center"/>
              <w:rPr>
                <w:rFonts w:hint="default" w:ascii="Times New Roman" w:hAnsi="Times New Roman" w:eastAsia="宋体" w:cs="Times New Roman"/>
                <w:kern w:val="0"/>
                <w:sz w:val="21"/>
                <w:szCs w:val="21"/>
                <w:lang w:val="en-US" w:eastAsia="zh-CN"/>
              </w:rPr>
            </w:pPr>
            <w:r>
              <w:rPr>
                <w:rFonts w:hint="eastAsia"/>
                <w:lang w:val="en-US" w:eastAsia="zh-CN"/>
              </w:rPr>
              <w:t>毛巾架（铁）</w:t>
            </w:r>
          </w:p>
        </w:tc>
        <w:tc>
          <w:tcPr>
            <w:tcW w:w="2120" w:type="dxa"/>
            <w:tcBorders>
              <w:tl2br w:val="nil"/>
              <w:tr2bl w:val="nil"/>
            </w:tcBorders>
            <w:vAlign w:val="center"/>
          </w:tcPr>
          <w:p>
            <w:pPr>
              <w:ind w:right="48"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615万个/年</w:t>
            </w:r>
          </w:p>
        </w:tc>
        <w:tc>
          <w:tcPr>
            <w:tcW w:w="2430" w:type="dxa"/>
            <w:tcBorders>
              <w:tl2br w:val="nil"/>
              <w:tr2bl w:val="nil"/>
            </w:tcBorders>
            <w:vAlign w:val="center"/>
          </w:tcPr>
          <w:p>
            <w:pPr>
              <w:ind w:right="48"/>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color w:val="auto"/>
                <w:kern w:val="0"/>
                <w:sz w:val="21"/>
                <w:szCs w:val="21"/>
                <w:lang w:val="en-US" w:eastAsia="zh-CN"/>
              </w:rPr>
              <w:t>600万个/年</w:t>
            </w:r>
          </w:p>
        </w:tc>
        <w:tc>
          <w:tcPr>
            <w:tcW w:w="1420" w:type="dxa"/>
            <w:tcBorders>
              <w:tl2br w:val="nil"/>
              <w:tr2bl w:val="nil"/>
            </w:tcBorders>
            <w:vAlign w:val="center"/>
          </w:tcPr>
          <w:p>
            <w:pPr>
              <w:ind w:right="48"/>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pStyle w:val="111"/>
              <w:numPr>
                <w:ilvl w:val="0"/>
                <w:numId w:val="3"/>
              </w:numPr>
              <w:ind w:left="630" w:leftChars="0" w:firstLineChars="0"/>
              <w:rPr>
                <w:rFonts w:ascii="Times New Roman" w:hAnsi="Times New Roman" w:eastAsia="宋体" w:cs="Times New Roman"/>
                <w:kern w:val="0"/>
                <w:sz w:val="21"/>
                <w:szCs w:val="21"/>
              </w:rPr>
            </w:pPr>
          </w:p>
        </w:tc>
        <w:tc>
          <w:tcPr>
            <w:tcW w:w="2084" w:type="dxa"/>
            <w:tcBorders>
              <w:tl2br w:val="nil"/>
              <w:tr2bl w:val="nil"/>
            </w:tcBorders>
            <w:vAlign w:val="center"/>
          </w:tcPr>
          <w:p>
            <w:pPr>
              <w:ind w:right="48"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铁丝衣架（铁）</w:t>
            </w:r>
          </w:p>
        </w:tc>
        <w:tc>
          <w:tcPr>
            <w:tcW w:w="2120" w:type="dxa"/>
            <w:tcBorders>
              <w:tl2br w:val="nil"/>
              <w:tr2bl w:val="nil"/>
            </w:tcBorders>
            <w:vAlign w:val="center"/>
          </w:tcPr>
          <w:p>
            <w:pPr>
              <w:ind w:right="48"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307万个/年</w:t>
            </w:r>
          </w:p>
        </w:tc>
        <w:tc>
          <w:tcPr>
            <w:tcW w:w="2430"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300</w:t>
            </w:r>
            <w:r>
              <w:rPr>
                <w:rFonts w:hint="eastAsia" w:ascii="Times New Roman" w:hAnsi="Times New Roman" w:eastAsia="宋体" w:cs="Times New Roman"/>
                <w:color w:val="auto"/>
                <w:kern w:val="0"/>
                <w:sz w:val="21"/>
                <w:szCs w:val="21"/>
                <w:lang w:val="en-US" w:eastAsia="zh-CN"/>
              </w:rPr>
              <w:t>万个/年</w:t>
            </w:r>
          </w:p>
        </w:tc>
        <w:tc>
          <w:tcPr>
            <w:tcW w:w="1420"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pStyle w:val="111"/>
              <w:numPr>
                <w:ilvl w:val="0"/>
                <w:numId w:val="3"/>
              </w:numPr>
              <w:ind w:left="630" w:leftChars="0" w:firstLineChars="0"/>
              <w:rPr>
                <w:rFonts w:ascii="Times New Roman" w:hAnsi="Times New Roman" w:eastAsia="宋体" w:cs="Times New Roman"/>
                <w:kern w:val="0"/>
                <w:sz w:val="21"/>
                <w:szCs w:val="21"/>
              </w:rPr>
            </w:pPr>
          </w:p>
        </w:tc>
        <w:tc>
          <w:tcPr>
            <w:tcW w:w="2084" w:type="dxa"/>
            <w:tcBorders>
              <w:tl2br w:val="nil"/>
              <w:tr2bl w:val="nil"/>
            </w:tcBorders>
            <w:vAlign w:val="center"/>
          </w:tcPr>
          <w:p>
            <w:pPr>
              <w:ind w:right="48"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浸塑铁丝衣架（铁）</w:t>
            </w:r>
          </w:p>
        </w:tc>
        <w:tc>
          <w:tcPr>
            <w:tcW w:w="2120" w:type="dxa"/>
            <w:tcBorders>
              <w:tl2br w:val="nil"/>
              <w:tr2bl w:val="nil"/>
            </w:tcBorders>
            <w:vAlign w:val="center"/>
          </w:tcPr>
          <w:p>
            <w:pPr>
              <w:ind w:right="48"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308万个/年</w:t>
            </w:r>
          </w:p>
        </w:tc>
        <w:tc>
          <w:tcPr>
            <w:tcW w:w="2430" w:type="dxa"/>
            <w:tcBorders>
              <w:tl2br w:val="nil"/>
              <w:tr2bl w:val="nil"/>
            </w:tcBorders>
            <w:vAlign w:val="center"/>
          </w:tcPr>
          <w:p>
            <w:pPr>
              <w:ind w:right="48"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300</w:t>
            </w:r>
            <w:r>
              <w:rPr>
                <w:rFonts w:hint="eastAsia" w:ascii="Times New Roman" w:hAnsi="Times New Roman" w:eastAsia="宋体" w:cs="Times New Roman"/>
                <w:color w:val="auto"/>
                <w:kern w:val="0"/>
                <w:sz w:val="21"/>
                <w:szCs w:val="21"/>
                <w:lang w:val="en-US" w:eastAsia="zh-CN"/>
              </w:rPr>
              <w:t>万个/年</w:t>
            </w:r>
          </w:p>
        </w:tc>
        <w:tc>
          <w:tcPr>
            <w:tcW w:w="1420"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tcBorders>
              <w:tl2br w:val="nil"/>
              <w:tr2bl w:val="nil"/>
            </w:tcBorders>
            <w:vAlign w:val="center"/>
          </w:tcPr>
          <w:p>
            <w:pPr>
              <w:pStyle w:val="111"/>
              <w:numPr>
                <w:ilvl w:val="0"/>
                <w:numId w:val="3"/>
              </w:numPr>
              <w:ind w:left="630" w:leftChars="0" w:firstLineChars="0"/>
              <w:rPr>
                <w:rFonts w:ascii="Times New Roman" w:hAnsi="Times New Roman" w:eastAsia="宋体" w:cs="Times New Roman"/>
                <w:kern w:val="0"/>
                <w:sz w:val="21"/>
                <w:szCs w:val="21"/>
              </w:rPr>
            </w:pPr>
          </w:p>
        </w:tc>
        <w:tc>
          <w:tcPr>
            <w:tcW w:w="2084" w:type="dxa"/>
            <w:tcBorders>
              <w:tl2br w:val="nil"/>
              <w:tr2bl w:val="nil"/>
            </w:tcBorders>
            <w:vAlign w:val="center"/>
          </w:tcPr>
          <w:p>
            <w:pPr>
              <w:ind w:right="48"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木衣架</w:t>
            </w:r>
          </w:p>
        </w:tc>
        <w:tc>
          <w:tcPr>
            <w:tcW w:w="2120" w:type="dxa"/>
            <w:tcBorders>
              <w:tl2br w:val="nil"/>
              <w:tr2bl w:val="nil"/>
            </w:tcBorders>
            <w:vAlign w:val="center"/>
          </w:tcPr>
          <w:p>
            <w:pPr>
              <w:ind w:right="48"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200万个/年</w:t>
            </w:r>
          </w:p>
        </w:tc>
        <w:tc>
          <w:tcPr>
            <w:tcW w:w="2430" w:type="dxa"/>
            <w:tcBorders>
              <w:tl2br w:val="nil"/>
              <w:tr2bl w:val="nil"/>
            </w:tcBorders>
            <w:vAlign w:val="center"/>
          </w:tcPr>
          <w:p>
            <w:pPr>
              <w:ind w:right="48"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p>
        </w:tc>
        <w:tc>
          <w:tcPr>
            <w:tcW w:w="1420" w:type="dxa"/>
            <w:tcBorders>
              <w:tl2br w:val="nil"/>
              <w:tr2bl w:val="nil"/>
            </w:tcBorders>
            <w:vAlign w:val="center"/>
          </w:tcPr>
          <w:p>
            <w:pPr>
              <w:ind w:right="48"/>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未建设</w:t>
            </w:r>
          </w:p>
        </w:tc>
      </w:tr>
    </w:tbl>
    <w:p>
      <w:pPr>
        <w:pStyle w:val="5"/>
        <w:rPr>
          <w:rFonts w:eastAsia="宋体"/>
        </w:rPr>
      </w:pPr>
      <w:bookmarkStart w:id="25" w:name="_Toc28148"/>
      <w:r>
        <w:rPr>
          <w:rFonts w:eastAsia="宋体"/>
        </w:rPr>
        <w:t>3.3主要原辅材料及燃料</w:t>
      </w:r>
      <w:bookmarkEnd w:id="25"/>
    </w:p>
    <w:p>
      <w:pPr>
        <w:pStyle w:val="47"/>
        <w:spacing w:beforeLines="0" w:afterLines="0"/>
        <w:ind w:firstLine="0" w:firstLineChars="0"/>
        <w:jc w:val="center"/>
        <w:rPr>
          <w:rFonts w:ascii="Times New Roman" w:hAnsi="Times New Roman" w:cs="Times New Roman"/>
        </w:rPr>
      </w:pPr>
      <w:r>
        <w:rPr>
          <w:rFonts w:ascii="Times New Roman" w:hAnsi="Times New Roman" w:cs="Times New Roman"/>
          <w:b/>
          <w:bCs/>
        </w:rPr>
        <w:t>表</w:t>
      </w:r>
      <w:r>
        <w:rPr>
          <w:rFonts w:hint="eastAsia" w:ascii="Times New Roman" w:hAnsi="Times New Roman" w:cs="Times New Roman"/>
          <w:b/>
          <w:bCs/>
        </w:rPr>
        <w:t>3</w:t>
      </w:r>
      <w:r>
        <w:rPr>
          <w:rFonts w:ascii="Times New Roman" w:hAnsi="Times New Roman" w:cs="Times New Roman"/>
          <w:b/>
          <w:bCs/>
        </w:rPr>
        <w:t>.3-1</w:t>
      </w:r>
      <w:r>
        <w:rPr>
          <w:rFonts w:hint="eastAsia" w:ascii="Times New Roman" w:hAnsi="Times New Roman" w:cs="Times New Roman"/>
          <w:b/>
          <w:bCs/>
        </w:rPr>
        <w:t xml:space="preserve"> </w:t>
      </w:r>
      <w:r>
        <w:rPr>
          <w:rFonts w:ascii="Times New Roman" w:hAnsi="Times New Roman" w:cs="Times New Roman"/>
          <w:b/>
          <w:bCs/>
        </w:rPr>
        <w:t>主要原辅材料与</w:t>
      </w:r>
      <w:r>
        <w:rPr>
          <w:rFonts w:hint="eastAsia" w:ascii="Times New Roman" w:hAnsi="Times New Roman" w:cs="Times New Roman"/>
          <w:b/>
          <w:bCs/>
        </w:rPr>
        <w:t>燃料</w:t>
      </w:r>
      <w:r>
        <w:rPr>
          <w:rFonts w:ascii="Times New Roman" w:hAnsi="Times New Roman" w:cs="Times New Roman"/>
          <w:b/>
          <w:bCs/>
        </w:rPr>
        <w:t>消耗表</w:t>
      </w:r>
    </w:p>
    <w:tbl>
      <w:tblPr>
        <w:tblStyle w:val="99"/>
        <w:tblW w:w="558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6" w:type="dxa"/>
          <w:left w:w="0" w:type="dxa"/>
          <w:bottom w:w="0" w:type="dxa"/>
          <w:right w:w="0" w:type="dxa"/>
        </w:tblCellMar>
      </w:tblPr>
      <w:tblGrid>
        <w:gridCol w:w="638"/>
        <w:gridCol w:w="1858"/>
        <w:gridCol w:w="959"/>
        <w:gridCol w:w="1283"/>
        <w:gridCol w:w="1133"/>
        <w:gridCol w:w="1200"/>
        <w:gridCol w:w="1198"/>
        <w:gridCol w:w="10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tblHeader/>
          <w:jc w:val="center"/>
        </w:trPr>
        <w:tc>
          <w:tcPr>
            <w:tcW w:w="636" w:type="dxa"/>
            <w:vMerge w:val="restart"/>
            <w:vAlign w:val="center"/>
          </w:tcPr>
          <w:p>
            <w:pPr>
              <w:adjustRightInd w:val="0"/>
              <w:snapToGrid w:val="0"/>
              <w:spacing w:line="259" w:lineRule="auto"/>
              <w:ind w:right="46"/>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1852" w:type="dxa"/>
            <w:vMerge w:val="restart"/>
            <w:vAlign w:val="center"/>
          </w:tcPr>
          <w:p>
            <w:pPr>
              <w:adjustRightInd w:val="0"/>
              <w:snapToGrid w:val="0"/>
              <w:spacing w:line="259" w:lineRule="auto"/>
              <w:ind w:right="46"/>
              <w:jc w:val="center"/>
              <w:rPr>
                <w:rFonts w:ascii="Times New Roman" w:hAnsi="Times New Roman" w:eastAsia="宋体" w:cs="Times New Roman"/>
                <w:b/>
                <w:bCs/>
                <w:szCs w:val="21"/>
              </w:rPr>
            </w:pPr>
            <w:r>
              <w:rPr>
                <w:rFonts w:ascii="Times New Roman" w:hAnsi="Times New Roman" w:eastAsia="宋体" w:cs="Times New Roman"/>
                <w:b/>
                <w:bCs/>
                <w:szCs w:val="21"/>
              </w:rPr>
              <w:t>材料名称</w:t>
            </w:r>
          </w:p>
        </w:tc>
        <w:tc>
          <w:tcPr>
            <w:tcW w:w="956" w:type="dxa"/>
            <w:vMerge w:val="restart"/>
            <w:vAlign w:val="center"/>
          </w:tcPr>
          <w:p>
            <w:pPr>
              <w:adjustRightInd w:val="0"/>
              <w:snapToGrid w:val="0"/>
              <w:spacing w:line="259" w:lineRule="auto"/>
              <w:ind w:right="46"/>
              <w:jc w:val="center"/>
              <w:rPr>
                <w:rFonts w:ascii="Times New Roman" w:hAnsi="Times New Roman" w:eastAsia="宋体" w:cs="Times New Roman"/>
                <w:b/>
                <w:bCs/>
                <w:szCs w:val="21"/>
              </w:rPr>
            </w:pPr>
            <w:r>
              <w:rPr>
                <w:rFonts w:ascii="Times New Roman" w:hAnsi="Times New Roman" w:eastAsia="宋体" w:cs="Times New Roman"/>
                <w:b/>
                <w:bCs/>
                <w:szCs w:val="21"/>
              </w:rPr>
              <w:t>单位</w:t>
            </w:r>
          </w:p>
        </w:tc>
        <w:tc>
          <w:tcPr>
            <w:tcW w:w="1279" w:type="dxa"/>
            <w:vMerge w:val="restart"/>
            <w:vAlign w:val="center"/>
          </w:tcPr>
          <w:p>
            <w:pPr>
              <w:adjustRightInd w:val="0"/>
              <w:snapToGrid w:val="0"/>
              <w:spacing w:line="259" w:lineRule="auto"/>
              <w:ind w:right="46" w:rightChars="0"/>
              <w:jc w:val="center"/>
              <w:rPr>
                <w:rFonts w:hint="eastAsia" w:ascii="Times New Roman" w:hAnsi="Times New Roman" w:eastAsia="宋体" w:cs="Times New Roman"/>
                <w:b/>
                <w:bCs/>
                <w:szCs w:val="21"/>
                <w:lang w:val="en-US" w:eastAsia="zh-CN"/>
              </w:rPr>
            </w:pPr>
            <w:r>
              <w:rPr>
                <w:rFonts w:ascii="Times New Roman" w:hAnsi="Times New Roman" w:eastAsia="宋体" w:cs="Times New Roman"/>
                <w:b/>
                <w:bCs/>
                <w:szCs w:val="21"/>
              </w:rPr>
              <w:t>环评年用量</w:t>
            </w:r>
          </w:p>
        </w:tc>
        <w:tc>
          <w:tcPr>
            <w:tcW w:w="2325" w:type="dxa"/>
            <w:gridSpan w:val="2"/>
            <w:vAlign w:val="center"/>
          </w:tcPr>
          <w:p>
            <w:pPr>
              <w:adjustRightInd w:val="0"/>
              <w:snapToGrid w:val="0"/>
              <w:spacing w:line="259" w:lineRule="auto"/>
              <w:ind w:right="46"/>
              <w:jc w:val="center"/>
              <w:rPr>
                <w:rFonts w:ascii="Times New Roman" w:hAnsi="Times New Roman" w:eastAsia="宋体" w:cs="Times New Roman"/>
                <w:b/>
                <w:bCs/>
                <w:szCs w:val="21"/>
                <w:highlight w:val="none"/>
              </w:rPr>
            </w:pPr>
            <w:r>
              <w:rPr>
                <w:rFonts w:ascii="Times New Roman" w:hAnsi="Times New Roman" w:eastAsia="宋体" w:cs="Times New Roman"/>
                <w:b/>
                <w:bCs/>
                <w:szCs w:val="21"/>
                <w:highlight w:val="none"/>
              </w:rPr>
              <w:t>监测期间</w:t>
            </w:r>
            <w:r>
              <w:rPr>
                <w:rFonts w:hint="eastAsia" w:ascii="Times New Roman" w:hAnsi="Times New Roman" w:eastAsia="宋体" w:cs="Times New Roman"/>
                <w:b/>
                <w:bCs/>
                <w:szCs w:val="21"/>
                <w:highlight w:val="none"/>
                <w:lang w:eastAsia="zh-CN"/>
              </w:rPr>
              <w:t>日</w:t>
            </w:r>
            <w:r>
              <w:rPr>
                <w:rFonts w:ascii="Times New Roman" w:hAnsi="Times New Roman" w:eastAsia="宋体" w:cs="Times New Roman"/>
                <w:b/>
                <w:bCs/>
                <w:szCs w:val="21"/>
                <w:highlight w:val="none"/>
              </w:rPr>
              <w:t>用量</w:t>
            </w:r>
          </w:p>
        </w:tc>
        <w:tc>
          <w:tcPr>
            <w:tcW w:w="1194" w:type="dxa"/>
            <w:vMerge w:val="restart"/>
            <w:vAlign w:val="center"/>
          </w:tcPr>
          <w:p>
            <w:pPr>
              <w:adjustRightInd w:val="0"/>
              <w:snapToGrid w:val="0"/>
              <w:spacing w:line="259" w:lineRule="auto"/>
              <w:ind w:right="46"/>
              <w:jc w:val="center"/>
              <w:rPr>
                <w:rFonts w:ascii="Times New Roman" w:hAnsi="Times New Roman" w:eastAsia="宋体" w:cs="Times New Roman"/>
                <w:b/>
                <w:bCs/>
                <w:szCs w:val="21"/>
              </w:rPr>
            </w:pPr>
            <w:r>
              <w:rPr>
                <w:rFonts w:ascii="Times New Roman" w:hAnsi="Times New Roman" w:eastAsia="宋体" w:cs="Times New Roman"/>
                <w:b/>
                <w:bCs/>
                <w:szCs w:val="21"/>
              </w:rPr>
              <w:t>折算年用量</w:t>
            </w:r>
          </w:p>
        </w:tc>
        <w:tc>
          <w:tcPr>
            <w:tcW w:w="1039" w:type="dxa"/>
            <w:vMerge w:val="restart"/>
            <w:vAlign w:val="center"/>
          </w:tcPr>
          <w:p>
            <w:pPr>
              <w:adjustRightInd w:val="0"/>
              <w:snapToGrid w:val="0"/>
              <w:spacing w:line="259" w:lineRule="auto"/>
              <w:ind w:right="46"/>
              <w:jc w:val="center"/>
              <w:rPr>
                <w:rFonts w:ascii="Times New Roman" w:hAnsi="Times New Roman" w:eastAsia="宋体" w:cs="Times New Roman"/>
                <w:b/>
                <w:bCs/>
                <w:szCs w:val="21"/>
              </w:rPr>
            </w:pPr>
            <w:r>
              <w:rPr>
                <w:rFonts w:ascii="Times New Roman" w:hAnsi="Times New Roman" w:eastAsia="宋体" w:cs="Times New Roman"/>
                <w:b/>
                <w:bCs/>
                <w:szCs w:val="21"/>
              </w:rPr>
              <w:t>变化情况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tblHeader/>
          <w:jc w:val="center"/>
        </w:trPr>
        <w:tc>
          <w:tcPr>
            <w:tcW w:w="636" w:type="dxa"/>
            <w:vMerge w:val="continue"/>
            <w:vAlign w:val="center"/>
          </w:tcPr>
          <w:p>
            <w:pPr>
              <w:adjustRightInd w:val="0"/>
              <w:snapToGrid w:val="0"/>
              <w:spacing w:line="259" w:lineRule="auto"/>
              <w:ind w:right="46"/>
              <w:jc w:val="center"/>
              <w:rPr>
                <w:rFonts w:ascii="Times New Roman" w:hAnsi="Times New Roman" w:eastAsia="宋体" w:cs="Times New Roman"/>
                <w:b/>
                <w:bCs/>
                <w:szCs w:val="21"/>
              </w:rPr>
            </w:pPr>
          </w:p>
        </w:tc>
        <w:tc>
          <w:tcPr>
            <w:tcW w:w="1852" w:type="dxa"/>
            <w:vMerge w:val="continue"/>
            <w:vAlign w:val="center"/>
          </w:tcPr>
          <w:p>
            <w:pPr>
              <w:adjustRightInd w:val="0"/>
              <w:snapToGrid w:val="0"/>
              <w:spacing w:line="259" w:lineRule="auto"/>
              <w:ind w:right="46"/>
              <w:jc w:val="center"/>
              <w:rPr>
                <w:rFonts w:ascii="Times New Roman" w:hAnsi="Times New Roman" w:eastAsia="宋体" w:cs="Times New Roman"/>
                <w:b/>
                <w:bCs/>
                <w:szCs w:val="21"/>
              </w:rPr>
            </w:pPr>
          </w:p>
        </w:tc>
        <w:tc>
          <w:tcPr>
            <w:tcW w:w="956" w:type="dxa"/>
            <w:vMerge w:val="continue"/>
            <w:vAlign w:val="center"/>
          </w:tcPr>
          <w:p>
            <w:pPr>
              <w:adjustRightInd w:val="0"/>
              <w:snapToGrid w:val="0"/>
              <w:spacing w:line="259" w:lineRule="auto"/>
              <w:ind w:right="46"/>
              <w:jc w:val="center"/>
              <w:rPr>
                <w:rFonts w:ascii="Times New Roman" w:hAnsi="Times New Roman" w:eastAsia="宋体" w:cs="Times New Roman"/>
                <w:b/>
                <w:bCs/>
                <w:szCs w:val="21"/>
              </w:rPr>
            </w:pPr>
          </w:p>
        </w:tc>
        <w:tc>
          <w:tcPr>
            <w:tcW w:w="1279" w:type="dxa"/>
            <w:vMerge w:val="continue"/>
            <w:vAlign w:val="center"/>
          </w:tcPr>
          <w:p>
            <w:pPr>
              <w:adjustRightInd w:val="0"/>
              <w:snapToGrid w:val="0"/>
              <w:spacing w:line="259" w:lineRule="auto"/>
              <w:ind w:right="46" w:rightChars="0"/>
              <w:jc w:val="center"/>
              <w:rPr>
                <w:rFonts w:ascii="Times New Roman" w:hAnsi="Times New Roman" w:eastAsia="宋体" w:cs="Times New Roman"/>
                <w:b/>
                <w:bCs/>
                <w:szCs w:val="21"/>
              </w:rPr>
            </w:pPr>
          </w:p>
        </w:tc>
        <w:tc>
          <w:tcPr>
            <w:tcW w:w="1129" w:type="dxa"/>
            <w:vAlign w:val="center"/>
          </w:tcPr>
          <w:p>
            <w:pPr>
              <w:adjustRightInd w:val="0"/>
              <w:snapToGrid w:val="0"/>
              <w:spacing w:line="259" w:lineRule="auto"/>
              <w:ind w:right="46"/>
              <w:jc w:val="center"/>
              <w:rPr>
                <w:rFonts w:hint="default" w:ascii="Times New Roman" w:hAnsi="Times New Roman" w:eastAsia="宋体" w:cs="Times New Roman"/>
                <w:b/>
                <w:bCs/>
                <w:szCs w:val="21"/>
                <w:highlight w:val="none"/>
                <w:lang w:val="en-US" w:eastAsia="zh-CN"/>
              </w:rPr>
            </w:pPr>
            <w:r>
              <w:rPr>
                <w:rFonts w:hint="eastAsia" w:ascii="Times New Roman" w:hAnsi="Times New Roman" w:eastAsia="宋体" w:cs="Times New Roman"/>
                <w:b/>
                <w:bCs/>
                <w:szCs w:val="21"/>
                <w:highlight w:val="none"/>
                <w:lang w:val="en-US" w:eastAsia="zh-CN"/>
              </w:rPr>
              <w:t>2022.10.09</w:t>
            </w:r>
          </w:p>
        </w:tc>
        <w:tc>
          <w:tcPr>
            <w:tcW w:w="1196" w:type="dxa"/>
            <w:vAlign w:val="center"/>
          </w:tcPr>
          <w:p>
            <w:pPr>
              <w:adjustRightInd w:val="0"/>
              <w:snapToGrid w:val="0"/>
              <w:spacing w:line="259" w:lineRule="auto"/>
              <w:ind w:right="46"/>
              <w:jc w:val="center"/>
              <w:rPr>
                <w:rFonts w:hint="default" w:ascii="Times New Roman" w:hAnsi="Times New Roman" w:eastAsia="宋体" w:cs="Times New Roman"/>
                <w:b/>
                <w:bCs/>
                <w:szCs w:val="21"/>
                <w:highlight w:val="none"/>
                <w:lang w:val="en-US" w:eastAsia="zh-CN"/>
              </w:rPr>
            </w:pPr>
            <w:r>
              <w:rPr>
                <w:rFonts w:hint="eastAsia" w:ascii="Times New Roman" w:hAnsi="Times New Roman" w:eastAsia="宋体" w:cs="Times New Roman"/>
                <w:b/>
                <w:bCs/>
                <w:szCs w:val="21"/>
                <w:highlight w:val="none"/>
                <w:lang w:val="en-US" w:eastAsia="zh-CN"/>
              </w:rPr>
              <w:t>2022.10.10</w:t>
            </w:r>
          </w:p>
        </w:tc>
        <w:tc>
          <w:tcPr>
            <w:tcW w:w="1194" w:type="dxa"/>
            <w:vMerge w:val="continue"/>
            <w:vAlign w:val="center"/>
          </w:tcPr>
          <w:p>
            <w:pPr>
              <w:adjustRightInd w:val="0"/>
              <w:snapToGrid w:val="0"/>
              <w:spacing w:line="259" w:lineRule="auto"/>
              <w:ind w:right="46"/>
              <w:jc w:val="center"/>
              <w:rPr>
                <w:rFonts w:ascii="Times New Roman" w:hAnsi="Times New Roman" w:eastAsia="宋体" w:cs="Times New Roman"/>
                <w:b/>
                <w:bCs/>
                <w:szCs w:val="21"/>
              </w:rPr>
            </w:pPr>
          </w:p>
        </w:tc>
        <w:tc>
          <w:tcPr>
            <w:tcW w:w="1039" w:type="dxa"/>
            <w:vMerge w:val="continue"/>
            <w:vAlign w:val="center"/>
          </w:tcPr>
          <w:p>
            <w:pPr>
              <w:adjustRightInd w:val="0"/>
              <w:snapToGrid w:val="0"/>
              <w:spacing w:line="259" w:lineRule="auto"/>
              <w:ind w:right="46"/>
              <w:jc w:val="center"/>
              <w:rPr>
                <w:rFonts w:ascii="Times New Roman" w:hAnsi="Times New Roman" w:eastAsia="宋体" w:cs="Times New Roman"/>
                <w:b/>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pStyle w:val="111"/>
              <w:numPr>
                <w:ilvl w:val="0"/>
                <w:numId w:val="0"/>
              </w:num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852" w:type="dxa"/>
            <w:vAlign w:val="center"/>
          </w:tcPr>
          <w:p>
            <w:pPr>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铁丝</w:t>
            </w:r>
          </w:p>
        </w:tc>
        <w:tc>
          <w:tcPr>
            <w:tcW w:w="956" w:type="dxa"/>
            <w:vAlign w:val="center"/>
          </w:tcPr>
          <w:p>
            <w:pPr>
              <w:adjustRightInd w:val="0"/>
              <w:snapToGrid w:val="0"/>
              <w:ind w:right="32" w:rightChars="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Cs w:val="21"/>
                <w:highlight w:val="none"/>
              </w:rPr>
              <w:t>t/a</w:t>
            </w:r>
          </w:p>
        </w:tc>
        <w:tc>
          <w:tcPr>
            <w:tcW w:w="1279" w:type="dxa"/>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1000</w:t>
            </w:r>
          </w:p>
        </w:tc>
        <w:tc>
          <w:tcPr>
            <w:tcW w:w="1129"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3.0</w:t>
            </w:r>
          </w:p>
        </w:tc>
        <w:tc>
          <w:tcPr>
            <w:tcW w:w="1196"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3.1</w:t>
            </w:r>
          </w:p>
        </w:tc>
        <w:tc>
          <w:tcPr>
            <w:tcW w:w="1194"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915</w:t>
            </w:r>
          </w:p>
        </w:tc>
        <w:tc>
          <w:tcPr>
            <w:tcW w:w="1039"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pStyle w:val="111"/>
              <w:numPr>
                <w:ilvl w:val="0"/>
                <w:numId w:val="0"/>
              </w:num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852" w:type="dxa"/>
            <w:vAlign w:val="center"/>
          </w:tcPr>
          <w:p>
            <w:pPr>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机油</w:t>
            </w:r>
          </w:p>
        </w:tc>
        <w:tc>
          <w:tcPr>
            <w:tcW w:w="956" w:type="dxa"/>
            <w:vAlign w:val="center"/>
          </w:tcPr>
          <w:p>
            <w:pPr>
              <w:adjustRightInd w:val="0"/>
              <w:snapToGrid w:val="0"/>
              <w:ind w:right="32" w:right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lang w:val="en-US" w:eastAsia="zh-CN"/>
              </w:rPr>
              <w:t>kg</w:t>
            </w:r>
            <w:r>
              <w:rPr>
                <w:rFonts w:ascii="Times New Roman" w:hAnsi="Times New Roman" w:cs="Times New Roman"/>
                <w:szCs w:val="21"/>
                <w:highlight w:val="none"/>
              </w:rPr>
              <w:t>/a</w:t>
            </w:r>
          </w:p>
        </w:tc>
        <w:tc>
          <w:tcPr>
            <w:tcW w:w="1279" w:type="dxa"/>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150</w:t>
            </w:r>
          </w:p>
        </w:tc>
        <w:tc>
          <w:tcPr>
            <w:tcW w:w="1129"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w:t>
            </w:r>
          </w:p>
        </w:tc>
        <w:tc>
          <w:tcPr>
            <w:tcW w:w="1196"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w:t>
            </w:r>
          </w:p>
        </w:tc>
        <w:tc>
          <w:tcPr>
            <w:tcW w:w="1194"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0</w:t>
            </w:r>
          </w:p>
        </w:tc>
        <w:tc>
          <w:tcPr>
            <w:tcW w:w="1039"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pStyle w:val="111"/>
              <w:numPr>
                <w:ilvl w:val="0"/>
                <w:numId w:val="0"/>
              </w:num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852" w:type="dxa"/>
            <w:vAlign w:val="center"/>
          </w:tcPr>
          <w:p>
            <w:pPr>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木衣架（半成品）</w:t>
            </w:r>
          </w:p>
        </w:tc>
        <w:tc>
          <w:tcPr>
            <w:tcW w:w="956" w:type="dxa"/>
            <w:vAlign w:val="center"/>
          </w:tcPr>
          <w:p>
            <w:pPr>
              <w:adjustRightInd w:val="0"/>
              <w:snapToGrid w:val="0"/>
              <w:ind w:right="32" w:right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lang w:eastAsia="zh-CN"/>
              </w:rPr>
              <w:t>万</w:t>
            </w:r>
            <w:r>
              <w:rPr>
                <w:rFonts w:hint="eastAsia" w:ascii="Times New Roman" w:hAnsi="Times New Roman" w:cs="Times New Roman"/>
                <w:szCs w:val="21"/>
                <w:highlight w:val="none"/>
                <w:lang w:val="en-US" w:eastAsia="zh-CN"/>
              </w:rPr>
              <w:t>个</w:t>
            </w:r>
            <w:r>
              <w:rPr>
                <w:rFonts w:ascii="Times New Roman" w:hAnsi="Times New Roman" w:cs="Times New Roman"/>
                <w:szCs w:val="21"/>
                <w:highlight w:val="none"/>
              </w:rPr>
              <w:t>/a</w:t>
            </w:r>
          </w:p>
        </w:tc>
        <w:tc>
          <w:tcPr>
            <w:tcW w:w="1279" w:type="dxa"/>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200</w:t>
            </w:r>
          </w:p>
        </w:tc>
        <w:tc>
          <w:tcPr>
            <w:tcW w:w="1129"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w:t>
            </w:r>
          </w:p>
        </w:tc>
        <w:tc>
          <w:tcPr>
            <w:tcW w:w="1196"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w:t>
            </w:r>
          </w:p>
        </w:tc>
        <w:tc>
          <w:tcPr>
            <w:tcW w:w="1194"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0</w:t>
            </w:r>
          </w:p>
        </w:tc>
        <w:tc>
          <w:tcPr>
            <w:tcW w:w="1039"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pStyle w:val="111"/>
              <w:numPr>
                <w:ilvl w:val="0"/>
                <w:numId w:val="0"/>
              </w:num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852" w:type="dxa"/>
            <w:vAlign w:val="center"/>
          </w:tcPr>
          <w:p>
            <w:pPr>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底漆</w:t>
            </w:r>
          </w:p>
        </w:tc>
        <w:tc>
          <w:tcPr>
            <w:tcW w:w="956" w:type="dxa"/>
            <w:vAlign w:val="center"/>
          </w:tcPr>
          <w:p>
            <w:pPr>
              <w:adjustRightInd w:val="0"/>
              <w:snapToGrid w:val="0"/>
              <w:ind w:right="32" w:rightChars="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Cs w:val="21"/>
                <w:highlight w:val="none"/>
              </w:rPr>
              <w:t>t/a</w:t>
            </w:r>
          </w:p>
        </w:tc>
        <w:tc>
          <w:tcPr>
            <w:tcW w:w="1279" w:type="dxa"/>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0.8</w:t>
            </w:r>
          </w:p>
        </w:tc>
        <w:tc>
          <w:tcPr>
            <w:tcW w:w="1129"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w:t>
            </w:r>
          </w:p>
        </w:tc>
        <w:tc>
          <w:tcPr>
            <w:tcW w:w="1196"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w:t>
            </w:r>
          </w:p>
        </w:tc>
        <w:tc>
          <w:tcPr>
            <w:tcW w:w="1194"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0</w:t>
            </w:r>
          </w:p>
        </w:tc>
        <w:tc>
          <w:tcPr>
            <w:tcW w:w="1039"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pStyle w:val="111"/>
              <w:numPr>
                <w:ilvl w:val="0"/>
                <w:numId w:val="0"/>
              </w:num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1852" w:type="dxa"/>
            <w:vAlign w:val="center"/>
          </w:tcPr>
          <w:p>
            <w:pPr>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面漆</w:t>
            </w:r>
          </w:p>
        </w:tc>
        <w:tc>
          <w:tcPr>
            <w:tcW w:w="956" w:type="dxa"/>
            <w:vAlign w:val="center"/>
          </w:tcPr>
          <w:p>
            <w:pPr>
              <w:adjustRightInd w:val="0"/>
              <w:snapToGrid w:val="0"/>
              <w:ind w:right="32" w:rightChars="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Cs w:val="21"/>
                <w:highlight w:val="none"/>
              </w:rPr>
              <w:t>t/a</w:t>
            </w:r>
          </w:p>
        </w:tc>
        <w:tc>
          <w:tcPr>
            <w:tcW w:w="1279" w:type="dxa"/>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0.8</w:t>
            </w:r>
          </w:p>
        </w:tc>
        <w:tc>
          <w:tcPr>
            <w:tcW w:w="1129"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w:t>
            </w:r>
          </w:p>
        </w:tc>
        <w:tc>
          <w:tcPr>
            <w:tcW w:w="1196"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w:t>
            </w:r>
          </w:p>
        </w:tc>
        <w:tc>
          <w:tcPr>
            <w:tcW w:w="1194"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0</w:t>
            </w:r>
          </w:p>
        </w:tc>
        <w:tc>
          <w:tcPr>
            <w:tcW w:w="1039"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pStyle w:val="111"/>
              <w:numPr>
                <w:ilvl w:val="0"/>
                <w:numId w:val="0"/>
              </w:num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1852" w:type="dxa"/>
            <w:vAlign w:val="center"/>
          </w:tcPr>
          <w:p>
            <w:pPr>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稀释剂</w:t>
            </w:r>
          </w:p>
        </w:tc>
        <w:tc>
          <w:tcPr>
            <w:tcW w:w="956" w:type="dxa"/>
            <w:vAlign w:val="center"/>
          </w:tcPr>
          <w:p>
            <w:pPr>
              <w:adjustRightInd w:val="0"/>
              <w:snapToGrid w:val="0"/>
              <w:ind w:right="32" w:rightChars="0"/>
              <w:jc w:val="center"/>
              <w:rPr>
                <w:rFonts w:ascii="Times New Roman" w:hAnsi="Times New Roman" w:cs="Times New Roman"/>
                <w:szCs w:val="21"/>
                <w:highlight w:val="none"/>
              </w:rPr>
            </w:pPr>
            <w:r>
              <w:rPr>
                <w:rFonts w:ascii="Times New Roman" w:hAnsi="Times New Roman" w:cs="Times New Roman"/>
                <w:szCs w:val="21"/>
                <w:highlight w:val="none"/>
              </w:rPr>
              <w:t>t/a</w:t>
            </w:r>
          </w:p>
        </w:tc>
        <w:tc>
          <w:tcPr>
            <w:tcW w:w="1279" w:type="dxa"/>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1.6</w:t>
            </w:r>
          </w:p>
        </w:tc>
        <w:tc>
          <w:tcPr>
            <w:tcW w:w="1129"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w:t>
            </w:r>
          </w:p>
        </w:tc>
        <w:tc>
          <w:tcPr>
            <w:tcW w:w="1196"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w:t>
            </w:r>
          </w:p>
        </w:tc>
        <w:tc>
          <w:tcPr>
            <w:tcW w:w="1194"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0</w:t>
            </w:r>
          </w:p>
        </w:tc>
        <w:tc>
          <w:tcPr>
            <w:tcW w:w="1039"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pStyle w:val="111"/>
              <w:numPr>
                <w:ilvl w:val="0"/>
                <w:numId w:val="0"/>
              </w:num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1852" w:type="dxa"/>
            <w:vAlign w:val="center"/>
          </w:tcPr>
          <w:p>
            <w:pPr>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砂光轮</w:t>
            </w:r>
          </w:p>
        </w:tc>
        <w:tc>
          <w:tcPr>
            <w:tcW w:w="956" w:type="dxa"/>
            <w:vAlign w:val="center"/>
          </w:tcPr>
          <w:p>
            <w:pPr>
              <w:adjustRightInd w:val="0"/>
              <w:snapToGrid w:val="0"/>
              <w:ind w:right="32" w:right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lang w:val="en-US" w:eastAsia="zh-CN"/>
              </w:rPr>
              <w:t>个</w:t>
            </w:r>
            <w:r>
              <w:rPr>
                <w:rFonts w:ascii="Times New Roman" w:hAnsi="Times New Roman" w:cs="Times New Roman"/>
                <w:szCs w:val="21"/>
                <w:highlight w:val="none"/>
              </w:rPr>
              <w:t>/a</w:t>
            </w:r>
          </w:p>
        </w:tc>
        <w:tc>
          <w:tcPr>
            <w:tcW w:w="1279" w:type="dxa"/>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300</w:t>
            </w:r>
          </w:p>
        </w:tc>
        <w:tc>
          <w:tcPr>
            <w:tcW w:w="1129"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w:t>
            </w:r>
          </w:p>
        </w:tc>
        <w:tc>
          <w:tcPr>
            <w:tcW w:w="1196"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w:t>
            </w:r>
          </w:p>
        </w:tc>
        <w:tc>
          <w:tcPr>
            <w:tcW w:w="1194"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0</w:t>
            </w:r>
          </w:p>
        </w:tc>
        <w:tc>
          <w:tcPr>
            <w:tcW w:w="1039"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-300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pStyle w:val="111"/>
              <w:numPr>
                <w:ilvl w:val="0"/>
                <w:numId w:val="0"/>
              </w:num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852" w:type="dxa"/>
            <w:vAlign w:val="center"/>
          </w:tcPr>
          <w:p>
            <w:pPr>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焊接材料</w:t>
            </w:r>
          </w:p>
        </w:tc>
        <w:tc>
          <w:tcPr>
            <w:tcW w:w="956" w:type="dxa"/>
            <w:vAlign w:val="center"/>
          </w:tcPr>
          <w:p>
            <w:pPr>
              <w:adjustRightInd w:val="0"/>
              <w:snapToGrid w:val="0"/>
              <w:ind w:right="32" w:rightChars="0"/>
              <w:jc w:val="center"/>
              <w:rPr>
                <w:rFonts w:ascii="Times New Roman" w:hAnsi="Times New Roman" w:eastAsia="宋体" w:cs="Times New Roman"/>
                <w:w w:val="99"/>
                <w:kern w:val="2"/>
                <w:sz w:val="21"/>
                <w:szCs w:val="21"/>
                <w:vertAlign w:val="superscript"/>
                <w:lang w:val="en-US" w:eastAsia="zh-CN" w:bidi="ar-SA"/>
              </w:rPr>
            </w:pPr>
            <w:r>
              <w:rPr>
                <w:rFonts w:ascii="Times New Roman" w:hAnsi="Times New Roman" w:cs="Times New Roman"/>
                <w:szCs w:val="21"/>
              </w:rPr>
              <w:t>t/a</w:t>
            </w:r>
          </w:p>
        </w:tc>
        <w:tc>
          <w:tcPr>
            <w:tcW w:w="1279" w:type="dxa"/>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129"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0.003</w:t>
            </w:r>
          </w:p>
        </w:tc>
        <w:tc>
          <w:tcPr>
            <w:tcW w:w="1196"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0.003</w:t>
            </w:r>
          </w:p>
        </w:tc>
        <w:tc>
          <w:tcPr>
            <w:tcW w:w="1194"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0.9</w:t>
            </w:r>
          </w:p>
        </w:tc>
        <w:tc>
          <w:tcPr>
            <w:tcW w:w="1039"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pStyle w:val="111"/>
              <w:numPr>
                <w:ilvl w:val="0"/>
                <w:numId w:val="0"/>
              </w:num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1852" w:type="dxa"/>
            <w:vAlign w:val="center"/>
          </w:tcPr>
          <w:p>
            <w:pPr>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浸塑液</w:t>
            </w:r>
          </w:p>
        </w:tc>
        <w:tc>
          <w:tcPr>
            <w:tcW w:w="956" w:type="dxa"/>
            <w:vAlign w:val="center"/>
          </w:tcPr>
          <w:p>
            <w:pPr>
              <w:adjustRightInd w:val="0"/>
              <w:snapToGrid w:val="0"/>
              <w:ind w:right="32" w:rightChars="0"/>
              <w:jc w:val="center"/>
              <w:rPr>
                <w:rFonts w:hint="eastAsia" w:ascii="Times New Roman" w:hAnsi="Times New Roman" w:cs="Times New Roman"/>
                <w:szCs w:val="21"/>
                <w:lang w:val="en-US" w:eastAsia="zh-CN"/>
              </w:rPr>
            </w:pPr>
            <w:r>
              <w:rPr>
                <w:rFonts w:ascii="Times New Roman" w:hAnsi="Times New Roman" w:cs="Times New Roman"/>
                <w:szCs w:val="21"/>
              </w:rPr>
              <w:t>t/a</w:t>
            </w:r>
          </w:p>
        </w:tc>
        <w:tc>
          <w:tcPr>
            <w:tcW w:w="1279" w:type="dxa"/>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75</w:t>
            </w:r>
          </w:p>
        </w:tc>
        <w:tc>
          <w:tcPr>
            <w:tcW w:w="1129"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0.22</w:t>
            </w:r>
          </w:p>
        </w:tc>
        <w:tc>
          <w:tcPr>
            <w:tcW w:w="1196"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w:t>
            </w:r>
          </w:p>
        </w:tc>
        <w:tc>
          <w:tcPr>
            <w:tcW w:w="1194"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67.5</w:t>
            </w:r>
          </w:p>
        </w:tc>
        <w:tc>
          <w:tcPr>
            <w:tcW w:w="1039"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6" w:type="dxa"/>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备注</w:t>
            </w:r>
          </w:p>
        </w:tc>
        <w:tc>
          <w:tcPr>
            <w:tcW w:w="8645" w:type="dxa"/>
            <w:gridSpan w:val="7"/>
            <w:vAlign w:val="center"/>
          </w:tcPr>
          <w:p>
            <w:pPr>
              <w:numPr>
                <w:ilvl w:val="0"/>
                <w:numId w:val="4"/>
              </w:numPr>
              <w:jc w:val="both"/>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企业不生产木衣架，故木衣架相关的原辅料不使用；</w:t>
            </w:r>
          </w:p>
          <w:p>
            <w:pPr>
              <w:numPr>
                <w:ilvl w:val="0"/>
                <w:numId w:val="4"/>
              </w:numPr>
              <w:jc w:val="both"/>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kern w:val="0"/>
                <w:szCs w:val="21"/>
                <w:lang w:val="en-US" w:eastAsia="zh-CN"/>
              </w:rPr>
              <w:t>本项目试运行至今，企业未更换设备机油，约3年更换一次。</w:t>
            </w:r>
          </w:p>
        </w:tc>
      </w:tr>
    </w:tbl>
    <w:p>
      <w:pPr>
        <w:pStyle w:val="5"/>
        <w:rPr>
          <w:rFonts w:eastAsia="宋体"/>
        </w:rPr>
      </w:pPr>
      <w:bookmarkStart w:id="26" w:name="_Toc22792"/>
      <w:r>
        <w:rPr>
          <w:rFonts w:eastAsia="宋体"/>
        </w:rPr>
        <w:t>3.4水源及水平衡</w:t>
      </w:r>
      <w:bookmarkEnd w:id="26"/>
    </w:p>
    <w:p>
      <w:pPr>
        <w:snapToGrid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本项目用水主要为员工生活用水。</w:t>
      </w:r>
    </w:p>
    <w:p>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项目用</w:t>
      </w:r>
      <w:r>
        <w:rPr>
          <w:rFonts w:hint="eastAsia" w:ascii="Times New Roman" w:hAnsi="Times New Roman" w:cs="Times New Roman"/>
          <w:color w:val="auto"/>
          <w:sz w:val="24"/>
          <w:szCs w:val="24"/>
          <w:lang w:val="en-US" w:eastAsia="zh-CN"/>
        </w:rPr>
        <w:t>水情况</w:t>
      </w:r>
    </w:p>
    <w:p>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员工生活用水：本项目劳动定员</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lang w:val="en-US" w:eastAsia="zh-CN"/>
        </w:rPr>
        <w:t>人，厂内设</w:t>
      </w:r>
      <w:r>
        <w:rPr>
          <w:rFonts w:hint="eastAsia" w:ascii="Times New Roman" w:hAnsi="Times New Roman" w:cs="Times New Roman"/>
          <w:color w:val="auto"/>
          <w:sz w:val="24"/>
          <w:szCs w:val="24"/>
          <w:lang w:val="en-US" w:eastAsia="zh-CN"/>
        </w:rPr>
        <w:t>有</w:t>
      </w:r>
      <w:r>
        <w:rPr>
          <w:rFonts w:hint="default" w:ascii="Times New Roman" w:hAnsi="Times New Roman" w:cs="Times New Roman"/>
          <w:color w:val="auto"/>
          <w:sz w:val="24"/>
          <w:szCs w:val="24"/>
          <w:lang w:val="en-US" w:eastAsia="zh-CN"/>
        </w:rPr>
        <w:t>员工宿舍，</w:t>
      </w:r>
      <w:r>
        <w:rPr>
          <w:rFonts w:hint="eastAsia" w:ascii="Times New Roman" w:hAnsi="Times New Roman" w:cs="Times New Roman"/>
          <w:color w:val="auto"/>
          <w:sz w:val="24"/>
          <w:szCs w:val="24"/>
          <w:lang w:val="en-US" w:eastAsia="zh-CN"/>
        </w:rPr>
        <w:t>不设食堂。</w:t>
      </w:r>
      <w:r>
        <w:rPr>
          <w:rFonts w:hint="default" w:ascii="Times New Roman" w:hAnsi="Times New Roman" w:cs="Times New Roman"/>
          <w:color w:val="auto"/>
          <w:sz w:val="24"/>
          <w:szCs w:val="24"/>
          <w:lang w:val="en-US" w:eastAsia="zh-CN"/>
        </w:rPr>
        <w:t>员工日常用水按</w:t>
      </w:r>
      <w:r>
        <w:rPr>
          <w:rFonts w:hint="eastAsia" w:ascii="Times New Roman" w:hAnsi="Times New Roman" w:cs="Times New Roman"/>
          <w:color w:val="auto"/>
          <w:sz w:val="24"/>
          <w:szCs w:val="24"/>
          <w:lang w:val="en-US" w:eastAsia="zh-CN"/>
        </w:rPr>
        <w:t>100</w:t>
      </w:r>
      <w:r>
        <w:rPr>
          <w:rFonts w:hint="default" w:ascii="Times New Roman" w:hAnsi="Times New Roman" w:cs="Times New Roman"/>
          <w:color w:val="auto"/>
          <w:sz w:val="24"/>
          <w:szCs w:val="24"/>
          <w:lang w:val="en-US" w:eastAsia="zh-CN"/>
        </w:rPr>
        <w:t>L/人•d计，则生活污水用水量约为</w:t>
      </w:r>
      <w:r>
        <w:rPr>
          <w:rFonts w:hint="eastAsia" w:ascii="Times New Roman" w:hAnsi="Times New Roman" w:cs="Times New Roman"/>
          <w:color w:val="auto"/>
          <w:sz w:val="24"/>
          <w:szCs w:val="24"/>
          <w:lang w:val="en-US" w:eastAsia="zh-CN"/>
        </w:rPr>
        <w:t>900t</w:t>
      </w: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w:t>
      </w:r>
    </w:p>
    <w:p>
      <w:pPr>
        <w:snapToGri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w:t>
      </w:r>
      <w:r>
        <w:rPr>
          <w:rFonts w:hint="eastAsia" w:ascii="Times New Roman" w:hAnsi="Times New Roman" w:cs="Times New Roman"/>
          <w:color w:val="auto"/>
          <w:sz w:val="24"/>
          <w:szCs w:val="24"/>
          <w:lang w:val="en-US" w:eastAsia="zh-CN"/>
        </w:rPr>
        <w:t>废水产生及排放情况</w:t>
      </w:r>
    </w:p>
    <w:p>
      <w:pPr>
        <w:snapToGrid w:val="0"/>
        <w:spacing w:line="360" w:lineRule="auto"/>
        <w:ind w:firstLine="480" w:firstLineChars="200"/>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sz w:val="24"/>
          <w:szCs w:val="24"/>
          <w:lang w:val="en-US" w:eastAsia="zh-CN"/>
        </w:rPr>
        <w:t>本项目产生的废水主要为生活污水</w:t>
      </w:r>
      <w:r>
        <w:rPr>
          <w:rFonts w:hint="eastAsia" w:ascii="Times New Roman" w:hAnsi="Times New Roman" w:cs="Times New Roman"/>
          <w:color w:val="auto"/>
          <w:sz w:val="24"/>
          <w:szCs w:val="24"/>
          <w:lang w:eastAsia="zh-CN"/>
        </w:rPr>
        <w:t>。</w:t>
      </w:r>
    </w:p>
    <w:p>
      <w:pPr>
        <w:snapToGrid w:val="0"/>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生活污水：</w:t>
      </w:r>
      <w:r>
        <w:rPr>
          <w:rFonts w:hint="eastAsia"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rPr>
        <w:t>生活用水量约为</w:t>
      </w:r>
      <w:r>
        <w:rPr>
          <w:rFonts w:hint="eastAsia" w:ascii="Times New Roman" w:hAnsi="Times New Roman" w:cs="Times New Roman"/>
          <w:color w:val="auto"/>
          <w:sz w:val="24"/>
          <w:szCs w:val="24"/>
          <w:lang w:val="en-US" w:eastAsia="zh-CN"/>
        </w:rPr>
        <w:t>900</w:t>
      </w:r>
      <w:r>
        <w:rPr>
          <w:rFonts w:hint="eastAsia" w:ascii="Times New Roman" w:hAnsi="Times New Roman" w:cs="Times New Roman"/>
          <w:color w:val="auto"/>
          <w:sz w:val="24"/>
          <w:szCs w:val="24"/>
        </w:rPr>
        <w:t>t/a，产污系数按0.</w:t>
      </w:r>
      <w:r>
        <w:rPr>
          <w:rFonts w:hint="eastAsia" w:ascii="Times New Roman" w:hAnsi="Times New Roman" w:cs="Times New Roman"/>
          <w:color w:val="auto"/>
          <w:sz w:val="24"/>
          <w:szCs w:val="24"/>
          <w:lang w:val="en-US" w:eastAsia="zh-CN"/>
        </w:rPr>
        <w:t>9</w:t>
      </w:r>
      <w:r>
        <w:rPr>
          <w:rFonts w:hint="eastAsia" w:ascii="Times New Roman" w:hAnsi="Times New Roman" w:cs="Times New Roman"/>
          <w:color w:val="auto"/>
          <w:sz w:val="24"/>
          <w:szCs w:val="24"/>
        </w:rPr>
        <w:t>计，则生活污水产生量为</w:t>
      </w:r>
      <w:r>
        <w:rPr>
          <w:rFonts w:hint="eastAsia" w:ascii="Times New Roman" w:hAnsi="Times New Roman" w:cs="Times New Roman"/>
          <w:color w:val="auto"/>
          <w:sz w:val="24"/>
          <w:szCs w:val="24"/>
          <w:lang w:val="en-US" w:eastAsia="zh-CN"/>
        </w:rPr>
        <w:t>810</w:t>
      </w:r>
      <w:r>
        <w:rPr>
          <w:rFonts w:hint="eastAsia" w:ascii="Times New Roman" w:hAnsi="Times New Roman" w:cs="Times New Roman"/>
          <w:color w:val="auto"/>
          <w:sz w:val="24"/>
          <w:szCs w:val="24"/>
        </w:rPr>
        <w:t>t/a。</w:t>
      </w:r>
    </w:p>
    <w:p>
      <w:pPr>
        <w:snapToGrid w:val="0"/>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项目水平衡图见图3.4-1。</w:t>
      </w:r>
    </w:p>
    <w:p>
      <w:pPr>
        <w:snapToGrid w:val="0"/>
        <w:spacing w:line="360" w:lineRule="auto"/>
        <w:rPr>
          <w:rFonts w:hint="eastAsia" w:eastAsiaTheme="minorEastAsia"/>
          <w:color w:val="auto"/>
          <w:lang w:eastAsia="zh-CN"/>
        </w:rPr>
      </w:pPr>
      <w:r>
        <w:rPr>
          <w:rFonts w:hint="eastAsia" w:eastAsiaTheme="minorEastAsia"/>
          <w:color w:val="auto"/>
          <w:lang w:eastAsia="zh-CN"/>
        </w:rPr>
        <w:drawing>
          <wp:inline distT="0" distB="0" distL="114300" distR="114300">
            <wp:extent cx="5264785" cy="655955"/>
            <wp:effectExtent l="0" t="0" r="12065" b="10795"/>
            <wp:docPr id="5" name="图片 5"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水平衡"/>
                    <pic:cNvPicPr>
                      <a:picLocks noChangeAspect="1"/>
                    </pic:cNvPicPr>
                  </pic:nvPicPr>
                  <pic:blipFill>
                    <a:blip r:embed="rId18"/>
                    <a:stretch>
                      <a:fillRect/>
                    </a:stretch>
                  </pic:blipFill>
                  <pic:spPr>
                    <a:xfrm>
                      <a:off x="0" y="0"/>
                      <a:ext cx="5264785" cy="655955"/>
                    </a:xfrm>
                    <a:prstGeom prst="rect">
                      <a:avLst/>
                    </a:prstGeom>
                  </pic:spPr>
                </pic:pic>
              </a:graphicData>
            </a:graphic>
          </wp:inline>
        </w:drawing>
      </w:r>
    </w:p>
    <w:p>
      <w:pPr>
        <w:snapToGrid w:val="0"/>
        <w:spacing w:line="360" w:lineRule="auto"/>
        <w:jc w:val="center"/>
        <w:rPr>
          <w:rFonts w:ascii="Times New Roman" w:hAnsi="Times New Roman" w:eastAsia="宋体"/>
          <w:b/>
          <w:color w:val="auto"/>
        </w:rPr>
      </w:pPr>
      <w:r>
        <w:rPr>
          <w:rFonts w:ascii="Times New Roman" w:hAnsi="Times New Roman" w:eastAsia="宋体"/>
          <w:b/>
          <w:color w:val="auto"/>
        </w:rPr>
        <w:t xml:space="preserve">图 </w:t>
      </w:r>
      <w:r>
        <w:rPr>
          <w:rFonts w:ascii="Times New Roman" w:hAnsi="Times New Roman" w:eastAsia="宋体" w:cs="Times New Roman"/>
          <w:b/>
          <w:color w:val="auto"/>
        </w:rPr>
        <w:t xml:space="preserve">3.4-1  </w:t>
      </w:r>
      <w:r>
        <w:rPr>
          <w:rFonts w:ascii="Times New Roman" w:hAnsi="Times New Roman" w:eastAsia="宋体"/>
          <w:b/>
          <w:color w:val="auto"/>
        </w:rPr>
        <w:t>项目水平衡图（单位：</w:t>
      </w:r>
      <w:r>
        <w:rPr>
          <w:rFonts w:ascii="Times New Roman" w:hAnsi="Times New Roman" w:eastAsia="宋体" w:cs="Times New Roman"/>
          <w:b/>
          <w:color w:val="auto"/>
        </w:rPr>
        <w:t>t/a</w:t>
      </w:r>
      <w:r>
        <w:rPr>
          <w:rFonts w:ascii="Times New Roman" w:hAnsi="Times New Roman" w:eastAsia="宋体"/>
          <w:b/>
          <w:color w:val="auto"/>
        </w:rPr>
        <w:t>）</w:t>
      </w:r>
    </w:p>
    <w:p>
      <w:pPr>
        <w:pStyle w:val="5"/>
        <w:rPr>
          <w:rFonts w:eastAsia="宋体"/>
        </w:rPr>
      </w:pPr>
      <w:bookmarkStart w:id="27" w:name="_Toc19774"/>
      <w:r>
        <w:rPr>
          <w:rFonts w:eastAsia="宋体"/>
        </w:rPr>
        <w:t>3.5生产工艺</w:t>
      </w:r>
      <w:bookmarkEnd w:id="27"/>
    </w:p>
    <w:p>
      <w:pPr>
        <w:numPr>
          <w:ilvl w:val="0"/>
          <w:numId w:val="0"/>
        </w:numPr>
        <w:tabs>
          <w:tab w:val="left" w:pos="5382"/>
        </w:tabs>
        <w:spacing w:line="360" w:lineRule="auto"/>
        <w:ind w:firstLine="240" w:firstLineChars="100"/>
        <w:rPr>
          <w:rFonts w:hint="eastAsia" w:ascii="Times New Roman" w:hAnsi="Times New Roman" w:cs="Times New Roman"/>
          <w:sz w:val="24"/>
          <w:szCs w:val="24"/>
          <w:lang w:eastAsia="zh-CN"/>
        </w:rPr>
      </w:pPr>
      <w:bookmarkStart w:id="28" w:name="_Hlk535413610"/>
      <w:bookmarkStart w:id="29" w:name="_Hlk523347195"/>
      <w:r>
        <w:rPr>
          <w:rFonts w:hint="eastAsia" w:ascii="Times New Roman" w:hAnsi="Times New Roman" w:cs="Times New Roman"/>
          <w:sz w:val="24"/>
          <w:szCs w:val="24"/>
          <w:lang w:val="en-US" w:eastAsia="zh-CN"/>
        </w:rPr>
        <w:t>一、</w:t>
      </w:r>
      <w:r>
        <w:rPr>
          <w:rFonts w:hint="eastAsia" w:ascii="Times New Roman" w:hAnsi="Times New Roman" w:cs="Times New Roman"/>
          <w:sz w:val="24"/>
          <w:szCs w:val="24"/>
        </w:rPr>
        <w:t>生产工艺具体</w:t>
      </w:r>
      <w:r>
        <w:rPr>
          <w:rFonts w:ascii="Times New Roman" w:hAnsi="Times New Roman" w:cs="Times New Roman"/>
          <w:sz w:val="24"/>
          <w:szCs w:val="24"/>
        </w:rPr>
        <w:t>见下图</w:t>
      </w:r>
      <w:bookmarkEnd w:id="28"/>
      <w:r>
        <w:rPr>
          <w:rFonts w:ascii="Times New Roman" w:hAnsi="Times New Roman" w:cs="Times New Roman"/>
          <w:sz w:val="24"/>
          <w:szCs w:val="24"/>
        </w:rPr>
        <w:t>3.5-</w:t>
      </w: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~图3.5-6</w:t>
      </w:r>
      <w:r>
        <w:rPr>
          <w:rFonts w:ascii="Times New Roman" w:hAnsi="Times New Roman" w:cs="Times New Roman"/>
          <w:sz w:val="24"/>
          <w:szCs w:val="24"/>
        </w:rPr>
        <w:t>：</w:t>
      </w:r>
      <w:r>
        <w:rPr>
          <w:rFonts w:hint="eastAsia" w:ascii="Times New Roman" w:hAnsi="Times New Roman" w:cs="Times New Roman"/>
          <w:sz w:val="24"/>
          <w:szCs w:val="24"/>
          <w:lang w:eastAsia="zh-CN"/>
        </w:rPr>
        <w:tab/>
      </w:r>
    </w:p>
    <w:p>
      <w:pPr>
        <w:numPr>
          <w:ilvl w:val="0"/>
          <w:numId w:val="0"/>
        </w:numPr>
        <w:tabs>
          <w:tab w:val="left" w:pos="5382"/>
        </w:tabs>
        <w:spacing w:line="360" w:lineRule="auto"/>
        <w:ind w:firstLine="240" w:firstLineChars="100"/>
        <w:rPr>
          <w:rFonts w:hint="default" w:ascii="Times New Roman" w:hAnsi="Times New Roman" w:cs="Times New Roman"/>
          <w:sz w:val="24"/>
          <w:szCs w:val="24"/>
          <w:highlight w:val="yellow"/>
          <w:lang w:val="en-US" w:eastAsia="zh-CN"/>
        </w:rPr>
      </w:pPr>
      <w:r>
        <w:rPr>
          <w:rFonts w:hint="eastAsia" w:ascii="Times New Roman" w:hAnsi="Times New Roman" w:cs="Times New Roman"/>
          <w:sz w:val="24"/>
          <w:szCs w:val="24"/>
          <w:lang w:val="en-US" w:eastAsia="zh-CN"/>
        </w:rPr>
        <w:t>（1）毛巾架工艺流程</w:t>
      </w: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3442335" cy="624840"/>
            <wp:effectExtent l="0" t="0" r="5715" b="3810"/>
            <wp:docPr id="6" name="图片 6" descr="毛巾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毛巾架"/>
                    <pic:cNvPicPr>
                      <a:picLocks noChangeAspect="1"/>
                    </pic:cNvPicPr>
                  </pic:nvPicPr>
                  <pic:blipFill>
                    <a:blip r:embed="rId19"/>
                    <a:stretch>
                      <a:fillRect/>
                    </a:stretch>
                  </pic:blipFill>
                  <pic:spPr>
                    <a:xfrm>
                      <a:off x="0" y="0"/>
                      <a:ext cx="3442335" cy="624840"/>
                    </a:xfrm>
                    <a:prstGeom prst="rect">
                      <a:avLst/>
                    </a:prstGeom>
                  </pic:spPr>
                </pic:pic>
              </a:graphicData>
            </a:graphic>
          </wp:inline>
        </w:drawing>
      </w:r>
    </w:p>
    <w:p>
      <w:pPr>
        <w:spacing w:line="360" w:lineRule="auto"/>
        <w:ind w:left="480"/>
        <w:jc w:val="center"/>
        <w:rPr>
          <w:rFonts w:hint="eastAsia" w:ascii="Times New Roman" w:hAnsi="Times New Roman" w:cs="Times New Roman"/>
          <w:b/>
          <w:bCs/>
          <w:sz w:val="24"/>
          <w:szCs w:val="24"/>
        </w:rPr>
      </w:pPr>
      <w:r>
        <w:rPr>
          <w:rFonts w:ascii="Times New Roman" w:hAnsi="Times New Roman" w:cs="Times New Roman"/>
          <w:b/>
          <w:bCs/>
          <w:sz w:val="24"/>
          <w:szCs w:val="24"/>
        </w:rPr>
        <w:t>图3.5-</w:t>
      </w:r>
      <w:r>
        <w:rPr>
          <w:rFonts w:hint="eastAsia" w:ascii="Times New Roman" w:hAnsi="Times New Roman" w:cs="Times New Roman"/>
          <w:b/>
          <w:bCs/>
          <w:sz w:val="24"/>
          <w:szCs w:val="24"/>
        </w:rPr>
        <w:t>1</w:t>
      </w:r>
      <w:r>
        <w:rPr>
          <w:rFonts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毛巾架</w:t>
      </w:r>
      <w:r>
        <w:rPr>
          <w:rFonts w:hint="eastAsia" w:ascii="Times New Roman" w:hAnsi="Times New Roman" w:cs="Times New Roman"/>
          <w:b/>
          <w:bCs/>
          <w:sz w:val="24"/>
          <w:szCs w:val="24"/>
        </w:rPr>
        <w:t>生产工艺流程</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主要工艺流程简述：</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将外购铁丝利用冲床下料，接着用折弯机折弯，然后用扭头机扭头，即可包装入库。</w:t>
      </w:r>
    </w:p>
    <w:p>
      <w:pPr>
        <w:numPr>
          <w:ilvl w:val="0"/>
          <w:numId w:val="0"/>
        </w:numPr>
        <w:tabs>
          <w:tab w:val="left" w:pos="5382"/>
        </w:tabs>
        <w:spacing w:line="360" w:lineRule="auto"/>
        <w:ind w:firstLine="240" w:firstLineChars="1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（2）铁丝衣架工艺流程</w:t>
      </w: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4241165" cy="1005205"/>
            <wp:effectExtent l="0" t="0" r="6985" b="4445"/>
            <wp:docPr id="7" name="图片 7" descr="铁丝衣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铁丝衣架"/>
                    <pic:cNvPicPr>
                      <a:picLocks noChangeAspect="1"/>
                    </pic:cNvPicPr>
                  </pic:nvPicPr>
                  <pic:blipFill>
                    <a:blip r:embed="rId20"/>
                    <a:stretch>
                      <a:fillRect/>
                    </a:stretch>
                  </pic:blipFill>
                  <pic:spPr>
                    <a:xfrm>
                      <a:off x="0" y="0"/>
                      <a:ext cx="4241165" cy="1005205"/>
                    </a:xfrm>
                    <a:prstGeom prst="rect">
                      <a:avLst/>
                    </a:prstGeom>
                  </pic:spPr>
                </pic:pic>
              </a:graphicData>
            </a:graphic>
          </wp:inline>
        </w:drawing>
      </w:r>
    </w:p>
    <w:p>
      <w:pPr>
        <w:spacing w:line="360" w:lineRule="auto"/>
        <w:ind w:left="480"/>
        <w:jc w:val="center"/>
        <w:rPr>
          <w:rFonts w:hint="eastAsia" w:ascii="Times New Roman" w:hAnsi="Times New Roman" w:cs="Times New Roman"/>
          <w:b/>
          <w:bCs/>
          <w:sz w:val="24"/>
          <w:szCs w:val="24"/>
        </w:rPr>
      </w:pPr>
      <w:r>
        <w:rPr>
          <w:rFonts w:ascii="Times New Roman" w:hAnsi="Times New Roman" w:cs="Times New Roman"/>
          <w:b/>
          <w:bCs/>
          <w:sz w:val="24"/>
          <w:szCs w:val="24"/>
        </w:rPr>
        <w:t>图3.5-</w:t>
      </w:r>
      <w:r>
        <w:rPr>
          <w:rFonts w:hint="eastAsia" w:ascii="Times New Roman" w:hAnsi="Times New Roman" w:cs="Times New Roman"/>
          <w:b/>
          <w:bCs/>
          <w:sz w:val="24"/>
          <w:szCs w:val="24"/>
          <w:lang w:val="en-US" w:eastAsia="zh-CN"/>
        </w:rPr>
        <w:t>2</w:t>
      </w:r>
      <w:r>
        <w:rPr>
          <w:rFonts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铁丝衣架</w:t>
      </w:r>
      <w:r>
        <w:rPr>
          <w:rFonts w:hint="eastAsia" w:ascii="Times New Roman" w:hAnsi="Times New Roman" w:cs="Times New Roman"/>
          <w:b/>
          <w:bCs/>
          <w:sz w:val="24"/>
          <w:szCs w:val="24"/>
        </w:rPr>
        <w:t>工艺流程</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主要工艺流程简述：</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将外购铁丝利用冲床下料，再用折弯机折弯，接着用电焊机对其进行焊接（电焊机为二氧化碳气体保护焊），然后利用弯钩机弯钩，最后外协电镀，即可包装入库。</w:t>
      </w:r>
    </w:p>
    <w:p>
      <w:pPr>
        <w:numPr>
          <w:ilvl w:val="0"/>
          <w:numId w:val="0"/>
        </w:numPr>
        <w:tabs>
          <w:tab w:val="left" w:pos="5382"/>
        </w:tabs>
        <w:spacing w:line="360" w:lineRule="auto"/>
        <w:ind w:firstLine="240" w:firstLineChars="1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（3）浸塑铁丝衣架工艺流程</w:t>
      </w: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4455795" cy="697865"/>
            <wp:effectExtent l="0" t="0" r="1905" b="6985"/>
            <wp:docPr id="8" name="图片 8" descr="浸塑铁丝衣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浸塑铁丝衣架"/>
                    <pic:cNvPicPr>
                      <a:picLocks noChangeAspect="1"/>
                    </pic:cNvPicPr>
                  </pic:nvPicPr>
                  <pic:blipFill>
                    <a:blip r:embed="rId21"/>
                    <a:stretch>
                      <a:fillRect/>
                    </a:stretch>
                  </pic:blipFill>
                  <pic:spPr>
                    <a:xfrm>
                      <a:off x="0" y="0"/>
                      <a:ext cx="4455795" cy="697865"/>
                    </a:xfrm>
                    <a:prstGeom prst="rect">
                      <a:avLst/>
                    </a:prstGeom>
                  </pic:spPr>
                </pic:pic>
              </a:graphicData>
            </a:graphic>
          </wp:inline>
        </w:drawing>
      </w:r>
    </w:p>
    <w:p>
      <w:pPr>
        <w:spacing w:line="360" w:lineRule="auto"/>
        <w:ind w:left="480"/>
        <w:jc w:val="center"/>
        <w:rPr>
          <w:rFonts w:hint="eastAsia" w:ascii="Times New Roman" w:hAnsi="Times New Roman" w:cs="Times New Roman"/>
          <w:b/>
          <w:bCs/>
          <w:sz w:val="24"/>
          <w:szCs w:val="24"/>
        </w:rPr>
      </w:pPr>
      <w:r>
        <w:rPr>
          <w:rFonts w:ascii="Times New Roman" w:hAnsi="Times New Roman" w:cs="Times New Roman"/>
          <w:b/>
          <w:bCs/>
          <w:sz w:val="24"/>
          <w:szCs w:val="24"/>
        </w:rPr>
        <w:t>图3.5-</w:t>
      </w:r>
      <w:r>
        <w:rPr>
          <w:rFonts w:hint="eastAsia" w:ascii="Times New Roman" w:hAnsi="Times New Roman" w:cs="Times New Roman"/>
          <w:b/>
          <w:bCs/>
          <w:sz w:val="24"/>
          <w:szCs w:val="24"/>
          <w:lang w:val="en-US" w:eastAsia="zh-CN"/>
        </w:rPr>
        <w:t>3</w:t>
      </w:r>
      <w:r>
        <w:rPr>
          <w:rFonts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浸塑铁丝衣架工艺流程</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主要工艺流程简述：</w:t>
      </w:r>
    </w:p>
    <w:p>
      <w:pPr>
        <w:spacing w:line="360" w:lineRule="auto"/>
        <w:ind w:firstLine="480" w:firstLineChars="200"/>
        <w:rPr>
          <w:rFonts w:hint="eastAsia" w:ascii="Times New Roman" w:hAnsi="Times New Roman" w:cs="Times New Roman" w:eastAsiaTheme="minorEastAsia"/>
          <w:sz w:val="24"/>
          <w:szCs w:val="24"/>
          <w:lang w:val="en-US" w:eastAsia="zh-CN"/>
        </w:rPr>
      </w:pPr>
      <w:r>
        <w:rPr>
          <w:rFonts w:hint="eastAsia" w:ascii="Times New Roman" w:hAnsi="Times New Roman" w:cs="Times New Roman"/>
          <w:sz w:val="24"/>
          <w:szCs w:val="24"/>
          <w:lang w:eastAsia="zh-CN"/>
        </w:rPr>
        <w:t>首先将外购铁丝利用自动折弯机折弯成型，将成型的金属衣架所需部位进行点焊（点焊是电阻焊的一种，通过瞬间高电流，利用电阻热在金属结合的地方融化金属形成熔核，冷却点形成焊点，因此焊接过程无废气产生），点焊工序后将金属衣架放入烤箱预热（电加热，温度在130~200</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C左右），然后通过浸塑工序。浸塑后进入烤箱固化（电加热，温度在200~280</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C左右）。最后经检验合格即可包装入库。</w:t>
      </w:r>
    </w:p>
    <w:bookmarkEnd w:id="29"/>
    <w:p>
      <w:pPr>
        <w:pStyle w:val="5"/>
        <w:rPr>
          <w:rFonts w:eastAsia="宋体"/>
        </w:rPr>
      </w:pPr>
      <w:bookmarkStart w:id="30" w:name="_Toc12916"/>
      <w:r>
        <w:rPr>
          <w:rFonts w:eastAsia="宋体"/>
        </w:rPr>
        <w:t>3.6主要生产设备</w:t>
      </w:r>
      <w:bookmarkEnd w:id="30"/>
    </w:p>
    <w:p>
      <w:pPr>
        <w:jc w:val="center"/>
        <w:rPr>
          <w:rFonts w:ascii="Times New Roman" w:hAnsi="Times New Roman" w:cs="Times New Roman"/>
          <w:b/>
          <w:bCs/>
          <w:szCs w:val="21"/>
        </w:rPr>
      </w:pPr>
      <w:r>
        <w:rPr>
          <w:rFonts w:hint="eastAsia" w:ascii="Times New Roman" w:hAnsi="Times New Roman" w:cs="Times New Roman"/>
          <w:sz w:val="24"/>
          <w:szCs w:val="24"/>
        </w:rPr>
        <w:t xml:space="preserve">   </w:t>
      </w:r>
      <w:r>
        <w:rPr>
          <w:rFonts w:hint="eastAsia" w:ascii="Times New Roman" w:hAnsi="Times New Roman" w:eastAsia="宋体" w:cs="Times New Roman"/>
          <w:b/>
          <w:bCs/>
          <w:kern w:val="0"/>
          <w:szCs w:val="21"/>
        </w:rPr>
        <w:t xml:space="preserve"> </w:t>
      </w:r>
      <w:r>
        <w:rPr>
          <w:rFonts w:ascii="Times New Roman" w:hAnsi="Times New Roman" w:eastAsia="宋体" w:cs="Times New Roman"/>
          <w:b/>
          <w:bCs/>
          <w:kern w:val="0"/>
          <w:szCs w:val="21"/>
        </w:rPr>
        <w:t>表</w:t>
      </w:r>
      <w:r>
        <w:rPr>
          <w:rFonts w:hint="eastAsia" w:ascii="Times New Roman" w:hAnsi="Times New Roman" w:eastAsia="宋体" w:cs="Times New Roman"/>
          <w:b/>
          <w:bCs/>
          <w:kern w:val="0"/>
          <w:szCs w:val="21"/>
        </w:rPr>
        <w:t>3</w:t>
      </w:r>
      <w:r>
        <w:rPr>
          <w:rFonts w:ascii="Times New Roman" w:hAnsi="Times New Roman" w:eastAsia="宋体" w:cs="Times New Roman"/>
          <w:b/>
          <w:bCs/>
          <w:kern w:val="0"/>
          <w:szCs w:val="21"/>
        </w:rPr>
        <w:t>.6-1</w:t>
      </w:r>
      <w:r>
        <w:rPr>
          <w:rFonts w:hint="eastAsia"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lang w:val="en-US" w:eastAsia="zh-CN"/>
        </w:rPr>
        <w:t>项目</w:t>
      </w:r>
      <w:r>
        <w:rPr>
          <w:rFonts w:ascii="Times New Roman" w:hAnsi="Times New Roman" w:eastAsia="宋体" w:cs="Times New Roman"/>
          <w:b/>
          <w:bCs/>
          <w:kern w:val="0"/>
          <w:szCs w:val="21"/>
        </w:rPr>
        <w:t>主要</w:t>
      </w:r>
      <w:r>
        <w:rPr>
          <w:rFonts w:hint="eastAsia" w:ascii="Times New Roman" w:hAnsi="Times New Roman" w:eastAsia="宋体" w:cs="Times New Roman"/>
          <w:b/>
          <w:bCs/>
          <w:kern w:val="0"/>
          <w:szCs w:val="21"/>
        </w:rPr>
        <w:t>生产设备</w:t>
      </w:r>
    </w:p>
    <w:tbl>
      <w:tblPr>
        <w:tblStyle w:val="99"/>
        <w:tblW w:w="5213"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703"/>
        <w:gridCol w:w="2130"/>
        <w:gridCol w:w="1454"/>
        <w:gridCol w:w="1482"/>
        <w:gridCol w:w="1575"/>
        <w:gridCol w:w="144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tblHeader/>
          <w:jc w:val="center"/>
        </w:trPr>
        <w:tc>
          <w:tcPr>
            <w:tcW w:w="702" w:type="dxa"/>
            <w:vAlign w:val="center"/>
          </w:tcPr>
          <w:p>
            <w:pPr>
              <w:snapToGrid w:val="0"/>
              <w:ind w:right="104"/>
              <w:jc w:val="center"/>
              <w:rPr>
                <w:rFonts w:ascii="Times New Roman" w:hAnsi="Times New Roman" w:cs="Times New Roman"/>
                <w:b/>
              </w:rPr>
            </w:pPr>
            <w:r>
              <w:rPr>
                <w:rFonts w:ascii="Times New Roman" w:hAnsi="Times New Roman" w:cs="Times New Roman"/>
                <w:b/>
              </w:rPr>
              <w:t>序号</w:t>
            </w:r>
          </w:p>
        </w:tc>
        <w:tc>
          <w:tcPr>
            <w:tcW w:w="2128" w:type="dxa"/>
            <w:vAlign w:val="center"/>
          </w:tcPr>
          <w:p>
            <w:pPr>
              <w:snapToGrid w:val="0"/>
              <w:ind w:right="104"/>
              <w:jc w:val="center"/>
              <w:rPr>
                <w:rFonts w:ascii="Times New Roman" w:hAnsi="Times New Roman" w:cs="Times New Roman"/>
                <w:b/>
                <w:highlight w:val="none"/>
              </w:rPr>
            </w:pPr>
            <w:r>
              <w:rPr>
                <w:rFonts w:ascii="Times New Roman" w:hAnsi="Times New Roman" w:cs="Times New Roman"/>
                <w:b/>
                <w:highlight w:val="none"/>
              </w:rPr>
              <w:t>设备名称</w:t>
            </w:r>
          </w:p>
        </w:tc>
        <w:tc>
          <w:tcPr>
            <w:tcW w:w="1452" w:type="dxa"/>
            <w:vAlign w:val="center"/>
          </w:tcPr>
          <w:p>
            <w:pPr>
              <w:snapToGrid w:val="0"/>
              <w:ind w:right="104" w:rightChars="0"/>
              <w:jc w:val="center"/>
              <w:rPr>
                <w:rFonts w:ascii="Times New Roman" w:hAnsi="Times New Roman" w:cs="Times New Roman"/>
                <w:b/>
                <w:highlight w:val="none"/>
              </w:rPr>
            </w:pPr>
            <w:r>
              <w:rPr>
                <w:rFonts w:ascii="Times New Roman" w:hAnsi="Times New Roman" w:cs="Times New Roman"/>
                <w:b/>
                <w:highlight w:val="none"/>
              </w:rPr>
              <w:t>环评中数量</w:t>
            </w:r>
          </w:p>
          <w:p>
            <w:pPr>
              <w:snapToGrid w:val="0"/>
              <w:ind w:right="104" w:rightChars="0"/>
              <w:jc w:val="center"/>
              <w:rPr>
                <w:rFonts w:hint="eastAsia" w:ascii="Times New Roman" w:hAnsi="Times New Roman" w:cs="Times New Roman" w:eastAsiaTheme="minorEastAsia"/>
                <w:b/>
                <w:kern w:val="2"/>
                <w:sz w:val="21"/>
                <w:szCs w:val="22"/>
                <w:highlight w:val="none"/>
                <w:lang w:val="en-US" w:eastAsia="zh-CN" w:bidi="ar-SA"/>
              </w:rPr>
            </w:pPr>
            <w:r>
              <w:rPr>
                <w:rFonts w:hint="eastAsia" w:ascii="Times New Roman" w:hAnsi="Times New Roman" w:cs="Times New Roman"/>
                <w:b/>
                <w:highlight w:val="none"/>
                <w:lang w:eastAsia="zh-CN"/>
              </w:rPr>
              <w:t>（</w:t>
            </w:r>
            <w:r>
              <w:rPr>
                <w:rFonts w:hint="eastAsia" w:ascii="Times New Roman" w:hAnsi="Times New Roman" w:cs="Times New Roman"/>
                <w:b/>
                <w:highlight w:val="none"/>
                <w:lang w:val="en-US" w:eastAsia="zh-CN"/>
              </w:rPr>
              <w:t>台/套</w:t>
            </w:r>
            <w:r>
              <w:rPr>
                <w:rFonts w:hint="eastAsia" w:ascii="Times New Roman" w:hAnsi="Times New Roman" w:cs="Times New Roman"/>
                <w:b/>
                <w:highlight w:val="none"/>
                <w:lang w:eastAsia="zh-CN"/>
              </w:rPr>
              <w:t>）</w:t>
            </w:r>
          </w:p>
        </w:tc>
        <w:tc>
          <w:tcPr>
            <w:tcW w:w="1480" w:type="dxa"/>
            <w:vAlign w:val="center"/>
          </w:tcPr>
          <w:p>
            <w:pPr>
              <w:snapToGrid w:val="0"/>
              <w:ind w:right="104" w:rightChars="0"/>
              <w:jc w:val="center"/>
              <w:rPr>
                <w:rFonts w:ascii="Times New Roman" w:hAnsi="Times New Roman" w:cs="Times New Roman"/>
                <w:b/>
              </w:rPr>
            </w:pPr>
            <w:r>
              <w:rPr>
                <w:rFonts w:ascii="Times New Roman" w:hAnsi="Times New Roman" w:cs="Times New Roman"/>
                <w:b/>
              </w:rPr>
              <w:t>实际数量</w:t>
            </w:r>
          </w:p>
          <w:p>
            <w:pPr>
              <w:snapToGrid w:val="0"/>
              <w:ind w:right="104" w:rightChars="0"/>
              <w:jc w:val="center"/>
              <w:rPr>
                <w:rFonts w:ascii="Times New Roman" w:hAnsi="Times New Roman" w:cs="Times New Roman" w:eastAsiaTheme="minorEastAsia"/>
                <w:b/>
                <w:kern w:val="2"/>
                <w:sz w:val="21"/>
                <w:szCs w:val="22"/>
                <w:lang w:val="en-US" w:eastAsia="zh-CN" w:bidi="ar-SA"/>
              </w:rPr>
            </w:pPr>
            <w:r>
              <w:rPr>
                <w:rFonts w:hint="eastAsia" w:ascii="Times New Roman" w:hAnsi="Times New Roman" w:cs="Times New Roman"/>
                <w:b/>
                <w:lang w:eastAsia="zh-CN"/>
              </w:rPr>
              <w:t>（</w:t>
            </w:r>
            <w:r>
              <w:rPr>
                <w:rFonts w:hint="eastAsia" w:ascii="Times New Roman" w:hAnsi="Times New Roman" w:cs="Times New Roman"/>
                <w:b/>
                <w:lang w:val="en-US" w:eastAsia="zh-CN"/>
              </w:rPr>
              <w:t>台/套</w:t>
            </w:r>
            <w:r>
              <w:rPr>
                <w:rFonts w:hint="eastAsia" w:ascii="Times New Roman" w:hAnsi="Times New Roman" w:cs="Times New Roman"/>
                <w:b/>
                <w:lang w:eastAsia="zh-CN"/>
              </w:rPr>
              <w:t>）</w:t>
            </w:r>
          </w:p>
        </w:tc>
        <w:tc>
          <w:tcPr>
            <w:tcW w:w="1573" w:type="dxa"/>
            <w:vAlign w:val="center"/>
          </w:tcPr>
          <w:p>
            <w:pPr>
              <w:snapToGrid w:val="0"/>
              <w:ind w:right="104" w:rightChars="0"/>
              <w:jc w:val="center"/>
              <w:rPr>
                <w:rFonts w:hint="eastAsia" w:ascii="Times New Roman" w:hAnsi="Times New Roman" w:cs="Times New Roman"/>
                <w:b/>
                <w:lang w:val="en-US" w:eastAsia="zh-CN"/>
              </w:rPr>
            </w:pPr>
            <w:r>
              <w:rPr>
                <w:rFonts w:hint="eastAsia" w:ascii="Times New Roman" w:hAnsi="Times New Roman" w:cs="Times New Roman"/>
                <w:b/>
                <w:lang w:val="en-US" w:eastAsia="zh-CN"/>
              </w:rPr>
              <w:t>变化情况</w:t>
            </w:r>
          </w:p>
          <w:p>
            <w:pPr>
              <w:snapToGrid w:val="0"/>
              <w:ind w:right="104" w:rightChars="0"/>
              <w:jc w:val="center"/>
              <w:rPr>
                <w:rFonts w:hint="default" w:ascii="Times New Roman" w:hAnsi="Times New Roman" w:cs="Times New Roman" w:eastAsiaTheme="minorEastAsia"/>
                <w:b/>
                <w:lang w:val="en-US" w:eastAsia="zh-CN"/>
              </w:rPr>
            </w:pPr>
            <w:r>
              <w:rPr>
                <w:rFonts w:hint="eastAsia" w:ascii="Times New Roman" w:hAnsi="Times New Roman" w:cs="Times New Roman"/>
                <w:b/>
                <w:lang w:eastAsia="zh-CN"/>
              </w:rPr>
              <w:t>（</w:t>
            </w:r>
            <w:r>
              <w:rPr>
                <w:rFonts w:hint="eastAsia" w:ascii="Times New Roman" w:hAnsi="Times New Roman" w:cs="Times New Roman"/>
                <w:b/>
                <w:lang w:val="en-US" w:eastAsia="zh-CN"/>
              </w:rPr>
              <w:t>台/套</w:t>
            </w:r>
            <w:r>
              <w:rPr>
                <w:rFonts w:hint="eastAsia" w:ascii="Times New Roman" w:hAnsi="Times New Roman" w:cs="Times New Roman"/>
                <w:b/>
                <w:lang w:eastAsia="zh-CN"/>
              </w:rPr>
              <w:t>）</w:t>
            </w:r>
          </w:p>
        </w:tc>
        <w:tc>
          <w:tcPr>
            <w:tcW w:w="1443" w:type="dxa"/>
            <w:vAlign w:val="center"/>
          </w:tcPr>
          <w:p>
            <w:pPr>
              <w:snapToGrid w:val="0"/>
              <w:ind w:right="104"/>
              <w:jc w:val="center"/>
              <w:rPr>
                <w:rFonts w:ascii="Times New Roman" w:hAnsi="Times New Roman" w:cs="Times New Roman"/>
                <w:b/>
              </w:rPr>
            </w:pPr>
            <w:r>
              <w:rPr>
                <w:rFonts w:ascii="Times New Roman" w:hAnsi="Times New Roman" w:cs="Times New Roman"/>
                <w:b/>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下料机</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6</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3</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-3</w:t>
            </w:r>
          </w:p>
        </w:tc>
        <w:tc>
          <w:tcPr>
            <w:tcW w:w="1443" w:type="dxa"/>
            <w:vMerge w:val="restart"/>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12</w:t>
            </w:r>
            <w:r>
              <w:rPr>
                <w:rFonts w:hint="default" w:ascii="Times New Roman" w:hAnsi="Times New Roman" w:cs="Times New Roman"/>
                <w:b w:val="0"/>
                <w:bCs/>
                <w:highlight w:val="none"/>
                <w:lang w:val="en-US" w:eastAsia="zh-CN"/>
              </w:rPr>
              <w:t>30万个衣架生产线</w:t>
            </w:r>
            <w:r>
              <w:rPr>
                <w:rFonts w:hint="eastAsia" w:ascii="Times New Roman" w:hAnsi="Times New Roman" w:cs="Times New Roman"/>
                <w:b w:val="0"/>
                <w:bCs/>
                <w:highlight w:val="none"/>
                <w:lang w:val="en-US" w:eastAsia="zh-CN"/>
              </w:rPr>
              <w:t>（不生产木衣架）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折弯机</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3</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无变化</w:t>
            </w:r>
          </w:p>
        </w:tc>
        <w:tc>
          <w:tcPr>
            <w:tcW w:w="1443" w:type="dxa"/>
            <w:vMerge w:val="continue"/>
            <w:vAlign w:val="center"/>
          </w:tcPr>
          <w:p>
            <w:pPr>
              <w:snapToGrid w:val="0"/>
              <w:ind w:right="104"/>
              <w:jc w:val="center"/>
              <w:rPr>
                <w:rFonts w:hint="default"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电焊机</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28</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14</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-14</w:t>
            </w:r>
          </w:p>
        </w:tc>
        <w:tc>
          <w:tcPr>
            <w:tcW w:w="1443" w:type="dxa"/>
            <w:vMerge w:val="continue"/>
            <w:vAlign w:val="center"/>
          </w:tcPr>
          <w:p>
            <w:pPr>
              <w:snapToGrid w:val="0"/>
              <w:ind w:right="104"/>
              <w:jc w:val="center"/>
              <w:rPr>
                <w:rFonts w:hint="eastAsia"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4</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冲床</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7</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7</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无变化</w:t>
            </w:r>
          </w:p>
        </w:tc>
        <w:tc>
          <w:tcPr>
            <w:tcW w:w="1443" w:type="dxa"/>
            <w:vMerge w:val="continue"/>
            <w:vAlign w:val="center"/>
          </w:tcPr>
          <w:p>
            <w:pPr>
              <w:snapToGrid w:val="0"/>
              <w:ind w:right="104"/>
              <w:jc w:val="center"/>
              <w:rPr>
                <w:rFonts w:hint="default"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5</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扭头机</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10</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7</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-3</w:t>
            </w:r>
          </w:p>
        </w:tc>
        <w:tc>
          <w:tcPr>
            <w:tcW w:w="1443" w:type="dxa"/>
            <w:vMerge w:val="continue"/>
            <w:vAlign w:val="center"/>
          </w:tcPr>
          <w:p>
            <w:pPr>
              <w:snapToGrid w:val="0"/>
              <w:ind w:right="104"/>
              <w:jc w:val="center"/>
              <w:rPr>
                <w:rFonts w:hint="default"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6</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弯钩机</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5</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2</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-3</w:t>
            </w:r>
          </w:p>
        </w:tc>
        <w:tc>
          <w:tcPr>
            <w:tcW w:w="1443" w:type="dxa"/>
            <w:vMerge w:val="continue"/>
            <w:vAlign w:val="center"/>
          </w:tcPr>
          <w:p>
            <w:pPr>
              <w:snapToGrid w:val="0"/>
              <w:ind w:right="104"/>
              <w:jc w:val="center"/>
              <w:rPr>
                <w:rFonts w:hint="default"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7</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喷漆线</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0</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-2</w:t>
            </w:r>
          </w:p>
        </w:tc>
        <w:tc>
          <w:tcPr>
            <w:tcW w:w="1443" w:type="dxa"/>
            <w:vMerge w:val="continue"/>
            <w:vAlign w:val="center"/>
          </w:tcPr>
          <w:p>
            <w:pPr>
              <w:snapToGrid w:val="0"/>
              <w:ind w:right="104"/>
              <w:jc w:val="center"/>
              <w:rPr>
                <w:rFonts w:hint="default"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8</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打磨机</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0</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-1</w:t>
            </w:r>
          </w:p>
        </w:tc>
        <w:tc>
          <w:tcPr>
            <w:tcW w:w="1443" w:type="dxa"/>
            <w:vMerge w:val="continue"/>
            <w:vAlign w:val="center"/>
          </w:tcPr>
          <w:p>
            <w:pPr>
              <w:snapToGrid w:val="0"/>
              <w:ind w:right="104"/>
              <w:jc w:val="center"/>
              <w:rPr>
                <w:rFonts w:hint="default"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9</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自动折弯机</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6</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3</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-3</w:t>
            </w:r>
          </w:p>
        </w:tc>
        <w:tc>
          <w:tcPr>
            <w:tcW w:w="1443" w:type="dxa"/>
            <w:vMerge w:val="continue"/>
            <w:vAlign w:val="center"/>
          </w:tcPr>
          <w:p>
            <w:pPr>
              <w:snapToGrid w:val="0"/>
              <w:ind w:right="104"/>
              <w:jc w:val="center"/>
              <w:rPr>
                <w:rFonts w:hint="eastAsia"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10</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浸塑机</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4</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+1</w:t>
            </w:r>
          </w:p>
        </w:tc>
        <w:tc>
          <w:tcPr>
            <w:tcW w:w="1443" w:type="dxa"/>
            <w:vMerge w:val="continue"/>
            <w:vAlign w:val="center"/>
          </w:tcPr>
          <w:p>
            <w:pPr>
              <w:snapToGrid w:val="0"/>
              <w:ind w:right="104"/>
              <w:jc w:val="center"/>
              <w:rPr>
                <w:rFonts w:hint="default"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11</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烤箱</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6</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6</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无变化</w:t>
            </w:r>
          </w:p>
        </w:tc>
        <w:tc>
          <w:tcPr>
            <w:tcW w:w="1443" w:type="dxa"/>
            <w:vMerge w:val="continue"/>
            <w:vAlign w:val="center"/>
          </w:tcPr>
          <w:p>
            <w:pPr>
              <w:snapToGrid w:val="0"/>
              <w:ind w:right="104"/>
              <w:jc w:val="center"/>
              <w:rPr>
                <w:rFonts w:hint="eastAsia" w:ascii="Times New Roman" w:hAnsi="Times New Roman" w:cs="Times New Roman"/>
                <w:b w:val="0"/>
                <w:bCs/>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510" w:hRule="atLeast"/>
          <w:jc w:val="center"/>
        </w:trPr>
        <w:tc>
          <w:tcPr>
            <w:tcW w:w="702"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12</w:t>
            </w:r>
          </w:p>
        </w:tc>
        <w:tc>
          <w:tcPr>
            <w:tcW w:w="2128"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点焊机</w:t>
            </w:r>
          </w:p>
        </w:tc>
        <w:tc>
          <w:tcPr>
            <w:tcW w:w="1452" w:type="dxa"/>
            <w:vAlign w:val="center"/>
          </w:tcPr>
          <w:p>
            <w:pPr>
              <w:snapToGrid w:val="0"/>
              <w:ind w:right="104"/>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10</w:t>
            </w:r>
          </w:p>
        </w:tc>
        <w:tc>
          <w:tcPr>
            <w:tcW w:w="1480"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15</w:t>
            </w:r>
          </w:p>
        </w:tc>
        <w:tc>
          <w:tcPr>
            <w:tcW w:w="1573" w:type="dxa"/>
            <w:vAlign w:val="center"/>
          </w:tcPr>
          <w:p>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+5</w:t>
            </w:r>
          </w:p>
        </w:tc>
        <w:tc>
          <w:tcPr>
            <w:tcW w:w="1443" w:type="dxa"/>
            <w:vMerge w:val="continue"/>
            <w:vAlign w:val="center"/>
          </w:tcPr>
          <w:p>
            <w:pPr>
              <w:snapToGrid w:val="0"/>
              <w:ind w:right="104"/>
              <w:jc w:val="center"/>
              <w:rPr>
                <w:rFonts w:hint="eastAsia" w:ascii="Times New Roman" w:hAnsi="Times New Roman" w:cs="Times New Roman"/>
                <w:b w:val="0"/>
                <w:bCs/>
                <w:highlight w:val="none"/>
                <w:lang w:val="en-US" w:eastAsia="zh-CN"/>
              </w:rPr>
            </w:pPr>
          </w:p>
        </w:tc>
      </w:tr>
    </w:tbl>
    <w:p>
      <w:pPr>
        <w:pStyle w:val="5"/>
        <w:rPr>
          <w:rFonts w:eastAsia="宋体"/>
        </w:rPr>
        <w:sectPr>
          <w:footerReference r:id="rId8"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eastAsia="宋体"/>
          <w:color w:val="auto"/>
          <w:highlight w:val="yellow"/>
        </w:rPr>
      </w:pPr>
      <w:bookmarkStart w:id="31" w:name="_Toc22204"/>
      <w:r>
        <w:rPr>
          <w:rFonts w:eastAsia="宋体"/>
        </w:rPr>
        <w:t>3.</w:t>
      </w:r>
      <w:r>
        <w:rPr>
          <w:rFonts w:eastAsia="宋体"/>
          <w:color w:val="auto"/>
        </w:rPr>
        <w:t>7</w:t>
      </w:r>
      <w:r>
        <w:rPr>
          <w:rFonts w:eastAsia="宋体"/>
          <w:color w:val="auto"/>
          <w:highlight w:val="none"/>
        </w:rPr>
        <w:t>项目变动情况</w:t>
      </w:r>
      <w:bookmarkEnd w:id="31"/>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经现场调查及与建设单位的核实，对照</w:t>
      </w:r>
      <w:r>
        <w:rPr>
          <w:rFonts w:hint="eastAsia" w:ascii="Times New Roman" w:hAnsi="Times New Roman" w:cs="Times New Roman"/>
          <w:sz w:val="24"/>
          <w:szCs w:val="24"/>
        </w:rPr>
        <w:t>《污染影响类建设项目重大变动清单（试行）》，项目建设情况与环评批复相比，无重大变</w:t>
      </w:r>
      <w:r>
        <w:rPr>
          <w:rFonts w:hint="eastAsia" w:ascii="Times New Roman" w:hAnsi="Times New Roman" w:cs="Times New Roman"/>
          <w:sz w:val="24"/>
          <w:szCs w:val="24"/>
          <w:lang w:eastAsia="zh-CN"/>
        </w:rPr>
        <w:t>动</w:t>
      </w:r>
      <w:r>
        <w:rPr>
          <w:rFonts w:hint="eastAsia" w:ascii="Times New Roman" w:hAnsi="Times New Roman" w:cs="Times New Roman"/>
          <w:sz w:val="24"/>
          <w:szCs w:val="24"/>
        </w:rPr>
        <w:t>。</w:t>
      </w:r>
      <w:r>
        <w:rPr>
          <w:rFonts w:ascii="Times New Roman" w:hAnsi="Times New Roman" w:cs="Times New Roman"/>
          <w:sz w:val="24"/>
          <w:szCs w:val="24"/>
        </w:rPr>
        <w:t>具体变化情况见表3.7-1。</w:t>
      </w:r>
    </w:p>
    <w:p>
      <w:pPr>
        <w:widowControl/>
        <w:adjustRightInd w:val="0"/>
        <w:snapToGrid w:val="0"/>
        <w:spacing w:line="360" w:lineRule="auto"/>
        <w:ind w:firstLine="422" w:firstLineChars="20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表3.7-1 项目</w:t>
      </w:r>
      <w:r>
        <w:rPr>
          <w:rFonts w:ascii="Times New Roman" w:hAnsi="Times New Roman" w:eastAsia="宋体" w:cs="Times New Roman"/>
          <w:b/>
          <w:bCs/>
          <w:kern w:val="0"/>
          <w:szCs w:val="21"/>
        </w:rPr>
        <w:t>实际</w:t>
      </w:r>
      <w:r>
        <w:rPr>
          <w:rFonts w:hint="eastAsia" w:ascii="Times New Roman" w:hAnsi="Times New Roman" w:eastAsia="宋体" w:cs="Times New Roman"/>
          <w:b/>
          <w:bCs/>
          <w:kern w:val="0"/>
          <w:szCs w:val="21"/>
        </w:rPr>
        <w:t>建设</w:t>
      </w:r>
      <w:r>
        <w:rPr>
          <w:rFonts w:ascii="Times New Roman" w:hAnsi="Times New Roman" w:eastAsia="宋体" w:cs="Times New Roman"/>
          <w:b/>
          <w:bCs/>
          <w:kern w:val="0"/>
          <w:szCs w:val="21"/>
        </w:rPr>
        <w:t>与环评</w:t>
      </w:r>
      <w:r>
        <w:rPr>
          <w:rFonts w:hint="eastAsia" w:ascii="Times New Roman" w:hAnsi="Times New Roman" w:eastAsia="宋体" w:cs="Times New Roman"/>
          <w:b/>
          <w:bCs/>
          <w:kern w:val="0"/>
          <w:szCs w:val="21"/>
        </w:rPr>
        <w:t>报告</w:t>
      </w:r>
      <w:r>
        <w:rPr>
          <w:rFonts w:ascii="Times New Roman" w:hAnsi="Times New Roman" w:eastAsia="宋体" w:cs="Times New Roman"/>
          <w:b/>
          <w:bCs/>
          <w:kern w:val="0"/>
          <w:szCs w:val="21"/>
        </w:rPr>
        <w:t>变更情况一览表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3400"/>
        <w:gridCol w:w="4090"/>
        <w:gridCol w:w="3880"/>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42" w:type="dxa"/>
            <w:vAlign w:val="center"/>
          </w:tcPr>
          <w:p>
            <w:pPr>
              <w:pStyle w:val="31"/>
              <w:ind w:left="0" w:leftChars="0" w:firstLine="0" w:firstLineChars="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类别</w:t>
            </w:r>
          </w:p>
        </w:tc>
        <w:tc>
          <w:tcPr>
            <w:tcW w:w="3400" w:type="dxa"/>
            <w:vAlign w:val="center"/>
          </w:tcPr>
          <w:p>
            <w:pPr>
              <w:keepNext w:val="0"/>
              <w:keepLines w:val="0"/>
              <w:widowControl/>
              <w:suppressLineNumbers w:val="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环评及批复要求</w:t>
            </w:r>
          </w:p>
        </w:tc>
        <w:tc>
          <w:tcPr>
            <w:tcW w:w="4090" w:type="dxa"/>
            <w:vAlign w:val="center"/>
          </w:tcPr>
          <w:p>
            <w:pPr>
              <w:keepNext w:val="0"/>
              <w:keepLines w:val="0"/>
              <w:widowControl/>
              <w:suppressLineNumbers w:val="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实际建设情况</w:t>
            </w:r>
          </w:p>
        </w:tc>
        <w:tc>
          <w:tcPr>
            <w:tcW w:w="3880" w:type="dxa"/>
            <w:vAlign w:val="center"/>
          </w:tcPr>
          <w:p>
            <w:pPr>
              <w:keepNext w:val="0"/>
              <w:keepLines w:val="0"/>
              <w:widowControl/>
              <w:suppressLineNumbers w:val="0"/>
              <w:jc w:val="center"/>
              <w:rPr>
                <w:rFonts w:ascii="Times New Roman" w:hAnsi="Times New Roman" w:cs="Times New Roman"/>
                <w:b/>
                <w:bCs/>
                <w:sz w:val="21"/>
                <w:szCs w:val="21"/>
                <w:vertAlign w:val="baseline"/>
              </w:rPr>
            </w:pPr>
            <w:r>
              <w:rPr>
                <w:rFonts w:hint="eastAsia" w:ascii="宋体" w:hAnsi="宋体" w:eastAsia="宋体" w:cs="宋体"/>
                <w:b/>
                <w:bCs/>
                <w:color w:val="000000"/>
                <w:kern w:val="0"/>
                <w:sz w:val="20"/>
                <w:szCs w:val="20"/>
                <w:lang w:val="en-US" w:eastAsia="zh-CN" w:bidi="ar"/>
              </w:rPr>
              <w:t>重大变动清单</w:t>
            </w:r>
          </w:p>
        </w:tc>
        <w:tc>
          <w:tcPr>
            <w:tcW w:w="1862" w:type="dxa"/>
            <w:vAlign w:val="center"/>
          </w:tcPr>
          <w:p>
            <w:pPr>
              <w:keepNext w:val="0"/>
              <w:keepLines w:val="0"/>
              <w:widowControl/>
              <w:suppressLineNumbers w:val="0"/>
              <w:jc w:val="center"/>
              <w:rPr>
                <w:rFonts w:ascii="Times New Roman" w:hAnsi="Times New Roman" w:cs="Times New Roman"/>
                <w:b/>
                <w:bCs/>
                <w:sz w:val="21"/>
                <w:szCs w:val="21"/>
                <w:vertAlign w:val="baseline"/>
              </w:rPr>
            </w:pPr>
            <w:r>
              <w:rPr>
                <w:rFonts w:hint="eastAsia" w:ascii="宋体" w:hAnsi="宋体" w:eastAsia="宋体" w:cs="宋体"/>
                <w:b/>
                <w:bCs/>
                <w:color w:val="000000"/>
                <w:kern w:val="0"/>
                <w:sz w:val="20"/>
                <w:szCs w:val="20"/>
                <w:lang w:val="en-US" w:eastAsia="zh-CN" w:bidi="ar"/>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Align w:val="center"/>
          </w:tcPr>
          <w:p>
            <w:pPr>
              <w:spacing w:line="259" w:lineRule="auto"/>
              <w:jc w:val="center"/>
              <w:rPr>
                <w:rFonts w:hint="eastAsia" w:ascii="Times New Roman" w:hAnsi="Times New Roman"/>
                <w:lang w:eastAsia="zh-CN"/>
              </w:rPr>
            </w:pPr>
            <w:r>
              <w:rPr>
                <w:rFonts w:hint="eastAsia" w:ascii="Times New Roman" w:hAnsi="Times New Roman"/>
                <w:lang w:eastAsia="zh-CN"/>
              </w:rPr>
              <w:t>性质</w:t>
            </w:r>
          </w:p>
        </w:tc>
        <w:tc>
          <w:tcPr>
            <w:tcW w:w="3400" w:type="dxa"/>
            <w:vAlign w:val="center"/>
          </w:tcPr>
          <w:p>
            <w:pPr>
              <w:spacing w:line="259" w:lineRule="auto"/>
              <w:jc w:val="left"/>
              <w:rPr>
                <w:rFonts w:hint="default" w:ascii="Times New Roman" w:hAnsi="Times New Roman"/>
                <w:lang w:val="en-US" w:eastAsia="zh-CN"/>
              </w:rPr>
            </w:pPr>
            <w:r>
              <w:rPr>
                <w:rFonts w:hint="eastAsia" w:ascii="Times New Roman" w:hAnsi="Times New Roman"/>
                <w:lang w:val="en-US" w:eastAsia="zh-CN"/>
              </w:rPr>
              <w:t>新建</w:t>
            </w:r>
          </w:p>
        </w:tc>
        <w:tc>
          <w:tcPr>
            <w:tcW w:w="4090" w:type="dxa"/>
            <w:vAlign w:val="center"/>
          </w:tcPr>
          <w:p>
            <w:pPr>
              <w:spacing w:line="259" w:lineRule="auto"/>
              <w:jc w:val="left"/>
              <w:rPr>
                <w:rFonts w:ascii="Times New Roman" w:hAnsi="Times New Roman"/>
              </w:rPr>
            </w:pPr>
            <w:r>
              <w:rPr>
                <w:rFonts w:hint="eastAsia" w:ascii="Times New Roman" w:hAnsi="Times New Roman"/>
                <w:lang w:val="en-US" w:eastAsia="zh-CN"/>
              </w:rPr>
              <w:t>建设项目开发、使用功能未发生变化</w:t>
            </w:r>
          </w:p>
        </w:tc>
        <w:tc>
          <w:tcPr>
            <w:tcW w:w="3880" w:type="dxa"/>
            <w:vAlign w:val="center"/>
          </w:tcPr>
          <w:p>
            <w:pPr>
              <w:spacing w:line="259" w:lineRule="auto"/>
              <w:jc w:val="left"/>
              <w:rPr>
                <w:rFonts w:ascii="Times New Roman" w:hAnsi="Times New Roman"/>
              </w:rPr>
            </w:pPr>
            <w:r>
              <w:rPr>
                <w:rFonts w:hint="eastAsia" w:ascii="Times New Roman" w:hAnsi="Times New Roman"/>
                <w:lang w:val="en-US" w:eastAsia="zh-CN"/>
              </w:rPr>
              <w:t>1、</w:t>
            </w:r>
            <w:r>
              <w:rPr>
                <w:rFonts w:ascii="Times New Roman" w:hAnsi="Times New Roman"/>
              </w:rPr>
              <w:t>建设项目开发、使用功能发生变化的</w:t>
            </w:r>
          </w:p>
        </w:tc>
        <w:tc>
          <w:tcPr>
            <w:tcW w:w="1862" w:type="dxa"/>
            <w:vAlign w:val="center"/>
          </w:tcPr>
          <w:p>
            <w:pPr>
              <w:spacing w:line="259" w:lineRule="auto"/>
              <w:jc w:val="center"/>
              <w:rPr>
                <w:rFonts w:hint="eastAsia" w:ascii="Times New Roman" w:hAnsi="Times New Roman"/>
                <w:lang w:eastAsia="zh-C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restart"/>
            <w:vAlign w:val="center"/>
          </w:tcPr>
          <w:p>
            <w:pPr>
              <w:spacing w:line="259" w:lineRule="auto"/>
              <w:jc w:val="center"/>
              <w:rPr>
                <w:rFonts w:hint="eastAsia" w:ascii="Times New Roman" w:hAnsi="Times New Roman"/>
                <w:lang w:eastAsia="zh-CN"/>
              </w:rPr>
            </w:pPr>
            <w:r>
              <w:rPr>
                <w:rFonts w:hint="eastAsia" w:ascii="Times New Roman" w:hAnsi="Times New Roman"/>
              </w:rPr>
              <w:t>规模</w:t>
            </w:r>
          </w:p>
        </w:tc>
        <w:tc>
          <w:tcPr>
            <w:tcW w:w="3400" w:type="dxa"/>
            <w:vMerge w:val="restart"/>
            <w:vAlign w:val="center"/>
          </w:tcPr>
          <w:p>
            <w:pPr>
              <w:spacing w:line="259" w:lineRule="auto"/>
              <w:jc w:val="left"/>
              <w:rPr>
                <w:rFonts w:ascii="Times New Roman" w:hAnsi="Times New Roman"/>
              </w:rPr>
            </w:pPr>
            <w:r>
              <w:rPr>
                <w:rFonts w:hint="eastAsia" w:ascii="Times New Roman" w:hAnsi="Times New Roman"/>
                <w:lang w:val="en-US" w:eastAsia="zh-CN"/>
              </w:rPr>
              <w:t>年产1430万个衣架生产线建设项目</w:t>
            </w:r>
          </w:p>
        </w:tc>
        <w:tc>
          <w:tcPr>
            <w:tcW w:w="4090" w:type="dxa"/>
            <w:vMerge w:val="restart"/>
            <w:vAlign w:val="center"/>
          </w:tcPr>
          <w:p>
            <w:pPr>
              <w:spacing w:line="259" w:lineRule="auto"/>
              <w:jc w:val="left"/>
              <w:rPr>
                <w:rFonts w:hint="default" w:ascii="Times New Roman" w:hAnsi="Times New Roman"/>
                <w:lang w:val="en-US"/>
              </w:rPr>
            </w:pPr>
            <w:r>
              <w:rPr>
                <w:rFonts w:hint="eastAsia" w:ascii="Times New Roman" w:hAnsi="Times New Roman"/>
                <w:lang w:val="en-US" w:eastAsia="zh-CN"/>
              </w:rPr>
              <w:t>年产1230万个衣</w:t>
            </w:r>
            <w:r>
              <w:rPr>
                <w:rFonts w:hint="eastAsia" w:ascii="Times New Roman" w:hAnsi="Times New Roman"/>
                <w:highlight w:val="none"/>
                <w:lang w:val="en-US" w:eastAsia="zh-CN"/>
              </w:rPr>
              <w:t>架生产线建设项目，不生产木衣架</w:t>
            </w:r>
          </w:p>
        </w:tc>
        <w:tc>
          <w:tcPr>
            <w:tcW w:w="3880" w:type="dxa"/>
            <w:vAlign w:val="center"/>
          </w:tcPr>
          <w:p>
            <w:pPr>
              <w:spacing w:line="259" w:lineRule="auto"/>
              <w:jc w:val="left"/>
              <w:rPr>
                <w:rFonts w:ascii="Times New Roman" w:hAnsi="Times New Roman"/>
              </w:rPr>
            </w:pPr>
            <w:r>
              <w:rPr>
                <w:rFonts w:hint="eastAsia" w:ascii="Times New Roman" w:hAnsi="Times New Roman"/>
                <w:lang w:val="en-US" w:eastAsia="zh-CN"/>
              </w:rPr>
              <w:t>2、</w:t>
            </w:r>
            <w:r>
              <w:rPr>
                <w:rFonts w:ascii="Times New Roman" w:hAnsi="Times New Roman"/>
              </w:rPr>
              <w:t>生产、处置或储存能力增大 30%及以上的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400" w:type="dxa"/>
            <w:vMerge w:val="continue"/>
            <w:vAlign w:val="center"/>
          </w:tcPr>
          <w:p>
            <w:pPr>
              <w:spacing w:line="259" w:lineRule="auto"/>
              <w:jc w:val="left"/>
              <w:rPr>
                <w:rFonts w:ascii="Times New Roman" w:hAnsi="Times New Roman"/>
              </w:rPr>
            </w:pPr>
          </w:p>
        </w:tc>
        <w:tc>
          <w:tcPr>
            <w:tcW w:w="409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ascii="Times New Roman" w:hAnsi="Times New Roman"/>
              </w:rPr>
            </w:pPr>
            <w:r>
              <w:rPr>
                <w:rFonts w:hint="eastAsia" w:ascii="Times New Roman" w:hAnsi="Times New Roman"/>
                <w:lang w:val="en-US" w:eastAsia="zh-CN"/>
              </w:rPr>
              <w:t>3、生产、处置或储存能力增大，导致废水第一类污染物排放量增加的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400" w:type="dxa"/>
            <w:vMerge w:val="continue"/>
            <w:vAlign w:val="center"/>
          </w:tcPr>
          <w:p>
            <w:pPr>
              <w:spacing w:line="259" w:lineRule="auto"/>
              <w:jc w:val="left"/>
              <w:rPr>
                <w:rFonts w:ascii="Times New Roman" w:hAnsi="Times New Roman"/>
              </w:rPr>
            </w:pPr>
          </w:p>
        </w:tc>
        <w:tc>
          <w:tcPr>
            <w:tcW w:w="409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ascii="Times New Roman" w:hAnsi="Times New Roman"/>
              </w:rPr>
            </w:pPr>
            <w:r>
              <w:rPr>
                <w:rFonts w:hint="eastAsia" w:ascii="Times New Roman" w:hAnsi="Times New Roman"/>
                <w:lang w:val="en-US" w:eastAsia="zh-CN"/>
              </w:rPr>
              <w:t>4、位于环境质量不达标区的建设项目生产、处置或储存能力增大，导致相应污染物排放量增加的；位于达标区的建设项目生产、处置或储存能力增大</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Align w:val="center"/>
          </w:tcPr>
          <w:p>
            <w:pPr>
              <w:spacing w:line="259" w:lineRule="auto"/>
              <w:jc w:val="center"/>
              <w:rPr>
                <w:rFonts w:hint="eastAsia" w:ascii="Times New Roman" w:hAnsi="Times New Roman"/>
              </w:rPr>
            </w:pPr>
            <w:r>
              <w:rPr>
                <w:rFonts w:hint="eastAsia" w:ascii="Times New Roman" w:hAnsi="Times New Roman"/>
                <w:lang w:val="en-US" w:eastAsia="zh-CN"/>
              </w:rPr>
              <w:t>地点</w:t>
            </w:r>
          </w:p>
        </w:tc>
        <w:tc>
          <w:tcPr>
            <w:tcW w:w="3400" w:type="dxa"/>
            <w:vAlign w:val="center"/>
          </w:tcPr>
          <w:p>
            <w:pPr>
              <w:spacing w:line="259" w:lineRule="auto"/>
              <w:jc w:val="left"/>
              <w:rPr>
                <w:rFonts w:ascii="Times New Roman" w:hAnsi="Times New Roman"/>
              </w:rPr>
            </w:pPr>
            <w:r>
              <w:rPr>
                <w:rFonts w:hint="eastAsia" w:ascii="Times New Roman" w:hAnsi="Times New Roman"/>
                <w:lang w:val="en-US" w:eastAsia="zh-CN"/>
              </w:rPr>
              <w:t>浦江县黄宅镇中兴路99号</w:t>
            </w:r>
          </w:p>
        </w:tc>
        <w:tc>
          <w:tcPr>
            <w:tcW w:w="4090" w:type="dxa"/>
            <w:vAlign w:val="center"/>
          </w:tcPr>
          <w:p>
            <w:pPr>
              <w:spacing w:line="259" w:lineRule="auto"/>
              <w:jc w:val="left"/>
              <w:rPr>
                <w:rFonts w:hint="eastAsia" w:ascii="Times New Roman" w:hAnsi="Times New Roman"/>
                <w:lang w:val="en-US" w:eastAsia="zh-CN"/>
              </w:rPr>
            </w:pPr>
            <w:r>
              <w:rPr>
                <w:rFonts w:hint="eastAsia" w:ascii="Times New Roman" w:hAnsi="Times New Roman"/>
                <w:lang w:val="en-US" w:eastAsia="zh-CN"/>
              </w:rPr>
              <w:t>与环评一致</w:t>
            </w: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5</w:t>
            </w:r>
            <w:r>
              <w:rPr>
                <w:rFonts w:hint="eastAsia" w:ascii="Times New Roman" w:hAnsi="Times New Roman"/>
                <w:lang w:val="en-US" w:eastAsia="zh-CN"/>
              </w:rPr>
              <w:t>、重新选址；在原厂址附近调整</w:t>
            </w:r>
            <w:r>
              <w:rPr>
                <w:rFonts w:hint="default" w:ascii="Times New Roman" w:hAnsi="Times New Roman"/>
                <w:lang w:val="en-US" w:eastAsia="zh-CN"/>
              </w:rPr>
              <w:t>(</w:t>
            </w:r>
            <w:r>
              <w:rPr>
                <w:rFonts w:hint="eastAsia" w:ascii="Times New Roman" w:hAnsi="Times New Roman"/>
                <w:lang w:val="en-US" w:eastAsia="zh-CN"/>
              </w:rPr>
              <w:t>包括总平面布置变化</w:t>
            </w:r>
            <w:r>
              <w:rPr>
                <w:rFonts w:hint="default" w:ascii="Times New Roman" w:hAnsi="Times New Roman"/>
                <w:lang w:val="en-US" w:eastAsia="zh-CN"/>
              </w:rPr>
              <w:t>)</w:t>
            </w:r>
            <w:r>
              <w:rPr>
                <w:rFonts w:hint="eastAsia" w:ascii="Times New Roman" w:hAnsi="Times New Roman"/>
                <w:lang w:val="en-US" w:eastAsia="zh-CN"/>
              </w:rPr>
              <w:t>导致环境防护距离范围变化且新增敏感点的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Align w:val="center"/>
          </w:tcPr>
          <w:p>
            <w:pPr>
              <w:spacing w:line="259" w:lineRule="auto"/>
              <w:jc w:val="center"/>
              <w:rPr>
                <w:rFonts w:hint="eastAsia" w:ascii="Times New Roman" w:hAnsi="Times New Roman"/>
              </w:rPr>
            </w:pPr>
            <w:r>
              <w:rPr>
                <w:rFonts w:hint="eastAsia" w:ascii="Times New Roman" w:hAnsi="Times New Roman"/>
                <w:lang w:val="en-US" w:eastAsia="zh-CN"/>
              </w:rPr>
              <w:t>生产工艺</w:t>
            </w:r>
          </w:p>
        </w:tc>
        <w:tc>
          <w:tcPr>
            <w:tcW w:w="3400" w:type="dxa"/>
            <w:vAlign w:val="center"/>
          </w:tcPr>
          <w:p>
            <w:pPr>
              <w:spacing w:line="259" w:lineRule="auto"/>
              <w:jc w:val="left"/>
              <w:rPr>
                <w:rFonts w:ascii="Times New Roman" w:hAnsi="Times New Roman"/>
              </w:rPr>
            </w:pPr>
            <w:r>
              <w:rPr>
                <w:rFonts w:hint="eastAsia" w:ascii="Times New Roman" w:hAnsi="Times New Roman"/>
                <w:lang w:val="en-US" w:eastAsia="zh-CN"/>
              </w:rPr>
              <w:t>本项目生产工艺如下：毛巾架：铁丝下料、折弯、扭头、包装入库；铁丝衣架：铁丝下料、折弯、电焊、弯钩、电镀（外协）、包装入库；浸塑铁丝衣架：铁丝折弯、点焊、预热、浸塑、固化、包装入库，生产工艺详见章节</w:t>
            </w:r>
            <w:r>
              <w:rPr>
                <w:rFonts w:hint="default" w:ascii="Times New Roman" w:hAnsi="Times New Roman"/>
                <w:lang w:val="en-US" w:eastAsia="zh-CN"/>
              </w:rPr>
              <w:t>3.</w:t>
            </w:r>
            <w:r>
              <w:rPr>
                <w:rFonts w:hint="eastAsia" w:ascii="Times New Roman" w:hAnsi="Times New Roman"/>
                <w:lang w:val="en-US" w:eastAsia="zh-CN"/>
              </w:rPr>
              <w:t>5；主要使用的原辅料为铁丝和浸塑液，原辅材料详见表</w:t>
            </w:r>
            <w:r>
              <w:rPr>
                <w:rFonts w:hint="default" w:ascii="Times New Roman" w:hAnsi="Times New Roman"/>
                <w:lang w:val="en-US" w:eastAsia="zh-CN"/>
              </w:rPr>
              <w:t>3.3-1</w:t>
            </w:r>
          </w:p>
        </w:tc>
        <w:tc>
          <w:tcPr>
            <w:tcW w:w="4090" w:type="dxa"/>
            <w:vAlign w:val="center"/>
          </w:tcPr>
          <w:p>
            <w:pPr>
              <w:spacing w:line="259" w:lineRule="auto"/>
              <w:jc w:val="left"/>
              <w:rPr>
                <w:rFonts w:hint="eastAsia" w:ascii="Times New Roman" w:hAnsi="Times New Roman"/>
                <w:lang w:val="en-US" w:eastAsia="zh-CN"/>
              </w:rPr>
            </w:pPr>
            <w:r>
              <w:rPr>
                <w:rFonts w:hint="eastAsia" w:ascii="Times New Roman" w:hAnsi="Times New Roman"/>
                <w:lang w:val="en-US" w:eastAsia="zh-CN"/>
              </w:rPr>
              <w:t>与环评一致，本项目生产工艺如下：毛巾架：铁丝下料、折弯、扭头、包装入库；铁丝衣架：铁丝下料、折弯、电焊、弯钩、电镀（外协）、包装入库；浸塑铁丝衣架：铁丝折弯、点焊、预热、浸塑、固化、包装入库，生产工艺详见章节</w:t>
            </w:r>
            <w:r>
              <w:rPr>
                <w:rFonts w:hint="default" w:ascii="Times New Roman" w:hAnsi="Times New Roman"/>
                <w:lang w:val="en-US" w:eastAsia="zh-CN"/>
              </w:rPr>
              <w:t>3.</w:t>
            </w:r>
            <w:r>
              <w:rPr>
                <w:rFonts w:hint="eastAsia" w:ascii="Times New Roman" w:hAnsi="Times New Roman"/>
                <w:lang w:val="en-US" w:eastAsia="zh-CN"/>
              </w:rPr>
              <w:t>5；主要使用的原辅料为铁丝和浸塑液，原辅材料详见表</w:t>
            </w:r>
            <w:r>
              <w:rPr>
                <w:rFonts w:hint="default" w:ascii="Times New Roman" w:hAnsi="Times New Roman"/>
                <w:lang w:val="en-US" w:eastAsia="zh-CN"/>
              </w:rPr>
              <w:t>3.3-1</w:t>
            </w:r>
            <w:r>
              <w:rPr>
                <w:rFonts w:hint="eastAsia" w:ascii="Times New Roman" w:hAnsi="Times New Roman"/>
                <w:lang w:val="en-US" w:eastAsia="zh-CN"/>
              </w:rPr>
              <w:t>。</w:t>
            </w:r>
          </w:p>
          <w:p>
            <w:pPr>
              <w:spacing w:line="259" w:lineRule="auto"/>
              <w:jc w:val="left"/>
              <w:rPr>
                <w:rFonts w:hint="default" w:ascii="Times New Roman" w:hAnsi="Times New Roman"/>
                <w:lang w:val="en-US" w:eastAsia="zh-CN"/>
              </w:rPr>
            </w:pPr>
            <w:r>
              <w:rPr>
                <w:rFonts w:hint="eastAsia" w:ascii="Times New Roman" w:hAnsi="Times New Roman"/>
                <w:lang w:val="en-US" w:eastAsia="zh-CN"/>
              </w:rPr>
              <w:t>木衣架不生产，故本次验收不涉及木衣架相关工艺流程及原辅材料。</w:t>
            </w:r>
          </w:p>
        </w:tc>
        <w:tc>
          <w:tcPr>
            <w:tcW w:w="3880" w:type="dxa"/>
            <w:vAlign w:val="center"/>
          </w:tcPr>
          <w:p>
            <w:pPr>
              <w:spacing w:line="259" w:lineRule="auto"/>
              <w:jc w:val="left"/>
              <w:rPr>
                <w:rFonts w:ascii="Times New Roman" w:hAnsi="Times New Roman"/>
              </w:rPr>
            </w:pPr>
            <w:r>
              <w:rPr>
                <w:rFonts w:hint="default" w:ascii="Times New Roman" w:hAnsi="Times New Roman"/>
                <w:lang w:val="en-US" w:eastAsia="zh-CN"/>
              </w:rPr>
              <w:t>6</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 xml:space="preserve">、主要原辅材料、燃料变化，导致一下情形之一： </w:t>
            </w:r>
          </w:p>
          <w:p>
            <w:pPr>
              <w:spacing w:line="259" w:lineRule="auto"/>
              <w:jc w:val="left"/>
              <w:rPr>
                <w:rFonts w:hint="default"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1</w:t>
            </w:r>
            <w:r>
              <w:rPr>
                <w:rFonts w:hint="eastAsia" w:ascii="Times New Roman" w:hAnsi="Times New Roman"/>
                <w:lang w:val="en-US" w:eastAsia="zh-CN"/>
              </w:rPr>
              <w:t>）新增排放污染物种类的</w:t>
            </w:r>
            <w:r>
              <w:rPr>
                <w:rFonts w:hint="default" w:ascii="Times New Roman" w:hAnsi="Times New Roman"/>
                <w:lang w:val="en-US" w:eastAsia="zh-CN"/>
              </w:rPr>
              <w:t>(</w:t>
            </w:r>
            <w:r>
              <w:rPr>
                <w:rFonts w:hint="eastAsia" w:ascii="Times New Roman" w:hAnsi="Times New Roman"/>
                <w:lang w:val="en-US" w:eastAsia="zh-CN"/>
              </w:rPr>
              <w:t>毒性、挥发性降低的除外</w:t>
            </w:r>
            <w:r>
              <w:rPr>
                <w:rFonts w:hint="default" w:ascii="Times New Roman" w:hAnsi="Times New Roman"/>
                <w:lang w:val="en-US" w:eastAsia="zh-CN"/>
              </w:rPr>
              <w:t>)</w:t>
            </w:r>
          </w:p>
          <w:p>
            <w:pPr>
              <w:spacing w:line="259"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2</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 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、主要原辅材料、燃料变化，导致位于环境质量不达标区的建设项目相应污染物排放量增加的</w:t>
            </w:r>
          </w:p>
          <w:p>
            <w:pPr>
              <w:spacing w:line="259"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3</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、主要原辅材料、燃料变化，导致废水第一类污染物排放量增加的</w:t>
            </w:r>
          </w:p>
          <w:p>
            <w:pPr>
              <w:spacing w:line="259" w:lineRule="auto"/>
              <w:jc w:val="left"/>
              <w:rPr>
                <w:rFonts w:hint="default"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4</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、主要原辅材料、燃料变化，导致其他污染物排放量增加</w:t>
            </w:r>
            <w:r>
              <w:rPr>
                <w:rFonts w:hint="default" w:ascii="Times New Roman" w:hAnsi="Times New Roman"/>
                <w:lang w:val="en-US" w:eastAsia="zh-CN"/>
              </w:rPr>
              <w:t xml:space="preserve">10% </w:t>
            </w:r>
            <w:r>
              <w:rPr>
                <w:rFonts w:hint="eastAsia" w:ascii="Times New Roman" w:hAnsi="Times New Roman"/>
                <w:lang w:val="en-US" w:eastAsia="zh-CN"/>
              </w:rPr>
              <w:t>及以上的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restart"/>
            <w:vAlign w:val="center"/>
          </w:tcPr>
          <w:p>
            <w:pPr>
              <w:spacing w:line="259" w:lineRule="auto"/>
              <w:jc w:val="center"/>
              <w:rPr>
                <w:rFonts w:hint="eastAsia" w:ascii="Times New Roman" w:hAnsi="Times New Roman"/>
              </w:rPr>
            </w:pPr>
            <w:r>
              <w:rPr>
                <w:rFonts w:hint="eastAsia" w:ascii="Times New Roman" w:hAnsi="Times New Roman"/>
                <w:lang w:val="en-US" w:eastAsia="zh-CN"/>
              </w:rPr>
              <w:t>环境保护设施</w:t>
            </w:r>
          </w:p>
        </w:tc>
        <w:tc>
          <w:tcPr>
            <w:tcW w:w="3400" w:type="dxa"/>
            <w:vMerge w:val="restart"/>
            <w:vAlign w:val="center"/>
          </w:tcPr>
          <w:p>
            <w:pPr>
              <w:spacing w:line="259" w:lineRule="auto"/>
              <w:jc w:val="left"/>
              <w:rPr>
                <w:rFonts w:hint="eastAsia" w:ascii="Times New Roman" w:hAnsi="Times New Roman"/>
                <w:lang w:val="en-US" w:eastAsia="zh-CN"/>
              </w:rPr>
            </w:pPr>
            <w:r>
              <w:rPr>
                <w:rFonts w:hint="eastAsia" w:ascii="Times New Roman" w:hAnsi="Times New Roman"/>
                <w:lang w:val="en-US" w:eastAsia="zh-CN"/>
              </w:rPr>
              <w:t>废水方面：</w:t>
            </w:r>
          </w:p>
          <w:p>
            <w:pPr>
              <w:numPr>
                <w:ilvl w:val="0"/>
                <w:numId w:val="0"/>
              </w:numPr>
              <w:spacing w:line="259" w:lineRule="auto"/>
              <w:jc w:val="left"/>
              <w:rPr>
                <w:rFonts w:hint="eastAsia" w:ascii="Times New Roman" w:hAnsi="Times New Roman"/>
                <w:lang w:val="en-US"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）生活污水：经化粪池预处理后</w:t>
            </w:r>
            <w:r>
              <w:rPr>
                <w:rFonts w:hint="eastAsia" w:ascii="Times New Roman" w:hAnsi="Times New Roman" w:cs="Times New Roman"/>
                <w:lang w:val="en-US" w:eastAsia="zh-CN"/>
              </w:rPr>
              <w:t>纳管</w:t>
            </w:r>
            <w:r>
              <w:rPr>
                <w:rFonts w:hint="eastAsia" w:ascii="Times New Roman" w:hAnsi="Times New Roman" w:cs="Times New Roman"/>
                <w:lang w:eastAsia="zh-CN"/>
              </w:rPr>
              <w:t>，</w:t>
            </w:r>
            <w:r>
              <w:rPr>
                <w:rFonts w:hint="eastAsia" w:ascii="Times New Roman" w:hAnsi="Times New Roman" w:cs="Times New Roman"/>
                <w:lang w:val="en-US" w:eastAsia="zh-CN"/>
              </w:rPr>
              <w:t>排入浦江富春紫光水务有限公司（四厂）进行处理，</w:t>
            </w:r>
            <w:r>
              <w:rPr>
                <w:rFonts w:hint="eastAsia" w:ascii="Times New Roman" w:hAnsi="Times New Roman" w:cs="Times New Roman"/>
                <w:lang w:eastAsia="zh-CN"/>
              </w:rPr>
              <w:t>处理达标后</w:t>
            </w:r>
            <w:r>
              <w:rPr>
                <w:rFonts w:hint="eastAsia" w:ascii="Times New Roman" w:hAnsi="Times New Roman" w:cs="Times New Roman"/>
                <w:lang w:val="en-US" w:eastAsia="zh-CN"/>
              </w:rPr>
              <w:t>排入浦阳江</w:t>
            </w:r>
            <w:r>
              <w:rPr>
                <w:rFonts w:hint="eastAsia" w:ascii="Times New Roman" w:hAnsi="Times New Roman" w:cs="Times New Roman"/>
                <w:lang w:eastAsia="zh-CN"/>
              </w:rPr>
              <w:t>。</w:t>
            </w:r>
          </w:p>
          <w:p>
            <w:pPr>
              <w:numPr>
                <w:ilvl w:val="0"/>
                <w:numId w:val="0"/>
              </w:numPr>
              <w:spacing w:line="259" w:lineRule="auto"/>
              <w:jc w:val="left"/>
              <w:rPr>
                <w:rFonts w:hint="eastAsia" w:ascii="Times New Roman" w:hAnsi="Times New Roman"/>
                <w:lang w:val="en-US" w:eastAsia="zh-CN"/>
              </w:rPr>
            </w:pPr>
            <w:r>
              <w:rPr>
                <w:rFonts w:hint="eastAsia" w:ascii="Times New Roman" w:hAnsi="Times New Roman"/>
                <w:lang w:val="en-US" w:eastAsia="zh-CN"/>
              </w:rPr>
              <w:t>废气方面：</w:t>
            </w:r>
          </w:p>
          <w:p>
            <w:pPr>
              <w:spacing w:line="259" w:lineRule="auto"/>
              <w:jc w:val="left"/>
              <w:rPr>
                <w:rFonts w:hint="eastAsia" w:ascii="Times New Roman" w:hAnsi="Times New Roman"/>
                <w:lang w:val="en-US" w:eastAsia="zh-CN"/>
              </w:rPr>
            </w:pPr>
            <w:r>
              <w:rPr>
                <w:rFonts w:hint="eastAsia" w:ascii="Times New Roman" w:hAnsi="Times New Roman"/>
                <w:lang w:val="en-US" w:eastAsia="zh-CN"/>
              </w:rPr>
              <w:t>（1）浸塑固化废气：在上方安装集气罩，废气经集气罩收集后，通过光催化氧化处理后，通过15m高排气筒（1#）高空排放；</w:t>
            </w:r>
          </w:p>
          <w:p>
            <w:pPr>
              <w:spacing w:line="259" w:lineRule="auto"/>
              <w:jc w:val="left"/>
              <w:rPr>
                <w:rFonts w:hint="eastAsia" w:ascii="Times New Roman" w:hAnsi="Times New Roman"/>
                <w:lang w:val="en-US" w:eastAsia="zh-CN"/>
              </w:rPr>
            </w:pPr>
            <w:r>
              <w:rPr>
                <w:rFonts w:hint="eastAsia" w:ascii="Times New Roman" w:hAnsi="Times New Roman"/>
                <w:lang w:val="en-US" w:eastAsia="zh-CN"/>
              </w:rPr>
              <w:t>（2）喷漆、晾干废气：本项目设置喷漆车间，调漆、自然晾干设置在喷漆车间内。喷房废气经集气系统集中收集后经水喷淋+除雾装置+光催化氧化+活性炭吸附处理后，通过15m高排气筒（2#）高空排放；</w:t>
            </w:r>
          </w:p>
          <w:p>
            <w:pPr>
              <w:spacing w:line="259" w:lineRule="auto"/>
              <w:jc w:val="left"/>
              <w:rPr>
                <w:rFonts w:hint="eastAsia" w:ascii="Times New Roman" w:hAnsi="Times New Roman"/>
                <w:lang w:val="en-US" w:eastAsia="zh-CN"/>
              </w:rPr>
            </w:pPr>
            <w:r>
              <w:rPr>
                <w:rFonts w:hint="eastAsia" w:ascii="Times New Roman" w:hAnsi="Times New Roman"/>
                <w:lang w:val="en-US" w:eastAsia="zh-CN"/>
              </w:rPr>
              <w:t>（3）打磨粉尘：配套设置布袋除尘装置对打磨工序产生的粉尘进行收集，经过处理后通过15m高排气筒（3#）高空排放；</w:t>
            </w:r>
          </w:p>
          <w:p>
            <w:pPr>
              <w:spacing w:line="259" w:lineRule="auto"/>
              <w:jc w:val="left"/>
              <w:rPr>
                <w:rFonts w:hint="eastAsia" w:ascii="Times New Roman" w:hAnsi="Times New Roman"/>
                <w:lang w:val="en-US" w:eastAsia="zh-CN"/>
              </w:rPr>
            </w:pPr>
            <w:r>
              <w:rPr>
                <w:rFonts w:hint="eastAsia" w:ascii="Times New Roman" w:hAnsi="Times New Roman"/>
                <w:lang w:val="en-US" w:eastAsia="zh-CN"/>
              </w:rPr>
              <w:t>（4）油烟废气：在食堂安装油烟净化装置，油烟废气收集后经过油烟净化装置处理后通过15m高排气筒（4#）高空排放，排气筒位于厨房所在建筑的顶楼。</w:t>
            </w:r>
          </w:p>
          <w:p>
            <w:pPr>
              <w:spacing w:line="259" w:lineRule="auto"/>
              <w:jc w:val="left"/>
              <w:rPr>
                <w:rFonts w:hint="eastAsia" w:ascii="Times New Roman" w:hAnsi="Times New Roman"/>
                <w:lang w:val="en-US" w:eastAsia="zh-CN"/>
              </w:rPr>
            </w:pPr>
            <w:r>
              <w:rPr>
                <w:rFonts w:hint="eastAsia" w:ascii="Times New Roman" w:hAnsi="Times New Roman"/>
                <w:lang w:val="en-US" w:eastAsia="zh-CN"/>
              </w:rPr>
              <w:t>噪声方面：</w:t>
            </w:r>
          </w:p>
          <w:p>
            <w:pPr>
              <w:numPr>
                <w:ilvl w:val="0"/>
                <w:numId w:val="0"/>
              </w:numPr>
              <w:spacing w:line="259" w:lineRule="auto"/>
              <w:jc w:val="left"/>
              <w:rPr>
                <w:rFonts w:hint="default" w:ascii="Times New Roman" w:hAnsi="Times New Roman" w:eastAsia="宋体" w:cs="Times New Roman"/>
                <w:bCs/>
                <w:lang w:bidi="zh-CN"/>
              </w:rPr>
            </w:pPr>
            <w:r>
              <w:rPr>
                <w:rFonts w:hint="eastAsia" w:ascii="Times New Roman" w:hAnsi="Times New Roman" w:cs="Times New Roman"/>
                <w:color w:val="auto"/>
                <w:szCs w:val="21"/>
                <w:lang w:val="en-US" w:eastAsia="zh-CN"/>
              </w:rPr>
              <w:t>①生产时关闭好车间门窗，做好生产车间的隔声降噪措施；②加强设备维护，确保设备处于良好的运行状态，避免非正常运行，产生强噪声；③加强进出车辆管理，在厂区内及用过附近居民住宅时禁止鸣笛</w:t>
            </w:r>
            <w:r>
              <w:rPr>
                <w:rFonts w:hint="eastAsia" w:ascii="Times New Roman" w:hAnsi="Times New Roman" w:eastAsia="宋体" w:cs="Times New Roman"/>
                <w:bCs/>
                <w:lang w:bidi="zh-CN"/>
              </w:rPr>
              <w:t>。</w:t>
            </w:r>
          </w:p>
          <w:p>
            <w:pPr>
              <w:numPr>
                <w:ilvl w:val="0"/>
                <w:numId w:val="0"/>
              </w:numPr>
              <w:spacing w:line="259" w:lineRule="auto"/>
              <w:jc w:val="left"/>
              <w:rPr>
                <w:rFonts w:hint="eastAsia" w:ascii="Times New Roman" w:hAnsi="Times New Roman"/>
                <w:lang w:val="en-US" w:eastAsia="zh-CN"/>
              </w:rPr>
            </w:pPr>
            <w:r>
              <w:rPr>
                <w:rFonts w:hint="eastAsia" w:ascii="Times New Roman" w:hAnsi="Times New Roman"/>
                <w:lang w:val="en-US" w:eastAsia="zh-CN"/>
              </w:rPr>
              <w:t>固废方面：</w:t>
            </w:r>
          </w:p>
          <w:p>
            <w:pPr>
              <w:spacing w:line="259" w:lineRule="auto"/>
              <w:jc w:val="left"/>
              <w:rPr>
                <w:rFonts w:ascii="Times New Roman" w:hAnsi="Times New Roman"/>
              </w:rPr>
            </w:pPr>
            <w:r>
              <w:rPr>
                <w:rFonts w:hint="eastAsia" w:ascii="Times New Roman" w:hAnsi="Times New Roman" w:cs="Times New Roman"/>
                <w:color w:val="auto"/>
                <w:szCs w:val="21"/>
                <w:lang w:val="en-US" w:eastAsia="zh-CN"/>
              </w:rPr>
              <w:t>设置暂存场所。边角料、焊渣、布袋除尘收集的粉尘收集后外卖综合利用；废包装桶、废矿物油、喷漆废液、漆渣、废活性炭、初效过滤棉、废砂光轮收集后委托有资质单位处置；含油抹布等、生活垃圾收集后由环卫部门统一清运</w:t>
            </w:r>
            <w:r>
              <w:rPr>
                <w:rFonts w:hint="default" w:ascii="Times New Roman" w:hAnsi="Times New Roman" w:eastAsia="宋体" w:cs="Times New Roman"/>
                <w:bCs/>
                <w:lang w:bidi="zh-CN"/>
              </w:rPr>
              <w:t>。</w:t>
            </w:r>
          </w:p>
        </w:tc>
        <w:tc>
          <w:tcPr>
            <w:tcW w:w="4090" w:type="dxa"/>
            <w:vMerge w:val="restart"/>
            <w:vAlign w:val="center"/>
          </w:tcPr>
          <w:p>
            <w:pPr>
              <w:spacing w:line="259" w:lineRule="auto"/>
              <w:jc w:val="left"/>
              <w:rPr>
                <w:rFonts w:hint="eastAsia"/>
                <w:lang w:val="en-US" w:eastAsia="zh-CN"/>
              </w:rPr>
            </w:pPr>
            <w:r>
              <w:rPr>
                <w:rFonts w:hint="eastAsia"/>
                <w:lang w:val="en-US" w:eastAsia="zh-CN"/>
              </w:rPr>
              <w:t>废水方面：</w:t>
            </w:r>
          </w:p>
          <w:p>
            <w:pPr>
              <w:numPr>
                <w:ilvl w:val="0"/>
                <w:numId w:val="0"/>
              </w:numPr>
              <w:spacing w:line="259" w:lineRule="auto"/>
              <w:jc w:val="left"/>
              <w:rPr>
                <w:rFonts w:hint="eastAsia"/>
                <w:lang w:eastAsia="zh-CN"/>
              </w:rPr>
            </w:pPr>
            <w:r>
              <w:rPr>
                <w:rFonts w:hint="eastAsia"/>
                <w:lang w:eastAsia="zh-CN"/>
              </w:rPr>
              <w:t>（</w:t>
            </w:r>
            <w:r>
              <w:rPr>
                <w:rFonts w:hint="eastAsia"/>
                <w:lang w:val="en-US" w:eastAsia="zh-CN"/>
              </w:rPr>
              <w:t>1</w:t>
            </w:r>
            <w:r>
              <w:rPr>
                <w:rFonts w:hint="eastAsia"/>
                <w:lang w:eastAsia="zh-CN"/>
              </w:rPr>
              <w:t>）</w:t>
            </w:r>
            <w:r>
              <w:rPr>
                <w:rFonts w:hint="default"/>
              </w:rPr>
              <w:t>生活污水经化粪池预处理</w:t>
            </w:r>
            <w:r>
              <w:rPr>
                <w:rFonts w:hint="eastAsia"/>
                <w:lang w:val="en-US" w:eastAsia="zh-CN"/>
              </w:rPr>
              <w:t>达标</w:t>
            </w:r>
            <w:r>
              <w:rPr>
                <w:rFonts w:hint="default"/>
              </w:rPr>
              <w:t>后纳管，排入浦江富春紫光水务有限公司（四厂）进行处理，处理达标后排入浦阳江</w:t>
            </w:r>
            <w:r>
              <w:rPr>
                <w:rFonts w:hint="eastAsia"/>
                <w:lang w:eastAsia="zh-CN"/>
              </w:rPr>
              <w:t>。</w:t>
            </w:r>
          </w:p>
          <w:p>
            <w:pPr>
              <w:spacing w:line="259"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废气方面：</w:t>
            </w:r>
          </w:p>
          <w:p>
            <w:pPr>
              <w:spacing w:line="259" w:lineRule="auto"/>
              <w:jc w:val="left"/>
              <w:rPr>
                <w:rFonts w:hint="eastAsia" w:ascii="Times New Roman" w:hAnsi="Times New Roman"/>
                <w:lang w:val="en-US" w:eastAsia="zh-CN"/>
              </w:rPr>
            </w:pPr>
            <w:r>
              <w:rPr>
                <w:rFonts w:hint="eastAsia" w:ascii="Times New Roman" w:hAnsi="Times New Roman"/>
                <w:lang w:val="en-US" w:eastAsia="zh-CN"/>
              </w:rPr>
              <w:t>（1）浸塑固化废气：在上方安装集气罩，废气经集气罩收集后，通过光催化氧化处理后，通过25m高排气筒（G1-2）高空排放；</w:t>
            </w:r>
          </w:p>
          <w:p>
            <w:pPr>
              <w:spacing w:line="259" w:lineRule="auto"/>
              <w:jc w:val="left"/>
              <w:rPr>
                <w:rFonts w:hint="eastAsia" w:ascii="Times New Roman" w:hAnsi="Times New Roman"/>
                <w:lang w:val="en-US" w:eastAsia="zh-CN"/>
              </w:rPr>
            </w:pPr>
            <w:r>
              <w:rPr>
                <w:rFonts w:hint="eastAsia" w:ascii="Times New Roman" w:hAnsi="Times New Roman"/>
                <w:lang w:val="en-US" w:eastAsia="zh-CN"/>
              </w:rPr>
              <w:t>（2）喷漆晾干废气：本项目不生产木衣架，故喷漆工序未建设，未安装喷漆废气处理设施；</w:t>
            </w:r>
          </w:p>
          <w:p>
            <w:pPr>
              <w:spacing w:line="259" w:lineRule="auto"/>
              <w:jc w:val="left"/>
              <w:rPr>
                <w:rFonts w:hint="eastAsia" w:ascii="Times New Roman" w:hAnsi="Times New Roman"/>
                <w:lang w:val="en-US" w:eastAsia="zh-CN"/>
              </w:rPr>
            </w:pPr>
            <w:r>
              <w:rPr>
                <w:rFonts w:hint="eastAsia" w:ascii="Times New Roman" w:hAnsi="Times New Roman"/>
                <w:lang w:val="en-US" w:eastAsia="zh-CN"/>
              </w:rPr>
              <w:t>（3）打磨粉尘：本项目不生产木衣架，故打磨工序未建设，未安装布袋除尘装置；</w:t>
            </w:r>
          </w:p>
          <w:p>
            <w:pPr>
              <w:spacing w:line="259" w:lineRule="auto"/>
              <w:jc w:val="left"/>
              <w:rPr>
                <w:rFonts w:hint="eastAsia" w:ascii="Times New Roman" w:hAnsi="Times New Roman" w:cs="Times New Roman"/>
                <w:lang w:val="en-US" w:eastAsia="zh-CN"/>
              </w:rPr>
            </w:pPr>
            <w:r>
              <w:rPr>
                <w:rFonts w:hint="eastAsia" w:ascii="Times New Roman" w:hAnsi="Times New Roman"/>
                <w:lang w:val="en-US" w:eastAsia="zh-CN"/>
              </w:rPr>
              <w:t>（4）油烟废气：</w:t>
            </w:r>
            <w:r>
              <w:rPr>
                <w:rFonts w:hint="eastAsia" w:ascii="Times New Roman" w:hAnsi="Times New Roman" w:cs="Times New Roman"/>
                <w:color w:val="auto"/>
                <w:szCs w:val="21"/>
                <w:lang w:val="en-US" w:eastAsia="zh-CN"/>
              </w:rPr>
              <w:t>本项目未建设食堂，未安装油烟净化装置</w:t>
            </w:r>
            <w:r>
              <w:rPr>
                <w:rFonts w:hint="eastAsia" w:ascii="Times New Roman" w:hAnsi="Times New Roman" w:cs="Times New Roman"/>
                <w:lang w:val="en-US" w:eastAsia="zh-CN"/>
              </w:rPr>
              <w:t>。</w:t>
            </w:r>
          </w:p>
          <w:p>
            <w:pPr>
              <w:spacing w:line="259"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噪声方面：</w:t>
            </w:r>
          </w:p>
          <w:p>
            <w:pPr>
              <w:numPr>
                <w:ilvl w:val="0"/>
                <w:numId w:val="0"/>
              </w:numPr>
              <w:spacing w:line="259" w:lineRule="auto"/>
              <w:jc w:val="left"/>
              <w:rPr>
                <w:rFonts w:hint="eastAsia" w:ascii="Times New Roman" w:hAnsi="Times New Roman" w:cs="Times New Roman"/>
                <w:lang w:val="en-US" w:eastAsia="zh-CN"/>
              </w:rPr>
            </w:pPr>
            <w:r>
              <w:rPr>
                <w:rFonts w:hint="default" w:ascii="Times New Roman" w:hAnsi="Times New Roman" w:cs="Times New Roman"/>
                <w:bCs/>
              </w:rPr>
              <w:t>企业合理安排作业时间，减少对周边企业的噪声影响；对风机安装了基础减震装置；平时加强设备的维护，确保设备处于良好的运转状态，杜绝因设备不正常运转时产生的高噪声现象；企业夜间不生产</w:t>
            </w:r>
            <w:r>
              <w:rPr>
                <w:rFonts w:hint="eastAsia" w:ascii="Times New Roman" w:hAnsi="Times New Roman" w:cs="Times New Roman"/>
                <w:lang w:val="en-US" w:eastAsia="zh-CN"/>
              </w:rPr>
              <w:t>。</w:t>
            </w:r>
          </w:p>
          <w:p>
            <w:pPr>
              <w:spacing w:line="259"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固废方面：</w:t>
            </w:r>
          </w:p>
          <w:p>
            <w:pPr>
              <w:spacing w:line="259" w:lineRule="auto"/>
              <w:jc w:val="left"/>
              <w:rPr>
                <w:rFonts w:hint="eastAsia"/>
                <w:lang w:val="en-US" w:eastAsia="zh-CN"/>
              </w:rPr>
            </w:pPr>
            <w:r>
              <w:rPr>
                <w:rFonts w:hint="default" w:ascii="Times New Roman" w:hAnsi="Times New Roman" w:eastAsia="宋体" w:cs="Times New Roman"/>
                <w:bCs/>
                <w:color w:val="auto"/>
                <w:highlight w:val="none"/>
                <w:lang w:bidi="zh-CN"/>
              </w:rPr>
              <w:t>危险废物贮存间设置在</w:t>
            </w:r>
            <w:r>
              <w:rPr>
                <w:rFonts w:hint="eastAsia" w:ascii="Times New Roman" w:hAnsi="Times New Roman" w:eastAsia="宋体" w:cs="Times New Roman"/>
                <w:bCs/>
                <w:color w:val="auto"/>
                <w:highlight w:val="none"/>
                <w:lang w:val="en-US" w:bidi="zh-CN"/>
              </w:rPr>
              <w:t>厂房顶楼，约5</w:t>
            </w:r>
            <w:r>
              <w:rPr>
                <w:rFonts w:hint="eastAsia"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eastAsia="宋体" w:cs="Times New Roman"/>
                <w:bCs/>
                <w:color w:val="auto"/>
                <w:highlight w:val="none"/>
                <w:lang w:val="en-US" w:bidi="zh-CN"/>
              </w:rPr>
              <w:t>：边角料、焊渣外售物资回收公司进性再利用；废包装桶、废矿物油等委托浦江三阳环保科技有限公司处置；生活垃圾、含油废抹布等由环卫部门统一清运。</w:t>
            </w: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7</w:t>
            </w:r>
            <w:r>
              <w:rPr>
                <w:rFonts w:hint="eastAsia" w:ascii="Times New Roman" w:hAnsi="Times New Roman"/>
                <w:lang w:val="en-US" w:eastAsia="zh-CN"/>
              </w:rPr>
              <w:t xml:space="preserve">、物料运输、装卸、贮存方式变化，导致大气污染物无组织排放量增加 </w:t>
            </w:r>
            <w:r>
              <w:rPr>
                <w:rFonts w:hint="default" w:ascii="Times New Roman" w:hAnsi="Times New Roman"/>
                <w:lang w:val="en-US" w:eastAsia="zh-CN"/>
              </w:rPr>
              <w:t>10%</w:t>
            </w:r>
            <w:r>
              <w:rPr>
                <w:rFonts w:hint="eastAsia" w:ascii="Times New Roman" w:hAnsi="Times New Roman"/>
                <w:lang w:val="en-US" w:eastAsia="zh-CN"/>
              </w:rPr>
              <w:t>及以上的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400" w:type="dxa"/>
            <w:vMerge w:val="continue"/>
            <w:vAlign w:val="center"/>
          </w:tcPr>
          <w:p>
            <w:pPr>
              <w:spacing w:line="259" w:lineRule="auto"/>
              <w:jc w:val="left"/>
              <w:rPr>
                <w:rFonts w:ascii="Times New Roman" w:hAnsi="Times New Roman"/>
              </w:rPr>
            </w:pPr>
          </w:p>
        </w:tc>
        <w:tc>
          <w:tcPr>
            <w:tcW w:w="409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8</w:t>
            </w:r>
            <w:r>
              <w:rPr>
                <w:rFonts w:hint="eastAsia" w:ascii="Times New Roman" w:hAnsi="Times New Roman"/>
                <w:lang w:val="en-US" w:eastAsia="zh-CN"/>
              </w:rPr>
              <w:t xml:space="preserve">、废气、废水污染防治措施变化，导致第 </w:t>
            </w:r>
            <w:r>
              <w:rPr>
                <w:rFonts w:hint="default" w:ascii="Times New Roman" w:hAnsi="Times New Roman"/>
                <w:lang w:val="en-US" w:eastAsia="zh-CN"/>
              </w:rPr>
              <w:t>6</w:t>
            </w:r>
            <w:r>
              <w:rPr>
                <w:rFonts w:hint="eastAsia" w:ascii="Times New Roman" w:hAnsi="Times New Roman"/>
                <w:lang w:val="en-US" w:eastAsia="zh-CN"/>
              </w:rPr>
              <w:t>条中所列情形之一</w:t>
            </w:r>
            <w:r>
              <w:rPr>
                <w:rFonts w:hint="default" w:ascii="Times New Roman" w:hAnsi="Times New Roman"/>
                <w:lang w:val="en-US" w:eastAsia="zh-CN"/>
              </w:rPr>
              <w:t>(</w:t>
            </w:r>
            <w:r>
              <w:rPr>
                <w:rFonts w:hint="eastAsia" w:ascii="Times New Roman" w:hAnsi="Times New Roman"/>
                <w:lang w:val="en-US" w:eastAsia="zh-CN"/>
              </w:rPr>
              <w:t>废气无组织排放改为有组织排放、污染防治措施强化或改进的除外</w:t>
            </w:r>
            <w:r>
              <w:rPr>
                <w:rFonts w:hint="default" w:ascii="Times New Roman" w:hAnsi="Times New Roman"/>
                <w:lang w:val="en-US" w:eastAsia="zh-CN"/>
              </w:rPr>
              <w:t>)</w:t>
            </w:r>
            <w:r>
              <w:rPr>
                <w:rFonts w:hint="eastAsia" w:ascii="Times New Roman" w:hAnsi="Times New Roman"/>
                <w:lang w:val="en-US" w:eastAsia="zh-CN"/>
              </w:rPr>
              <w:t>或大气污染物无组织排放量增加</w:t>
            </w:r>
            <w:r>
              <w:rPr>
                <w:rFonts w:hint="default" w:ascii="Times New Roman" w:hAnsi="Times New Roman"/>
                <w:lang w:val="en-US" w:eastAsia="zh-CN"/>
              </w:rPr>
              <w:t>10%</w:t>
            </w:r>
            <w:r>
              <w:rPr>
                <w:rFonts w:hint="eastAsia" w:ascii="Times New Roman" w:hAnsi="Times New Roman"/>
                <w:lang w:val="en-US" w:eastAsia="zh-CN"/>
              </w:rPr>
              <w:t xml:space="preserve">及以上的 </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400" w:type="dxa"/>
            <w:vMerge w:val="continue"/>
            <w:vAlign w:val="center"/>
          </w:tcPr>
          <w:p>
            <w:pPr>
              <w:spacing w:line="259" w:lineRule="auto"/>
              <w:jc w:val="left"/>
              <w:rPr>
                <w:rFonts w:ascii="Times New Roman" w:hAnsi="Times New Roman"/>
              </w:rPr>
            </w:pPr>
          </w:p>
        </w:tc>
        <w:tc>
          <w:tcPr>
            <w:tcW w:w="409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9</w:t>
            </w:r>
            <w:r>
              <w:rPr>
                <w:rFonts w:hint="eastAsia" w:ascii="Times New Roman" w:hAnsi="Times New Roman"/>
                <w:lang w:val="en-US" w:eastAsia="zh-CN"/>
              </w:rPr>
              <w:t>、新增废水直接排放口；废水由间接排放改为直接排放；废水直接排放口位置变化，导致不利环境影响加重的。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400" w:type="dxa"/>
            <w:vMerge w:val="continue"/>
            <w:vAlign w:val="center"/>
          </w:tcPr>
          <w:p>
            <w:pPr>
              <w:spacing w:line="259" w:lineRule="auto"/>
              <w:jc w:val="left"/>
              <w:rPr>
                <w:rFonts w:ascii="Times New Roman" w:hAnsi="Times New Roman"/>
              </w:rPr>
            </w:pPr>
          </w:p>
        </w:tc>
        <w:tc>
          <w:tcPr>
            <w:tcW w:w="409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10</w:t>
            </w:r>
            <w:r>
              <w:rPr>
                <w:rFonts w:hint="eastAsia" w:ascii="Times New Roman" w:hAnsi="Times New Roman"/>
                <w:lang w:val="en-US" w:eastAsia="zh-CN"/>
              </w:rPr>
              <w:t>、新增废气主要排放口</w:t>
            </w:r>
            <w:r>
              <w:rPr>
                <w:rFonts w:hint="default" w:ascii="Times New Roman" w:hAnsi="Times New Roman"/>
                <w:lang w:val="en-US" w:eastAsia="zh-CN"/>
              </w:rPr>
              <w:t>(</w:t>
            </w:r>
            <w:r>
              <w:rPr>
                <w:rFonts w:hint="eastAsia" w:ascii="Times New Roman" w:hAnsi="Times New Roman"/>
                <w:lang w:val="en-US" w:eastAsia="zh-CN"/>
              </w:rPr>
              <w:t>废气无组织排放改为有组织排放的除外</w:t>
            </w:r>
            <w:r>
              <w:rPr>
                <w:rFonts w:hint="default" w:ascii="Times New Roman" w:hAnsi="Times New Roman"/>
                <w:lang w:val="en-US" w:eastAsia="zh-CN"/>
              </w:rPr>
              <w:t>)</w:t>
            </w:r>
            <w:r>
              <w:rPr>
                <w:rFonts w:hint="eastAsia" w:ascii="Times New Roman" w:hAnsi="Times New Roman"/>
                <w:lang w:val="en-US" w:eastAsia="zh-CN"/>
              </w:rPr>
              <w:t>；主要排放口排气筒高度降低</w:t>
            </w:r>
            <w:r>
              <w:rPr>
                <w:rFonts w:hint="default" w:ascii="Times New Roman" w:hAnsi="Times New Roman"/>
                <w:lang w:val="en-US" w:eastAsia="zh-CN"/>
              </w:rPr>
              <w:t>10%</w:t>
            </w:r>
            <w:r>
              <w:rPr>
                <w:rFonts w:hint="eastAsia" w:ascii="Times New Roman" w:hAnsi="Times New Roman"/>
                <w:lang w:val="en-US" w:eastAsia="zh-CN"/>
              </w:rPr>
              <w:t>及以上的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400" w:type="dxa"/>
            <w:vMerge w:val="continue"/>
            <w:vAlign w:val="center"/>
          </w:tcPr>
          <w:p>
            <w:pPr>
              <w:spacing w:line="259" w:lineRule="auto"/>
              <w:jc w:val="left"/>
              <w:rPr>
                <w:rFonts w:ascii="Times New Roman" w:hAnsi="Times New Roman"/>
              </w:rPr>
            </w:pPr>
          </w:p>
        </w:tc>
        <w:tc>
          <w:tcPr>
            <w:tcW w:w="409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11</w:t>
            </w:r>
            <w:r>
              <w:rPr>
                <w:rFonts w:hint="eastAsia" w:ascii="Times New Roman" w:hAnsi="Times New Roman"/>
                <w:lang w:val="en-US" w:eastAsia="zh-CN"/>
              </w:rPr>
              <w:t>、噪声、土壤或地下水污染防治措施变化，导致不利环境影响加重的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400" w:type="dxa"/>
            <w:vMerge w:val="continue"/>
            <w:vAlign w:val="center"/>
          </w:tcPr>
          <w:p>
            <w:pPr>
              <w:spacing w:line="259" w:lineRule="auto"/>
              <w:jc w:val="left"/>
              <w:rPr>
                <w:rFonts w:ascii="Times New Roman" w:hAnsi="Times New Roman"/>
              </w:rPr>
            </w:pPr>
          </w:p>
        </w:tc>
        <w:tc>
          <w:tcPr>
            <w:tcW w:w="409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12</w:t>
            </w:r>
            <w:r>
              <w:rPr>
                <w:rFonts w:hint="eastAsia" w:ascii="Times New Roman" w:hAnsi="Times New Roman"/>
                <w:lang w:val="en-US" w:eastAsia="zh-CN"/>
              </w:rPr>
              <w:t>、固体废物利用处置方式由委托外单位利用处置改为自行利用处置的</w:t>
            </w:r>
            <w:r>
              <w:rPr>
                <w:rFonts w:hint="default" w:ascii="Times New Roman" w:hAnsi="Times New Roman"/>
                <w:lang w:val="en-US" w:eastAsia="zh-CN"/>
              </w:rPr>
              <w:t>(</w:t>
            </w:r>
            <w:r>
              <w:rPr>
                <w:rFonts w:hint="eastAsia" w:ascii="Times New Roman" w:hAnsi="Times New Roman"/>
                <w:lang w:val="en-US" w:eastAsia="zh-CN"/>
              </w:rPr>
              <w:t>自行利用处置设施单独开展环境影响评价的除外</w:t>
            </w:r>
            <w:r>
              <w:rPr>
                <w:rFonts w:hint="default" w:ascii="Times New Roman" w:hAnsi="Times New Roman"/>
                <w:lang w:val="en-US" w:eastAsia="zh-CN"/>
              </w:rPr>
              <w:t>)</w:t>
            </w:r>
            <w:r>
              <w:rPr>
                <w:rFonts w:hint="eastAsia" w:ascii="Times New Roman" w:hAnsi="Times New Roman"/>
                <w:lang w:val="en-US" w:eastAsia="zh-CN"/>
              </w:rPr>
              <w:t>；固体废物自行处置方式变化，导致不利环境影响加重的。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400" w:type="dxa"/>
            <w:vMerge w:val="continue"/>
            <w:vAlign w:val="center"/>
          </w:tcPr>
          <w:p>
            <w:pPr>
              <w:spacing w:line="259" w:lineRule="auto"/>
              <w:jc w:val="left"/>
              <w:rPr>
                <w:rFonts w:ascii="Times New Roman" w:hAnsi="Times New Roman"/>
              </w:rPr>
            </w:pPr>
          </w:p>
        </w:tc>
        <w:tc>
          <w:tcPr>
            <w:tcW w:w="409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13</w:t>
            </w:r>
            <w:r>
              <w:rPr>
                <w:rFonts w:hint="eastAsia" w:ascii="Times New Roman" w:hAnsi="Times New Roman"/>
                <w:lang w:val="en-US" w:eastAsia="zh-CN"/>
              </w:rPr>
              <w:t>、事故废水暂存能力或拦截设施变化，导致环境风险防范能力弱化或降低的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bl>
    <w:p>
      <w:pPr>
        <w:pStyle w:val="2"/>
        <w:rPr>
          <w:rFonts w:ascii="Times New Roman" w:hAnsi="Times New Roman" w:eastAsia="宋体" w:cs="Times New Roman"/>
          <w:b/>
          <w:bCs/>
          <w:kern w:val="0"/>
          <w:szCs w:val="21"/>
        </w:rPr>
        <w:sectPr>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pPr>
      <w:bookmarkStart w:id="32" w:name="_Toc25048"/>
      <w:r>
        <w:rPr>
          <w:rFonts w:hint="eastAsia"/>
        </w:rPr>
        <w:t>4环境保护设施</w:t>
      </w:r>
      <w:bookmarkEnd w:id="32"/>
    </w:p>
    <w:p>
      <w:pPr>
        <w:pStyle w:val="5"/>
        <w:rPr>
          <w:rFonts w:eastAsia="宋体"/>
        </w:rPr>
      </w:pPr>
      <w:bookmarkStart w:id="33" w:name="_Toc15766"/>
      <w:r>
        <w:rPr>
          <w:rFonts w:eastAsia="宋体"/>
        </w:rPr>
        <w:t>4.1污染物治理/处置设施</w:t>
      </w:r>
      <w:bookmarkEnd w:id="33"/>
    </w:p>
    <w:p>
      <w:pPr>
        <w:pStyle w:val="6"/>
      </w:pPr>
      <w:bookmarkStart w:id="34" w:name="_Toc17493"/>
      <w:r>
        <w:rPr>
          <w:rFonts w:hint="eastAsia"/>
        </w:rPr>
        <w:t>4.1.1废水</w:t>
      </w:r>
      <w:bookmarkEnd w:id="34"/>
    </w:p>
    <w:p>
      <w:pPr>
        <w:spacing w:line="360" w:lineRule="auto"/>
        <w:ind w:firstLine="480" w:firstLineChars="200"/>
        <w:rPr>
          <w:rFonts w:asciiTheme="minorEastAsia" w:hAnsiTheme="minorEastAsia"/>
          <w:sz w:val="24"/>
          <w:szCs w:val="24"/>
          <w:lang w:bidi="zh-CN"/>
        </w:rPr>
      </w:pPr>
      <w:r>
        <w:rPr>
          <w:rFonts w:hint="eastAsia" w:ascii="Times New Roman" w:hAnsi="Times New Roman" w:cs="Times New Roman"/>
          <w:b w:val="0"/>
          <w:bCs/>
          <w:sz w:val="24"/>
          <w:lang w:val="en-US" w:eastAsia="zh-CN"/>
        </w:rPr>
        <w:t>本项目生活污水经化粪池预处理纳管，排入排入浦江富春紫光水务有限公司（四厂）进行处理，处理达标后排入浦阳江</w:t>
      </w:r>
      <w:r>
        <w:rPr>
          <w:rFonts w:hint="eastAsia" w:asciiTheme="minorEastAsia" w:hAnsiTheme="minorEastAsia"/>
          <w:sz w:val="24"/>
          <w:szCs w:val="24"/>
          <w:lang w:bidi="zh-CN"/>
        </w:rPr>
        <w:t>。</w:t>
      </w:r>
    </w:p>
    <w:p>
      <w:pPr>
        <w:spacing w:line="360" w:lineRule="auto"/>
        <w:ind w:firstLine="422" w:firstLineChars="20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表4.1-1 废水来源及处理方式</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286"/>
        <w:gridCol w:w="1629"/>
        <w:gridCol w:w="1596"/>
        <w:gridCol w:w="1260"/>
        <w:gridCol w:w="15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61" w:type="dxa"/>
            <w:vMerge w:val="restart"/>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污染源</w:t>
            </w:r>
          </w:p>
        </w:tc>
        <w:tc>
          <w:tcPr>
            <w:tcW w:w="1286" w:type="dxa"/>
            <w:vMerge w:val="restart"/>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产生工序</w:t>
            </w:r>
          </w:p>
        </w:tc>
        <w:tc>
          <w:tcPr>
            <w:tcW w:w="3225" w:type="dxa"/>
            <w:gridSpan w:val="2"/>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处理设施</w:t>
            </w:r>
          </w:p>
        </w:tc>
        <w:tc>
          <w:tcPr>
            <w:tcW w:w="1260" w:type="dxa"/>
            <w:vMerge w:val="restart"/>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主要污染因子</w:t>
            </w:r>
          </w:p>
        </w:tc>
        <w:tc>
          <w:tcPr>
            <w:tcW w:w="1584" w:type="dxa"/>
            <w:vMerge w:val="restart"/>
            <w:tcBorders>
              <w:tl2br w:val="nil"/>
              <w:tr2bl w:val="nil"/>
            </w:tcBorders>
            <w:vAlign w:val="center"/>
          </w:tcPr>
          <w:p>
            <w:pPr>
              <w:tabs>
                <w:tab w:val="left" w:pos="2820"/>
                <w:tab w:val="left" w:pos="2975"/>
                <w:tab w:val="center" w:pos="4707"/>
              </w:tabs>
              <w:spacing w:before="120" w:after="120" w:line="360" w:lineRule="exact"/>
              <w:ind w:left="-111" w:leftChars="-53"/>
              <w:jc w:val="center"/>
              <w:rPr>
                <w:rFonts w:ascii="Times New Roman" w:hAnsi="Times New Roman" w:eastAsia="宋体" w:cs="Times New Roman"/>
                <w:b/>
                <w:bCs/>
                <w:szCs w:val="21"/>
              </w:rPr>
            </w:pPr>
            <w:r>
              <w:rPr>
                <w:rFonts w:hint="eastAsia" w:ascii="Times New Roman" w:hAnsi="Times New Roman" w:eastAsia="宋体" w:cs="Times New Roman"/>
                <w:b/>
                <w:bCs/>
                <w:szCs w:val="21"/>
              </w:rPr>
              <w:t>排放规律及去向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61" w:type="dxa"/>
            <w:vMerge w:val="continue"/>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szCs w:val="21"/>
              </w:rPr>
            </w:pPr>
          </w:p>
        </w:tc>
        <w:tc>
          <w:tcPr>
            <w:tcW w:w="1286" w:type="dxa"/>
            <w:vMerge w:val="continue"/>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szCs w:val="21"/>
              </w:rPr>
            </w:pPr>
          </w:p>
        </w:tc>
        <w:tc>
          <w:tcPr>
            <w:tcW w:w="1629" w:type="dxa"/>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环评要求</w:t>
            </w:r>
          </w:p>
        </w:tc>
        <w:tc>
          <w:tcPr>
            <w:tcW w:w="1596" w:type="dxa"/>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实际建设</w:t>
            </w:r>
          </w:p>
        </w:tc>
        <w:tc>
          <w:tcPr>
            <w:tcW w:w="1260" w:type="dxa"/>
            <w:vMerge w:val="continue"/>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szCs w:val="21"/>
              </w:rPr>
            </w:pPr>
          </w:p>
        </w:tc>
        <w:tc>
          <w:tcPr>
            <w:tcW w:w="1584" w:type="dxa"/>
            <w:vMerge w:val="continue"/>
            <w:tcBorders>
              <w:tl2br w:val="nil"/>
              <w:tr2bl w:val="nil"/>
            </w:tcBorders>
            <w:vAlign w:val="center"/>
          </w:tcPr>
          <w:p>
            <w:pPr>
              <w:tabs>
                <w:tab w:val="left" w:pos="2820"/>
                <w:tab w:val="left" w:pos="2975"/>
                <w:tab w:val="center" w:pos="4707"/>
              </w:tabs>
              <w:spacing w:before="120" w:after="120" w:line="360" w:lineRule="exact"/>
              <w:ind w:left="-111" w:leftChars="-53"/>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1" w:type="dxa"/>
            <w:tcBorders>
              <w:tl2br w:val="nil"/>
              <w:tr2bl w:val="nil"/>
            </w:tcBorders>
            <w:vAlign w:val="center"/>
          </w:tcPr>
          <w:p>
            <w:pPr>
              <w:tabs>
                <w:tab w:val="left" w:pos="2820"/>
                <w:tab w:val="left" w:pos="2975"/>
                <w:tab w:val="center" w:pos="4707"/>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生活污水</w:t>
            </w:r>
          </w:p>
        </w:tc>
        <w:tc>
          <w:tcPr>
            <w:tcW w:w="1286"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生活用水</w:t>
            </w:r>
          </w:p>
        </w:tc>
        <w:tc>
          <w:tcPr>
            <w:tcW w:w="1629" w:type="dxa"/>
            <w:tcBorders>
              <w:tl2br w:val="nil"/>
              <w:tr2bl w:val="nil"/>
            </w:tcBorders>
            <w:vAlign w:val="center"/>
          </w:tcPr>
          <w:p>
            <w:pPr>
              <w:tabs>
                <w:tab w:val="left" w:pos="2820"/>
                <w:tab w:val="left" w:pos="2975"/>
                <w:tab w:val="center" w:pos="4707"/>
              </w:tabs>
              <w:jc w:val="center"/>
              <w:rPr>
                <w:rFonts w:hint="default" w:ascii="Times New Roman" w:hAnsi="Times New Roman" w:cs="Times New Roman" w:eastAsiaTheme="minorEastAsia"/>
                <w:kern w:val="2"/>
                <w:sz w:val="21"/>
                <w:szCs w:val="21"/>
                <w:lang w:val="en-US" w:eastAsia="zh-CN" w:bidi="ar-SA"/>
              </w:rPr>
            </w:pPr>
            <w:r>
              <w:rPr>
                <w:rFonts w:hint="eastAsia" w:asciiTheme="minorEastAsia" w:hAnsiTheme="minorEastAsia"/>
                <w:lang w:val="en-US" w:eastAsia="zh-CN"/>
              </w:rPr>
              <w:t>经</w:t>
            </w:r>
            <w:r>
              <w:rPr>
                <w:rFonts w:hint="eastAsia" w:asciiTheme="minorEastAsia" w:hAnsiTheme="minorEastAsia"/>
              </w:rPr>
              <w:t>化粪池</w:t>
            </w:r>
            <w:r>
              <w:rPr>
                <w:rFonts w:hint="eastAsia" w:asciiTheme="minorEastAsia" w:hAnsiTheme="minorEastAsia"/>
                <w:lang w:val="en-US" w:eastAsia="zh-CN"/>
              </w:rPr>
              <w:t>预处理后，纳管排放</w:t>
            </w:r>
          </w:p>
        </w:tc>
        <w:tc>
          <w:tcPr>
            <w:tcW w:w="1596"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color w:val="FF0000"/>
                <w:kern w:val="2"/>
                <w:sz w:val="21"/>
                <w:szCs w:val="21"/>
                <w:lang w:val="en-US" w:eastAsia="zh-CN" w:bidi="ar-SA"/>
              </w:rPr>
            </w:pPr>
            <w:r>
              <w:rPr>
                <w:rFonts w:hint="eastAsia" w:asciiTheme="minorEastAsia" w:hAnsiTheme="minorEastAsia"/>
                <w:lang w:val="en-US" w:eastAsia="zh-CN"/>
              </w:rPr>
              <w:t>经</w:t>
            </w:r>
            <w:r>
              <w:rPr>
                <w:rFonts w:hint="eastAsia" w:asciiTheme="minorEastAsia" w:hAnsiTheme="minorEastAsia"/>
              </w:rPr>
              <w:t>化粪池</w:t>
            </w:r>
            <w:r>
              <w:rPr>
                <w:rFonts w:hint="eastAsia" w:asciiTheme="minorEastAsia" w:hAnsiTheme="minorEastAsia"/>
                <w:lang w:val="en-US" w:eastAsia="zh-CN"/>
              </w:rPr>
              <w:t>预处理后，纳管排放</w:t>
            </w:r>
          </w:p>
        </w:tc>
        <w:tc>
          <w:tcPr>
            <w:tcW w:w="1260" w:type="dxa"/>
            <w:tcBorders>
              <w:tl2br w:val="nil"/>
              <w:tr2bl w:val="nil"/>
            </w:tcBorders>
            <w:vAlign w:val="center"/>
          </w:tcPr>
          <w:p>
            <w:pPr>
              <w:tabs>
                <w:tab w:val="left" w:pos="2820"/>
                <w:tab w:val="left" w:pos="2975"/>
                <w:tab w:val="center" w:pos="4707"/>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COD</w:t>
            </w:r>
            <w:r>
              <w:rPr>
                <w:rFonts w:ascii="Times New Roman" w:hAnsi="Times New Roman" w:eastAsia="宋体" w:cs="Times New Roman"/>
                <w:szCs w:val="21"/>
                <w:vertAlign w:val="subscript"/>
              </w:rPr>
              <w:t>Cr</w:t>
            </w:r>
            <w:r>
              <w:rPr>
                <w:rFonts w:ascii="Times New Roman" w:hAnsi="Times New Roman" w:eastAsia="宋体" w:cs="Times New Roman"/>
                <w:szCs w:val="21"/>
              </w:rPr>
              <w:t>、氨氮</w:t>
            </w:r>
          </w:p>
        </w:tc>
        <w:tc>
          <w:tcPr>
            <w:tcW w:w="1584" w:type="dxa"/>
            <w:tcBorders>
              <w:tl2br w:val="nil"/>
              <w:tr2bl w:val="nil"/>
            </w:tcBorders>
            <w:vAlign w:val="center"/>
          </w:tcPr>
          <w:p>
            <w:pPr>
              <w:tabs>
                <w:tab w:val="left" w:pos="2820"/>
                <w:tab w:val="left" w:pos="2975"/>
                <w:tab w:val="center" w:pos="4707"/>
              </w:tabs>
              <w:ind w:left="-111" w:leftChars="-53"/>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间歇性排放，排入市政管网</w:t>
            </w:r>
          </w:p>
        </w:tc>
      </w:tr>
    </w:tbl>
    <w:p>
      <w:pPr>
        <w:rPr>
          <w:rFonts w:hint="eastAsia" w:eastAsia="宋体"/>
          <w:sz w:val="24"/>
          <w:szCs w:val="24"/>
        </w:rPr>
      </w:pPr>
    </w:p>
    <w:p>
      <w:pPr>
        <w:pStyle w:val="6"/>
        <w:keepNext/>
        <w:keepLines/>
        <w:pageBreakBefore w:val="0"/>
        <w:widowControl w:val="0"/>
        <w:kinsoku/>
        <w:wordWrap/>
        <w:overflowPunct/>
        <w:topLinePunct w:val="0"/>
        <w:autoSpaceDE/>
        <w:autoSpaceDN/>
        <w:bidi w:val="0"/>
        <w:adjustRightInd/>
        <w:snapToGrid/>
        <w:spacing w:before="200" w:after="200" w:line="416" w:lineRule="auto"/>
        <w:textAlignment w:val="auto"/>
      </w:pPr>
      <w:bookmarkStart w:id="35" w:name="_Toc28321"/>
      <w:r>
        <w:rPr>
          <w:rFonts w:hint="eastAsia"/>
        </w:rPr>
        <w:t>4.1.2废气</w:t>
      </w:r>
      <w:bookmarkEnd w:id="35"/>
    </w:p>
    <w:p>
      <w:pPr>
        <w:snapToGrid w:val="0"/>
        <w:spacing w:line="360" w:lineRule="auto"/>
        <w:ind w:firstLine="482"/>
        <w:rPr>
          <w:rFonts w:ascii="Times New Roman" w:hAnsi="Times New Roman" w:eastAsia="宋体" w:cs="Times New Roman"/>
          <w:kern w:val="0"/>
          <w:sz w:val="24"/>
          <w:szCs w:val="24"/>
        </w:rPr>
      </w:pPr>
      <w:r>
        <w:rPr>
          <w:rFonts w:hint="eastAsia" w:ascii="Times New Roman" w:hAnsi="Times New Roman" w:eastAsia="宋体" w:cs="Times New Roman"/>
          <w:sz w:val="24"/>
          <w:szCs w:val="24"/>
          <w:lang w:val="en-US" w:eastAsia="zh-CN"/>
        </w:rPr>
        <w:t>本项目产生的废气主要为焊接废气、浸塑固化废气。</w:t>
      </w:r>
      <w:r>
        <w:rPr>
          <w:rFonts w:ascii="Times New Roman" w:hAnsi="Times New Roman" w:eastAsia="宋体" w:cs="Times New Roman"/>
          <w:kern w:val="0"/>
          <w:sz w:val="24"/>
          <w:szCs w:val="24"/>
        </w:rPr>
        <w:t>废气处理</w:t>
      </w:r>
      <w:r>
        <w:rPr>
          <w:rFonts w:hint="eastAsia" w:ascii="Times New Roman" w:hAnsi="Times New Roman" w:eastAsia="宋体" w:cs="Times New Roman"/>
          <w:kern w:val="0"/>
          <w:sz w:val="24"/>
          <w:szCs w:val="24"/>
        </w:rPr>
        <w:t>方式</w:t>
      </w:r>
      <w:r>
        <w:rPr>
          <w:rFonts w:ascii="Times New Roman" w:hAnsi="Times New Roman" w:eastAsia="宋体" w:cs="Times New Roman"/>
          <w:kern w:val="0"/>
          <w:sz w:val="24"/>
          <w:szCs w:val="24"/>
        </w:rPr>
        <w:t>具体见</w:t>
      </w:r>
      <w:r>
        <w:rPr>
          <w:rFonts w:hint="eastAsia" w:ascii="Times New Roman" w:hAnsi="Times New Roman" w:eastAsia="宋体" w:cs="Times New Roman"/>
          <w:kern w:val="0"/>
          <w:sz w:val="24"/>
          <w:szCs w:val="24"/>
        </w:rPr>
        <w:t>表4.1-2-</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w:t>
      </w:r>
    </w:p>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w:t>
      </w:r>
      <w:r>
        <w:rPr>
          <w:rFonts w:ascii="Times New Roman" w:hAnsi="Times New Roman" w:eastAsia="宋体" w:cs="Times New Roman"/>
          <w:b/>
          <w:bCs/>
          <w:szCs w:val="21"/>
        </w:rPr>
        <w:t>.1</w:t>
      </w:r>
      <w:r>
        <w:rPr>
          <w:rFonts w:hint="eastAsia" w:ascii="Times New Roman" w:hAnsi="Times New Roman" w:eastAsia="宋体" w:cs="Times New Roman"/>
          <w:b/>
          <w:bCs/>
          <w:szCs w:val="21"/>
        </w:rPr>
        <w:t>-2-</w:t>
      </w:r>
      <w:r>
        <w:rPr>
          <w:rFonts w:ascii="Times New Roman" w:hAnsi="Times New Roman" w:eastAsia="宋体" w:cs="Times New Roman"/>
          <w:b/>
          <w:bCs/>
          <w:szCs w:val="21"/>
        </w:rPr>
        <w:t>1</w:t>
      </w:r>
      <w:r>
        <w:rPr>
          <w:rFonts w:hint="eastAsia" w:ascii="Times New Roman" w:hAnsi="Times New Roman" w:eastAsia="宋体" w:cs="Times New Roman"/>
          <w:b/>
          <w:bCs/>
          <w:szCs w:val="21"/>
        </w:rPr>
        <w:t xml:space="preserve"> 废气来源及处理方式</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441"/>
        <w:gridCol w:w="2400"/>
        <w:gridCol w:w="1552"/>
        <w:gridCol w:w="1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84" w:type="dxa"/>
            <w:vMerge w:val="restart"/>
            <w:tcBorders>
              <w:tl2br w:val="nil"/>
              <w:tr2bl w:val="nil"/>
            </w:tcBorders>
            <w:vAlign w:val="center"/>
          </w:tcPr>
          <w:p>
            <w:pPr>
              <w:jc w:val="center"/>
              <w:rPr>
                <w:rFonts w:ascii="宋体" w:hAnsi="宋体" w:eastAsia="宋体"/>
                <w:b/>
                <w:bCs/>
              </w:rPr>
            </w:pPr>
            <w:r>
              <w:rPr>
                <w:rFonts w:hint="eastAsia" w:ascii="宋体" w:hAnsi="宋体" w:eastAsia="宋体"/>
                <w:b/>
                <w:bCs/>
              </w:rPr>
              <w:t>产生</w:t>
            </w:r>
          </w:p>
          <w:p>
            <w:pPr>
              <w:jc w:val="center"/>
              <w:rPr>
                <w:rFonts w:ascii="宋体" w:hAnsi="宋体" w:eastAsia="宋体"/>
                <w:b/>
                <w:bCs/>
              </w:rPr>
            </w:pPr>
            <w:r>
              <w:rPr>
                <w:rFonts w:hint="eastAsia" w:ascii="宋体" w:hAnsi="宋体" w:eastAsia="宋体"/>
                <w:b/>
                <w:bCs/>
              </w:rPr>
              <w:t>工序</w:t>
            </w:r>
          </w:p>
        </w:tc>
        <w:tc>
          <w:tcPr>
            <w:tcW w:w="4841" w:type="dxa"/>
            <w:gridSpan w:val="2"/>
            <w:tcBorders>
              <w:tl2br w:val="nil"/>
              <w:tr2bl w:val="nil"/>
            </w:tcBorders>
            <w:vAlign w:val="center"/>
          </w:tcPr>
          <w:p>
            <w:pPr>
              <w:jc w:val="center"/>
              <w:rPr>
                <w:rFonts w:ascii="宋体" w:hAnsi="宋体" w:eastAsia="宋体"/>
                <w:b/>
                <w:bCs/>
              </w:rPr>
            </w:pPr>
            <w:r>
              <w:rPr>
                <w:rFonts w:hint="eastAsia" w:ascii="宋体" w:hAnsi="宋体" w:eastAsia="宋体"/>
                <w:b/>
                <w:bCs/>
              </w:rPr>
              <w:t>处理设施</w:t>
            </w:r>
          </w:p>
        </w:tc>
        <w:tc>
          <w:tcPr>
            <w:tcW w:w="1552" w:type="dxa"/>
            <w:vMerge w:val="restart"/>
            <w:tcBorders>
              <w:tl2br w:val="nil"/>
              <w:tr2bl w:val="nil"/>
            </w:tcBorders>
            <w:vAlign w:val="center"/>
          </w:tcPr>
          <w:p>
            <w:pPr>
              <w:jc w:val="center"/>
              <w:rPr>
                <w:rFonts w:ascii="宋体" w:hAnsi="宋体" w:eastAsia="宋体"/>
                <w:b/>
                <w:bCs/>
              </w:rPr>
            </w:pPr>
            <w:r>
              <w:rPr>
                <w:rFonts w:hint="eastAsia" w:ascii="宋体" w:hAnsi="宋体" w:eastAsia="宋体"/>
                <w:b/>
                <w:bCs/>
              </w:rPr>
              <w:t>主要污染因子</w:t>
            </w:r>
          </w:p>
        </w:tc>
        <w:tc>
          <w:tcPr>
            <w:tcW w:w="1039" w:type="dxa"/>
            <w:vMerge w:val="restart"/>
            <w:tcBorders>
              <w:tl2br w:val="nil"/>
              <w:tr2bl w:val="nil"/>
            </w:tcBorders>
            <w:vAlign w:val="center"/>
          </w:tcPr>
          <w:p>
            <w:pPr>
              <w:jc w:val="center"/>
              <w:rPr>
                <w:rFonts w:hint="eastAsia" w:ascii="宋体" w:hAnsi="宋体" w:eastAsia="宋体"/>
                <w:b/>
                <w:bCs/>
              </w:rPr>
            </w:pPr>
            <w:r>
              <w:rPr>
                <w:rFonts w:hint="eastAsia" w:ascii="宋体" w:hAnsi="宋体" w:eastAsia="宋体"/>
                <w:b/>
                <w:bCs/>
              </w:rPr>
              <w:t>排放</w:t>
            </w:r>
          </w:p>
          <w:p>
            <w:pPr>
              <w:jc w:val="center"/>
              <w:rPr>
                <w:rFonts w:ascii="宋体" w:hAnsi="宋体" w:eastAsia="宋体"/>
                <w:b/>
                <w:bCs/>
              </w:rPr>
            </w:pPr>
            <w:r>
              <w:rPr>
                <w:rFonts w:hint="eastAsia" w:ascii="宋体" w:hAnsi="宋体" w:eastAsia="宋体"/>
                <w:b/>
                <w:bCs/>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84" w:type="dxa"/>
            <w:vMerge w:val="continue"/>
            <w:tcBorders>
              <w:tl2br w:val="nil"/>
              <w:tr2bl w:val="nil"/>
            </w:tcBorders>
            <w:vAlign w:val="center"/>
          </w:tcPr>
          <w:p>
            <w:pPr>
              <w:rPr>
                <w:rFonts w:ascii="宋体" w:hAnsi="宋体" w:eastAsia="宋体"/>
              </w:rPr>
            </w:pPr>
          </w:p>
        </w:tc>
        <w:tc>
          <w:tcPr>
            <w:tcW w:w="2441" w:type="dxa"/>
            <w:tcBorders>
              <w:tl2br w:val="nil"/>
              <w:tr2bl w:val="nil"/>
            </w:tcBorders>
            <w:vAlign w:val="center"/>
          </w:tcPr>
          <w:p>
            <w:pPr>
              <w:jc w:val="center"/>
              <w:rPr>
                <w:rFonts w:ascii="宋体" w:hAnsi="宋体" w:eastAsia="宋体"/>
                <w:b/>
                <w:bCs/>
              </w:rPr>
            </w:pPr>
            <w:r>
              <w:rPr>
                <w:rFonts w:hint="eastAsia" w:ascii="宋体" w:hAnsi="宋体" w:eastAsia="宋体"/>
                <w:b/>
                <w:bCs/>
              </w:rPr>
              <w:t>环评要求</w:t>
            </w:r>
          </w:p>
        </w:tc>
        <w:tc>
          <w:tcPr>
            <w:tcW w:w="2400" w:type="dxa"/>
            <w:tcBorders>
              <w:tl2br w:val="nil"/>
              <w:tr2bl w:val="nil"/>
            </w:tcBorders>
            <w:vAlign w:val="center"/>
          </w:tcPr>
          <w:p>
            <w:pPr>
              <w:jc w:val="center"/>
              <w:rPr>
                <w:rFonts w:ascii="宋体" w:hAnsi="宋体" w:eastAsia="宋体"/>
                <w:b/>
                <w:bCs/>
              </w:rPr>
            </w:pPr>
            <w:r>
              <w:rPr>
                <w:rFonts w:hint="eastAsia" w:ascii="宋体" w:hAnsi="宋体" w:eastAsia="宋体"/>
                <w:b/>
                <w:bCs/>
              </w:rPr>
              <w:t>实际建设</w:t>
            </w:r>
          </w:p>
        </w:tc>
        <w:tc>
          <w:tcPr>
            <w:tcW w:w="1552" w:type="dxa"/>
            <w:vMerge w:val="continue"/>
            <w:tcBorders>
              <w:tl2br w:val="nil"/>
              <w:tr2bl w:val="nil"/>
            </w:tcBorders>
            <w:vAlign w:val="center"/>
          </w:tcPr>
          <w:p/>
        </w:tc>
        <w:tc>
          <w:tcPr>
            <w:tcW w:w="1039" w:type="dxa"/>
            <w:vMerge w:val="continue"/>
            <w:tcBorders>
              <w:tl2br w:val="nil"/>
              <w:tr2bl w:val="nil"/>
            </w:tcBorders>
            <w:vAlign w:val="center"/>
          </w:tc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1084" w:type="dxa"/>
            <w:tcBorders>
              <w:tl2br w:val="nil"/>
              <w:tr2bl w:val="nil"/>
            </w:tcBorders>
            <w:vAlign w:val="center"/>
          </w:tcPr>
          <w:p>
            <w:pPr>
              <w:jc w:val="center"/>
              <w:rPr>
                <w:rFonts w:hint="default"/>
                <w:lang w:val="en-US" w:eastAsia="zh-CN"/>
              </w:rPr>
            </w:pPr>
            <w:r>
              <w:rPr>
                <w:rFonts w:hint="eastAsia"/>
                <w:lang w:val="en-US" w:eastAsia="zh-CN"/>
              </w:rPr>
              <w:t>焊接</w:t>
            </w:r>
          </w:p>
        </w:tc>
        <w:tc>
          <w:tcPr>
            <w:tcW w:w="2441" w:type="dxa"/>
            <w:tcBorders>
              <w:tl2br w:val="nil"/>
              <w:tr2bl w:val="nil"/>
            </w:tcBorders>
            <w:vAlign w:val="center"/>
          </w:tcPr>
          <w:p>
            <w:pPr>
              <w:jc w:val="left"/>
              <w:rPr>
                <w:rFonts w:hint="default" w:ascii="Times New Roman" w:hAnsi="Times New Roman" w:cs="Times New Roman"/>
                <w:lang w:val="en-US"/>
              </w:rPr>
            </w:pPr>
            <w:r>
              <w:rPr>
                <w:rFonts w:hint="eastAsia" w:ascii="Times New Roman" w:hAnsi="Times New Roman" w:cs="Times New Roman"/>
                <w:snapToGrid w:val="0"/>
                <w:shd w:val="clear" w:color="auto" w:fill="FFFFFF"/>
                <w:lang w:val="en-US" w:eastAsia="zh-CN"/>
              </w:rPr>
              <w:t>焊接烟尘产生量较少，要求企业加强车间通风</w:t>
            </w:r>
          </w:p>
        </w:tc>
        <w:tc>
          <w:tcPr>
            <w:tcW w:w="2400" w:type="dxa"/>
            <w:tcBorders>
              <w:tl2br w:val="nil"/>
              <w:tr2bl w:val="nil"/>
            </w:tcBorders>
            <w:vAlign w:val="center"/>
          </w:tcPr>
          <w:p>
            <w:pPr>
              <w:jc w:val="left"/>
              <w:rPr>
                <w:rFonts w:hint="default" w:ascii="Times New Roman" w:hAnsi="Times New Roman" w:cs="Times New Roman" w:eastAsiaTheme="minorEastAsia"/>
                <w:lang w:val="en-US" w:eastAsia="zh-CN"/>
              </w:rPr>
            </w:pPr>
            <w:r>
              <w:rPr>
                <w:rFonts w:hint="eastAsia" w:ascii="Times New Roman" w:hAnsi="Times New Roman" w:cs="Times New Roman"/>
                <w:snapToGrid w:val="0"/>
                <w:color w:val="auto"/>
                <w:highlight w:val="none"/>
                <w:shd w:val="clear" w:color="auto" w:fill="FFFFFF"/>
                <w:lang w:val="en-US" w:eastAsia="zh-CN"/>
              </w:rPr>
              <w:t>企业设备布局合理，并设置移动式的排风扇进行通风</w:t>
            </w:r>
          </w:p>
        </w:tc>
        <w:tc>
          <w:tcPr>
            <w:tcW w:w="1552" w:type="dxa"/>
            <w:tcBorders>
              <w:tl2br w:val="nil"/>
              <w:tr2bl w:val="nil"/>
            </w:tcBorders>
            <w:vAlign w:val="center"/>
          </w:tcPr>
          <w:p>
            <w:pPr>
              <w:jc w:val="center"/>
              <w:rPr>
                <w:rFonts w:hint="eastAsia"/>
                <w:lang w:val="en-US" w:eastAsia="zh-CN"/>
              </w:rPr>
            </w:pPr>
            <w:r>
              <w:rPr>
                <w:rFonts w:hint="eastAsia"/>
                <w:lang w:val="en-US" w:eastAsia="zh-CN"/>
              </w:rPr>
              <w:t>颗粒物</w:t>
            </w:r>
          </w:p>
        </w:tc>
        <w:tc>
          <w:tcPr>
            <w:tcW w:w="1039" w:type="dxa"/>
            <w:tcBorders>
              <w:tl2br w:val="nil"/>
              <w:tr2bl w:val="nil"/>
            </w:tcBorders>
            <w:vAlign w:val="center"/>
          </w:tcPr>
          <w:p>
            <w:pPr>
              <w:jc w:val="center"/>
              <w:rPr>
                <w:rFonts w:hint="default"/>
                <w:lang w:val="en-US" w:eastAsia="zh-CN"/>
              </w:rPr>
            </w:pPr>
            <w:r>
              <w:rPr>
                <w:rFonts w:hint="eastAsia"/>
                <w:lang w:val="en-US" w:eastAsia="zh-CN"/>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1084" w:type="dxa"/>
            <w:tcBorders>
              <w:tl2br w:val="nil"/>
              <w:tr2bl w:val="nil"/>
            </w:tcBorders>
            <w:vAlign w:val="center"/>
          </w:tcPr>
          <w:p>
            <w:pPr>
              <w:jc w:val="center"/>
              <w:rPr>
                <w:rFonts w:hint="default"/>
                <w:lang w:val="en-US" w:eastAsia="zh-CN"/>
              </w:rPr>
            </w:pPr>
            <w:r>
              <w:rPr>
                <w:rFonts w:hint="eastAsia"/>
                <w:lang w:val="en-US" w:eastAsia="zh-CN"/>
              </w:rPr>
              <w:t>浸塑固化</w:t>
            </w:r>
          </w:p>
        </w:tc>
        <w:tc>
          <w:tcPr>
            <w:tcW w:w="2441" w:type="dxa"/>
            <w:tcBorders>
              <w:tl2br w:val="nil"/>
              <w:tr2bl w:val="nil"/>
            </w:tcBorders>
            <w:vAlign w:val="center"/>
          </w:tcPr>
          <w:p>
            <w:pPr>
              <w:jc w:val="left"/>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要求企业在浸塑、固化工序上方安装集气罩，废气经集气收集后，通过光催化氧化处理后，尾气经15m高排气筒（1#）高空排放</w:t>
            </w:r>
          </w:p>
        </w:tc>
        <w:tc>
          <w:tcPr>
            <w:tcW w:w="2400" w:type="dxa"/>
            <w:tcBorders>
              <w:tl2br w:val="nil"/>
              <w:tr2bl w:val="nil"/>
            </w:tcBorders>
            <w:vAlign w:val="center"/>
          </w:tcPr>
          <w:p>
            <w:pPr>
              <w:jc w:val="left"/>
              <w:rPr>
                <w:rFonts w:hint="default" w:ascii="Times New Roman" w:hAnsi="Times New Roman" w:cs="Times New Roman" w:eastAsiaTheme="minorEastAsia"/>
                <w:lang w:val="en-US" w:eastAsia="zh-CN"/>
              </w:rPr>
            </w:pPr>
            <w:r>
              <w:rPr>
                <w:rFonts w:hint="default" w:ascii="Times New Roman" w:hAnsi="Times New Roman" w:cs="Times New Roman"/>
                <w:color w:val="auto"/>
                <w:szCs w:val="21"/>
                <w:lang w:val="en-US" w:eastAsia="zh-CN"/>
              </w:rPr>
              <w:t>在</w:t>
            </w:r>
            <w:r>
              <w:rPr>
                <w:rFonts w:hint="default" w:ascii="Times New Roman" w:hAnsi="Times New Roman" w:cs="Times New Roman"/>
                <w:lang w:val="en-US" w:eastAsia="zh-CN"/>
              </w:rPr>
              <w:t>浸塑、固化工序</w:t>
            </w:r>
            <w:r>
              <w:rPr>
                <w:rFonts w:hint="default" w:ascii="Times New Roman" w:hAnsi="Times New Roman" w:cs="Times New Roman"/>
                <w:color w:val="auto"/>
                <w:szCs w:val="21"/>
                <w:lang w:val="en-US" w:eastAsia="zh-CN"/>
              </w:rPr>
              <w:t>上方了安装集气罩，废气经集气罩收集后，通过光催化氧化处理后，通过</w:t>
            </w:r>
            <w:r>
              <w:rPr>
                <w:rFonts w:hint="eastAsia" w:ascii="Times New Roman" w:hAnsi="Times New Roman" w:cs="Times New Roman"/>
                <w:color w:val="auto"/>
                <w:szCs w:val="21"/>
                <w:lang w:val="en-US" w:eastAsia="zh-CN"/>
              </w:rPr>
              <w:t>25m</w:t>
            </w:r>
            <w:r>
              <w:rPr>
                <w:rFonts w:hint="default" w:ascii="Times New Roman" w:hAnsi="Times New Roman" w:cs="Times New Roman"/>
                <w:color w:val="auto"/>
                <w:szCs w:val="21"/>
                <w:lang w:val="en-US" w:eastAsia="zh-CN"/>
              </w:rPr>
              <w:t>高排气筒（G1-2）高空排放</w:t>
            </w:r>
          </w:p>
        </w:tc>
        <w:tc>
          <w:tcPr>
            <w:tcW w:w="1552" w:type="dxa"/>
            <w:tcBorders>
              <w:tl2br w:val="nil"/>
              <w:tr2bl w:val="nil"/>
            </w:tcBorders>
            <w:vAlign w:val="center"/>
          </w:tcPr>
          <w:p>
            <w:pPr>
              <w:jc w:val="center"/>
              <w:rPr>
                <w:rFonts w:hint="eastAsia"/>
                <w:lang w:val="en-US" w:eastAsia="zh-CN"/>
              </w:rPr>
            </w:pPr>
            <w:r>
              <w:rPr>
                <w:rFonts w:hint="eastAsia"/>
                <w:lang w:val="en-US" w:eastAsia="zh-CN"/>
              </w:rPr>
              <w:t>非甲烷总烃</w:t>
            </w:r>
          </w:p>
        </w:tc>
        <w:tc>
          <w:tcPr>
            <w:tcW w:w="1039" w:type="dxa"/>
            <w:tcBorders>
              <w:tl2br w:val="nil"/>
              <w:tr2bl w:val="nil"/>
            </w:tcBorders>
            <w:vAlign w:val="center"/>
          </w:tcPr>
          <w:p>
            <w:pPr>
              <w:jc w:val="center"/>
              <w:rPr>
                <w:rFonts w:hint="eastAsia"/>
                <w:lang w:val="en-US" w:eastAsia="zh-CN"/>
              </w:rPr>
            </w:pPr>
            <w:r>
              <w:rPr>
                <w:rFonts w:hint="eastAsia"/>
                <w:lang w:val="en-US" w:eastAsia="zh-CN"/>
              </w:rPr>
              <w:t>有组织排放</w:t>
            </w:r>
          </w:p>
        </w:tc>
      </w:tr>
    </w:tbl>
    <w:p>
      <w:pPr>
        <w:rPr>
          <w:rFonts w:hint="eastAsia" w:eastAsia="宋体"/>
          <w:sz w:val="24"/>
          <w:szCs w:val="24"/>
        </w:rPr>
      </w:pPr>
    </w:p>
    <w:p>
      <w:pPr>
        <w:rPr>
          <w:rFonts w:eastAsia="宋体"/>
          <w:sz w:val="24"/>
          <w:szCs w:val="24"/>
        </w:rPr>
      </w:pPr>
      <w:r>
        <w:rPr>
          <w:rFonts w:hint="eastAsia" w:eastAsia="宋体"/>
          <w:sz w:val="24"/>
          <w:szCs w:val="24"/>
        </w:rPr>
        <w:t>废气处理设施具体图例如下：</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6"/>
        <w:gridCol w:w="42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92" w:hRule="atLeast"/>
          <w:jc w:val="center"/>
        </w:trPr>
        <w:tc>
          <w:tcPr>
            <w:tcW w:w="2504" w:type="pct"/>
            <w:shd w:val="clear" w:color="auto" w:fill="auto"/>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drawing>
                <wp:inline distT="0" distB="0" distL="114300" distR="114300">
                  <wp:extent cx="2567305" cy="1924685"/>
                  <wp:effectExtent l="0" t="0" r="4445" b="18415"/>
                  <wp:docPr id="9" name="图片 9" descr="微信图片_2022112216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1122165032"/>
                          <pic:cNvPicPr>
                            <a:picLocks noChangeAspect="1"/>
                          </pic:cNvPicPr>
                        </pic:nvPicPr>
                        <pic:blipFill>
                          <a:blip r:embed="rId22"/>
                          <a:stretch>
                            <a:fillRect/>
                          </a:stretch>
                        </pic:blipFill>
                        <pic:spPr>
                          <a:xfrm>
                            <a:off x="0" y="0"/>
                            <a:ext cx="2567305" cy="1924685"/>
                          </a:xfrm>
                          <a:prstGeom prst="rect">
                            <a:avLst/>
                          </a:prstGeom>
                        </pic:spPr>
                      </pic:pic>
                    </a:graphicData>
                  </a:graphic>
                </wp:inline>
              </w:drawing>
            </w:r>
          </w:p>
          <w:p>
            <w:pPr>
              <w:jc w:val="center"/>
              <w:rPr>
                <w:rFonts w:hint="default" w:ascii="Times New Roman" w:hAnsi="Times New Roman" w:eastAsia="宋体" w:cs="Times New Roman"/>
                <w:sz w:val="24"/>
                <w:szCs w:val="24"/>
                <w:highlight w:val="none"/>
              </w:rPr>
            </w:pPr>
            <w:r>
              <w:rPr>
                <w:rFonts w:hint="eastAsia" w:ascii="Times New Roman" w:hAnsi="Times New Roman" w:cs="Times New Roman"/>
                <w:highlight w:val="none"/>
                <w:lang w:val="en-US" w:eastAsia="zh-CN"/>
              </w:rPr>
              <w:t>浸塑固化</w:t>
            </w:r>
            <w:r>
              <w:rPr>
                <w:rFonts w:hint="default" w:ascii="Times New Roman" w:hAnsi="Times New Roman" w:cs="Times New Roman"/>
                <w:highlight w:val="none"/>
                <w:lang w:val="en-US" w:eastAsia="zh-CN"/>
              </w:rPr>
              <w:t>废气</w:t>
            </w:r>
            <w:r>
              <w:rPr>
                <w:rFonts w:hint="default" w:ascii="Times New Roman" w:hAnsi="Times New Roman" w:cs="Times New Roman"/>
                <w:highlight w:val="none"/>
              </w:rPr>
              <w:t>处理设施</w:t>
            </w:r>
          </w:p>
        </w:tc>
        <w:tc>
          <w:tcPr>
            <w:tcW w:w="2495" w:type="pct"/>
            <w:shd w:val="clear" w:color="auto" w:fill="auto"/>
            <w:vAlign w:val="center"/>
          </w:tcPr>
          <w:p>
            <w:pPr>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drawing>
                <wp:inline distT="0" distB="0" distL="114300" distR="114300">
                  <wp:extent cx="2551430" cy="1912620"/>
                  <wp:effectExtent l="0" t="0" r="1270" b="11430"/>
                  <wp:docPr id="10" name="图片 10" descr="微信图片_2022112216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1122165047"/>
                          <pic:cNvPicPr>
                            <a:picLocks noChangeAspect="1"/>
                          </pic:cNvPicPr>
                        </pic:nvPicPr>
                        <pic:blipFill>
                          <a:blip r:embed="rId23"/>
                          <a:stretch>
                            <a:fillRect/>
                          </a:stretch>
                        </pic:blipFill>
                        <pic:spPr>
                          <a:xfrm>
                            <a:off x="0" y="0"/>
                            <a:ext cx="2551430" cy="1912620"/>
                          </a:xfrm>
                          <a:prstGeom prst="rect">
                            <a:avLst/>
                          </a:prstGeom>
                        </pic:spPr>
                      </pic:pic>
                    </a:graphicData>
                  </a:graphic>
                </wp:inline>
              </w:drawing>
            </w:r>
          </w:p>
          <w:p>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highlight w:val="none"/>
                <w:lang w:val="en-US" w:eastAsia="zh-CN"/>
              </w:rPr>
              <w:t>浸塑固化废气收集管道</w:t>
            </w:r>
          </w:p>
        </w:tc>
      </w:tr>
    </w:tbl>
    <w:p>
      <w:pPr>
        <w:pStyle w:val="6"/>
      </w:pPr>
      <w:bookmarkStart w:id="36" w:name="_Toc20184"/>
      <w:r>
        <w:rPr>
          <w:rFonts w:hint="eastAsia"/>
        </w:rPr>
        <w:t>4.1.3噪声</w:t>
      </w:r>
      <w:bookmarkEnd w:id="36"/>
    </w:p>
    <w:p>
      <w:pPr>
        <w:snapToGrid w:val="0"/>
        <w:spacing w:line="360" w:lineRule="auto"/>
        <w:ind w:firstLine="480" w:firstLineChars="200"/>
        <w:jc w:val="left"/>
        <w:rPr>
          <w:rFonts w:ascii="Times New Roman" w:hAnsi="Times New Roman" w:eastAsia="宋体" w:cs="Times New Roman"/>
          <w:sz w:val="24"/>
          <w:szCs w:val="24"/>
        </w:rPr>
      </w:pPr>
      <w:bookmarkStart w:id="37" w:name="_Hlk16239753"/>
      <w:r>
        <w:rPr>
          <w:rFonts w:hint="eastAsia"/>
          <w:sz w:val="24"/>
        </w:rPr>
        <w:t>本项目噪声主要来自生产机械设备</w:t>
      </w:r>
      <w:r>
        <w:rPr>
          <w:rFonts w:hint="eastAsia"/>
          <w:sz w:val="24"/>
          <w:lang w:eastAsia="zh-CN"/>
        </w:rPr>
        <w:t>（</w:t>
      </w:r>
      <w:r>
        <w:rPr>
          <w:rFonts w:hint="eastAsia"/>
          <w:sz w:val="24"/>
          <w:lang w:val="en-US" w:eastAsia="zh-CN"/>
        </w:rPr>
        <w:t>下料机、弯管机、浸塑机、冲床、电焊机、环保设备风机</w:t>
      </w:r>
      <w:r>
        <w:rPr>
          <w:rFonts w:hint="eastAsia"/>
          <w:sz w:val="24"/>
        </w:rPr>
        <w:t>等</w:t>
      </w:r>
      <w:r>
        <w:rPr>
          <w:rFonts w:hint="eastAsia"/>
          <w:sz w:val="24"/>
          <w:lang w:eastAsia="zh-CN"/>
        </w:rPr>
        <w:t>）</w:t>
      </w:r>
      <w:r>
        <w:rPr>
          <w:rFonts w:hint="eastAsia"/>
          <w:sz w:val="24"/>
        </w:rPr>
        <w:t>运行过程中产生的噪声</w:t>
      </w:r>
      <w:r>
        <w:rPr>
          <w:rFonts w:ascii="Times New Roman" w:hAnsi="Times New Roman" w:eastAsia="宋体" w:cs="Times New Roman"/>
          <w:sz w:val="24"/>
          <w:szCs w:val="24"/>
        </w:rPr>
        <w:t>。采取的主要控制措施有：</w:t>
      </w:r>
    </w:p>
    <w:bookmarkEnd w:id="37"/>
    <w:p>
      <w:pPr>
        <w:snapToGrid w:val="0"/>
        <w:spacing w:line="360" w:lineRule="auto"/>
        <w:ind w:firstLine="480" w:firstLineChars="200"/>
        <w:jc w:val="left"/>
        <w:rPr>
          <w:rFonts w:hint="eastAsia"/>
          <w:sz w:val="24"/>
        </w:rPr>
      </w:pPr>
      <w:r>
        <w:rPr>
          <w:rFonts w:hint="default"/>
          <w:sz w:val="24"/>
        </w:rPr>
        <w:t>企业合理安排作业时间，减少对周边企业的噪声影响；对风机安装了基础减震装置；平时加强设备的维护，确保设备处于良好的运转状态，杜绝因设备不正常运转时产生的高噪声现象；企业夜间不生产</w:t>
      </w:r>
      <w:r>
        <w:rPr>
          <w:rFonts w:hint="eastAsia"/>
          <w:sz w:val="24"/>
          <w:lang w:val="en-US" w:eastAsia="zh-CN"/>
        </w:rPr>
        <w:t>。</w:t>
      </w:r>
    </w:p>
    <w:p>
      <w:pPr>
        <w:pStyle w:val="6"/>
        <w:keepNext/>
        <w:keepLines/>
        <w:pageBreakBefore w:val="0"/>
        <w:widowControl w:val="0"/>
        <w:kinsoku/>
        <w:wordWrap/>
        <w:overflowPunct/>
        <w:topLinePunct w:val="0"/>
        <w:autoSpaceDE/>
        <w:autoSpaceDN/>
        <w:bidi w:val="0"/>
        <w:adjustRightInd/>
        <w:snapToGrid/>
        <w:spacing w:before="200" w:after="200" w:line="416" w:lineRule="auto"/>
        <w:textAlignment w:val="auto"/>
      </w:pPr>
      <w:bookmarkStart w:id="38" w:name="_Toc210"/>
      <w:r>
        <w:rPr>
          <w:rFonts w:hint="eastAsia"/>
        </w:rPr>
        <w:t>4.1.4</w:t>
      </w:r>
      <w:r>
        <w:rPr>
          <w:rFonts w:hint="eastAsia"/>
          <w:highlight w:val="none"/>
        </w:rPr>
        <w:t>固</w:t>
      </w:r>
      <w:r>
        <w:rPr>
          <w:rFonts w:hint="eastAsia"/>
          <w:highlight w:val="none"/>
          <w:lang w:eastAsia="zh-CN"/>
        </w:rPr>
        <w:t>（液）</w:t>
      </w:r>
      <w:r>
        <w:rPr>
          <w:rFonts w:hint="eastAsia"/>
        </w:rPr>
        <w:t>体废物</w:t>
      </w:r>
      <w:bookmarkEnd w:id="38"/>
    </w:p>
    <w:p>
      <w:pPr>
        <w:spacing w:line="360" w:lineRule="auto"/>
        <w:ind w:firstLine="480" w:firstLineChars="200"/>
        <w:jc w:val="left"/>
        <w:rPr>
          <w:rFonts w:hint="default" w:ascii="Times New Roman" w:hAnsi="Times New Roman" w:eastAsia="宋体" w:cs="Times New Roman"/>
          <w:kern w:val="0"/>
          <w:sz w:val="24"/>
          <w:szCs w:val="24"/>
          <w:lang w:bidi="zh-CN"/>
        </w:rPr>
      </w:pPr>
      <w:bookmarkStart w:id="39" w:name="_Hlk42871959"/>
      <w:bookmarkStart w:id="40" w:name="_Hlk526602567"/>
      <w:r>
        <w:rPr>
          <w:rFonts w:hint="default" w:ascii="Times New Roman" w:hAnsi="Times New Roman" w:eastAsia="宋体" w:cs="Times New Roman"/>
          <w:kern w:val="0"/>
          <w:sz w:val="24"/>
          <w:szCs w:val="24"/>
          <w:lang w:bidi="zh-CN"/>
        </w:rPr>
        <w:t>项目产生的</w:t>
      </w:r>
      <w:r>
        <w:rPr>
          <w:rFonts w:hint="default" w:ascii="Times New Roman" w:hAnsi="Times New Roman" w:eastAsia="宋体" w:cs="Times New Roman"/>
          <w:kern w:val="0"/>
          <w:sz w:val="24"/>
          <w:szCs w:val="24"/>
          <w:highlight w:val="none"/>
          <w:lang w:bidi="zh-CN"/>
        </w:rPr>
        <w:t>固</w:t>
      </w:r>
      <w:r>
        <w:rPr>
          <w:rFonts w:hint="eastAsia" w:ascii="Times New Roman" w:hAnsi="Times New Roman" w:eastAsia="宋体" w:cs="Times New Roman"/>
          <w:kern w:val="0"/>
          <w:sz w:val="24"/>
          <w:szCs w:val="24"/>
          <w:highlight w:val="none"/>
          <w:lang w:bidi="zh-CN"/>
        </w:rPr>
        <w:t>（液）</w:t>
      </w:r>
      <w:r>
        <w:rPr>
          <w:rFonts w:hint="default" w:ascii="Times New Roman" w:hAnsi="Times New Roman" w:eastAsia="宋体" w:cs="Times New Roman"/>
          <w:kern w:val="0"/>
          <w:sz w:val="24"/>
          <w:szCs w:val="24"/>
          <w:highlight w:val="none"/>
          <w:lang w:bidi="zh-CN"/>
        </w:rPr>
        <w:t>体废物的处</w:t>
      </w:r>
      <w:r>
        <w:rPr>
          <w:rFonts w:hint="default" w:ascii="Times New Roman" w:hAnsi="Times New Roman" w:eastAsia="宋体" w:cs="Times New Roman"/>
          <w:kern w:val="0"/>
          <w:sz w:val="24"/>
          <w:szCs w:val="24"/>
          <w:lang w:bidi="zh-CN"/>
        </w:rPr>
        <w:t>理、处置均应满足《中华人民共和国固体废物污染环境防治法》中的有关规定要求。危险废物及一般工业固体废物分别执行《危险废物贮存污染控制标准》(GB</w:t>
      </w:r>
      <w:r>
        <w:rPr>
          <w:rFonts w:hint="eastAsia" w:ascii="Times New Roman" w:hAnsi="Times New Roman" w:eastAsia="宋体" w:cs="Times New Roman"/>
          <w:kern w:val="0"/>
          <w:sz w:val="24"/>
          <w:szCs w:val="24"/>
          <w:lang w:val="en-US" w:bidi="zh-CN"/>
        </w:rPr>
        <w:t xml:space="preserve"> </w:t>
      </w:r>
      <w:r>
        <w:rPr>
          <w:rFonts w:hint="default" w:ascii="Times New Roman" w:hAnsi="Times New Roman" w:eastAsia="宋体" w:cs="Times New Roman"/>
          <w:kern w:val="0"/>
          <w:sz w:val="24"/>
          <w:szCs w:val="24"/>
          <w:lang w:bidi="zh-CN"/>
        </w:rPr>
        <w:t>18597-2001)及修改单（公告2013年第36号</w:t>
      </w:r>
      <w:r>
        <w:rPr>
          <w:rFonts w:hint="eastAsia" w:ascii="Times New Roman" w:hAnsi="Times New Roman" w:eastAsia="宋体" w:cs="Times New Roman"/>
          <w:kern w:val="0"/>
          <w:sz w:val="24"/>
          <w:szCs w:val="24"/>
          <w:lang w:bidi="zh-CN"/>
        </w:rPr>
        <w:t>）</w:t>
      </w:r>
      <w:r>
        <w:rPr>
          <w:rFonts w:hint="default" w:ascii="Times New Roman" w:hAnsi="Times New Roman" w:eastAsia="宋体" w:cs="Times New Roman"/>
          <w:kern w:val="0"/>
          <w:sz w:val="24"/>
          <w:szCs w:val="24"/>
          <w:lang w:bidi="zh-CN"/>
        </w:rPr>
        <w:t>和《一般工业固体废物贮存、处置场污染控制标准》(GB</w:t>
      </w:r>
      <w:r>
        <w:rPr>
          <w:rFonts w:hint="eastAsia" w:ascii="Times New Roman" w:hAnsi="Times New Roman" w:eastAsia="宋体" w:cs="Times New Roman"/>
          <w:kern w:val="0"/>
          <w:sz w:val="24"/>
          <w:szCs w:val="24"/>
          <w:lang w:val="en-US" w:bidi="zh-CN"/>
        </w:rPr>
        <w:t xml:space="preserve"> </w:t>
      </w:r>
      <w:r>
        <w:rPr>
          <w:rFonts w:hint="eastAsia" w:ascii="Times New Roman" w:hAnsi="Times New Roman" w:eastAsia="宋体" w:cs="Times New Roman"/>
          <w:kern w:val="0"/>
          <w:sz w:val="24"/>
          <w:szCs w:val="24"/>
          <w:lang w:bidi="zh-CN"/>
        </w:rPr>
        <w:t>18599-2020</w:t>
      </w:r>
      <w:r>
        <w:rPr>
          <w:rFonts w:hint="default" w:ascii="Times New Roman" w:hAnsi="Times New Roman" w:eastAsia="宋体" w:cs="Times New Roman"/>
          <w:kern w:val="0"/>
          <w:sz w:val="24"/>
          <w:szCs w:val="24"/>
          <w:lang w:bidi="zh-CN"/>
        </w:rPr>
        <w:t>)及其相应标准修改单中规定，生活垃圾处理参照执行《城市生活垃圾处理及污染防治技术政策》（建城[2000]120号）和《生活垃圾处理技术指南》（建城[2010]61号）以及国家、省市关于固体废物污染环境防治的法律法规</w:t>
      </w:r>
      <w:r>
        <w:rPr>
          <w:rFonts w:hint="eastAsia" w:ascii="Times New Roman" w:hAnsi="Times New Roman" w:eastAsia="宋体" w:cs="Times New Roman"/>
          <w:kern w:val="0"/>
          <w:sz w:val="24"/>
          <w:szCs w:val="24"/>
          <w:lang w:bidi="zh-CN"/>
        </w:rPr>
        <w:t>。</w:t>
      </w:r>
      <w:r>
        <w:rPr>
          <w:rFonts w:hint="default" w:ascii="Times New Roman" w:hAnsi="Times New Roman" w:eastAsia="宋体" w:cs="Times New Roman"/>
          <w:kern w:val="0"/>
          <w:sz w:val="24"/>
          <w:szCs w:val="24"/>
        </w:rPr>
        <w:t>固体废弃物分类、分质处置。</w:t>
      </w:r>
      <w:bookmarkEnd w:id="39"/>
      <w:r>
        <w:rPr>
          <w:rFonts w:hint="default" w:ascii="Times New Roman" w:hAnsi="Times New Roman" w:eastAsia="宋体" w:cs="Times New Roman"/>
          <w:kern w:val="0"/>
          <w:sz w:val="24"/>
          <w:szCs w:val="24"/>
        </w:rPr>
        <w:t>项目固体废弃物产生及处置情况见表4.1-4：</w:t>
      </w:r>
    </w:p>
    <w:p>
      <w:pPr>
        <w:spacing w:line="360" w:lineRule="auto"/>
        <w:ind w:firstLine="422" w:firstLineChars="200"/>
        <w:jc w:val="center"/>
        <w:rPr>
          <w:rFonts w:ascii="Times New Roman" w:hAnsi="Times New Roman" w:cs="Times New Roman"/>
          <w:b/>
          <w:bCs/>
          <w:szCs w:val="21"/>
          <w:highlight w:val="none"/>
        </w:rPr>
      </w:pPr>
    </w:p>
    <w:p>
      <w:pPr>
        <w:spacing w:line="360" w:lineRule="auto"/>
        <w:ind w:firstLine="422" w:firstLineChars="200"/>
        <w:jc w:val="center"/>
        <w:rPr>
          <w:rFonts w:ascii="Times New Roman" w:hAnsi="Times New Roman" w:cs="Times New Roman"/>
          <w:b/>
          <w:bCs/>
          <w:szCs w:val="21"/>
          <w:highlight w:val="none"/>
        </w:rPr>
      </w:pPr>
    </w:p>
    <w:p>
      <w:pPr>
        <w:spacing w:line="360" w:lineRule="auto"/>
        <w:ind w:firstLine="422" w:firstLineChars="200"/>
        <w:jc w:val="center"/>
        <w:rPr>
          <w:rFonts w:ascii="Times New Roman" w:hAnsi="Times New Roman" w:cs="Times New Roman"/>
          <w:b/>
          <w:bCs/>
          <w:szCs w:val="21"/>
          <w:highlight w:val="none"/>
        </w:rPr>
      </w:pPr>
    </w:p>
    <w:p>
      <w:pPr>
        <w:spacing w:line="360" w:lineRule="auto"/>
        <w:ind w:firstLine="422" w:firstLineChars="200"/>
        <w:jc w:val="center"/>
        <w:rPr>
          <w:rFonts w:ascii="Times New Roman" w:hAnsi="Times New Roman" w:cs="Times New Roman"/>
          <w:b/>
          <w:bCs/>
          <w:szCs w:val="21"/>
          <w:highlight w:val="none"/>
        </w:rPr>
      </w:pPr>
    </w:p>
    <w:p>
      <w:pPr>
        <w:spacing w:line="360" w:lineRule="auto"/>
        <w:ind w:firstLine="422" w:firstLineChars="200"/>
        <w:jc w:val="center"/>
        <w:rPr>
          <w:rFonts w:hint="eastAsia" w:ascii="Times New Roman" w:hAnsi="Times New Roman" w:cs="Times New Roman" w:eastAsiaTheme="minorEastAsia"/>
          <w:b/>
          <w:bCs/>
          <w:szCs w:val="21"/>
          <w:highlight w:val="none"/>
          <w:lang w:val="en-US" w:eastAsia="zh-CN"/>
        </w:rPr>
      </w:pPr>
      <w:r>
        <w:rPr>
          <w:rFonts w:ascii="Times New Roman" w:hAnsi="Times New Roman" w:cs="Times New Roman"/>
          <w:b/>
          <w:bCs/>
          <w:szCs w:val="21"/>
          <w:highlight w:val="none"/>
        </w:rPr>
        <w:t>表4.1-4 项目固</w:t>
      </w:r>
      <w:r>
        <w:rPr>
          <w:rFonts w:hint="eastAsia" w:ascii="Times New Roman" w:hAnsi="Times New Roman" w:cs="Times New Roman"/>
          <w:b/>
          <w:bCs/>
          <w:szCs w:val="21"/>
          <w:highlight w:val="none"/>
          <w:lang w:eastAsia="zh-CN"/>
        </w:rPr>
        <w:t>（液）</w:t>
      </w:r>
      <w:r>
        <w:rPr>
          <w:rFonts w:ascii="Times New Roman" w:hAnsi="Times New Roman" w:cs="Times New Roman"/>
          <w:b/>
          <w:bCs/>
          <w:szCs w:val="21"/>
          <w:highlight w:val="none"/>
        </w:rPr>
        <w:t>体废弃物产生及处置情况一览表</w:t>
      </w:r>
    </w:p>
    <w:tbl>
      <w:tblPr>
        <w:tblStyle w:val="32"/>
        <w:tblW w:w="505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1557"/>
        <w:gridCol w:w="1381"/>
        <w:gridCol w:w="778"/>
        <w:gridCol w:w="1460"/>
        <w:gridCol w:w="1230"/>
        <w:gridCol w:w="850"/>
        <w:gridCol w:w="7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tblHeader/>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bookmarkStart w:id="41" w:name="_Hlk74774945"/>
            <w:r>
              <w:rPr>
                <w:rFonts w:hint="default" w:ascii="Times New Roman" w:hAnsi="Times New Roman" w:cs="Times New Roman"/>
                <w:b/>
                <w:bCs/>
                <w:color w:val="auto"/>
              </w:rPr>
              <w:t>序号</w:t>
            </w:r>
          </w:p>
        </w:tc>
        <w:tc>
          <w:tcPr>
            <w:tcW w:w="15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固废名称</w:t>
            </w:r>
          </w:p>
        </w:tc>
        <w:tc>
          <w:tcPr>
            <w:tcW w:w="138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产生工序</w:t>
            </w:r>
          </w:p>
        </w:tc>
        <w:tc>
          <w:tcPr>
            <w:tcW w:w="7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属性</w:t>
            </w:r>
          </w:p>
        </w:tc>
        <w:tc>
          <w:tcPr>
            <w:tcW w:w="14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eastAsia="zh-CN"/>
              </w:rPr>
              <w:t>环评要求处置方式</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eastAsia="zh-CN"/>
              </w:rPr>
              <w:t>实际处置方式</w:t>
            </w:r>
          </w:p>
        </w:tc>
        <w:tc>
          <w:tcPr>
            <w:tcW w:w="8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t>变化</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t>情况</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1</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废包装桶</w:t>
            </w:r>
          </w:p>
        </w:tc>
        <w:tc>
          <w:tcPr>
            <w:tcW w:w="138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原料包装</w:t>
            </w:r>
          </w:p>
        </w:tc>
        <w:tc>
          <w:tcPr>
            <w:tcW w:w="778"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46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sz w:val="21"/>
                <w:szCs w:val="21"/>
                <w:lang w:eastAsia="zh-CN"/>
              </w:rPr>
              <w:t>委托</w:t>
            </w:r>
            <w:r>
              <w:rPr>
                <w:rFonts w:hint="eastAsia" w:ascii="Times New Roman" w:hAnsi="Times New Roman" w:cs="Times New Roman"/>
                <w:sz w:val="21"/>
                <w:szCs w:val="21"/>
                <w:lang w:val="en-US" w:eastAsia="zh-CN"/>
              </w:rPr>
              <w:t>有</w:t>
            </w:r>
            <w:r>
              <w:rPr>
                <w:rFonts w:hint="eastAsia" w:ascii="Times New Roman" w:hAnsi="Times New Roman" w:cs="Times New Roman"/>
                <w:sz w:val="21"/>
                <w:szCs w:val="21"/>
                <w:lang w:eastAsia="zh-CN"/>
              </w:rPr>
              <w:t>资质单位处理</w:t>
            </w:r>
          </w:p>
        </w:tc>
        <w:tc>
          <w:tcPr>
            <w:tcW w:w="1230" w:type="dxa"/>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eastAsia="宋体" w:cs="Times New Roman"/>
                <w:color w:val="auto"/>
                <w:spacing w:val="0"/>
                <w:szCs w:val="21"/>
                <w:lang w:val="en-US" w:eastAsia="zh-CN"/>
              </w:rPr>
            </w:pPr>
            <w:r>
              <w:rPr>
                <w:rFonts w:hint="eastAsia" w:ascii="Times New Roman" w:hAnsi="Times New Roman" w:cs="Times New Roman"/>
                <w:color w:val="auto"/>
                <w:spacing w:val="0"/>
                <w:szCs w:val="21"/>
                <w:highlight w:val="none"/>
                <w:lang w:eastAsia="zh-CN"/>
              </w:rPr>
              <w:t>收集后暂存于厂内危废仓库，</w:t>
            </w:r>
            <w:r>
              <w:rPr>
                <w:rFonts w:hint="default" w:ascii="Times New Roman" w:hAnsi="Times New Roman" w:cs="Times New Roman"/>
                <w:color w:val="auto"/>
                <w:spacing w:val="0"/>
                <w:szCs w:val="21"/>
                <w:highlight w:val="none"/>
              </w:rPr>
              <w:t>委托</w:t>
            </w:r>
            <w:r>
              <w:rPr>
                <w:rFonts w:hint="eastAsia" w:ascii="Times New Roman" w:hAnsi="Times New Roman" w:cs="Times New Roman"/>
                <w:color w:val="auto"/>
                <w:spacing w:val="0"/>
                <w:szCs w:val="21"/>
                <w:highlight w:val="none"/>
                <w:lang w:eastAsia="zh-CN"/>
              </w:rPr>
              <w:t>浦江三阳环保科技有限公司</w:t>
            </w:r>
            <w:r>
              <w:rPr>
                <w:rFonts w:hint="eastAsia" w:ascii="Times New Roman" w:hAnsi="Times New Roman" w:cs="Times New Roman"/>
                <w:color w:val="auto"/>
                <w:spacing w:val="0"/>
                <w:szCs w:val="21"/>
                <w:highlight w:val="none"/>
                <w:lang w:val="en-US" w:eastAsia="zh-CN"/>
              </w:rPr>
              <w:t>进行</w:t>
            </w:r>
            <w:r>
              <w:rPr>
                <w:rFonts w:hint="default" w:ascii="Times New Roman" w:hAnsi="Times New Roman" w:cs="Times New Roman"/>
                <w:color w:val="auto"/>
                <w:spacing w:val="0"/>
                <w:szCs w:val="21"/>
                <w:highlight w:val="none"/>
              </w:rPr>
              <w:t>处置</w:t>
            </w: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eastAsia="zh-CN"/>
              </w:rPr>
              <w:t>一致</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2</w:t>
            </w:r>
          </w:p>
        </w:tc>
        <w:tc>
          <w:tcPr>
            <w:tcW w:w="1557" w:type="dxa"/>
            <w:shd w:val="clear" w:color="auto" w:fill="auto"/>
            <w:vAlign w:val="center"/>
          </w:tcPr>
          <w:p>
            <w:pPr>
              <w:pStyle w:val="82"/>
              <w:snapToGrid/>
              <w:rPr>
                <w:rFonts w:hint="default" w:ascii="Arial" w:hAnsi="Arial" w:eastAsia="宋体" w:cs="Arial"/>
                <w:spacing w:val="4"/>
                <w:kern w:val="0"/>
                <w:sz w:val="21"/>
                <w:szCs w:val="21"/>
                <w:lang w:val="en-US" w:eastAsia="zh-CN" w:bidi="ar-SA"/>
              </w:rPr>
            </w:pPr>
            <w:r>
              <w:rPr>
                <w:rFonts w:hint="default" w:ascii="Arial" w:hAnsi="Arial" w:eastAsia="宋体" w:cs="Arial"/>
                <w:spacing w:val="2"/>
                <w:kern w:val="2"/>
                <w:sz w:val="21"/>
                <w:szCs w:val="21"/>
                <w:lang w:val="en-US" w:eastAsia="zh-CN" w:bidi="ar-SA"/>
              </w:rPr>
              <w:t>废矿物油</w:t>
            </w:r>
          </w:p>
        </w:tc>
        <w:tc>
          <w:tcPr>
            <w:tcW w:w="1381" w:type="dxa"/>
            <w:shd w:val="clear" w:color="auto" w:fill="auto"/>
            <w:vAlign w:val="center"/>
          </w:tcPr>
          <w:p>
            <w:pPr>
              <w:pStyle w:val="82"/>
              <w:snapToGrid/>
              <w:rPr>
                <w:rFonts w:hint="default" w:ascii="Arial" w:hAnsi="Arial" w:eastAsia="宋体" w:cs="Arial"/>
                <w:spacing w:val="4"/>
                <w:kern w:val="0"/>
                <w:sz w:val="21"/>
                <w:szCs w:val="21"/>
                <w:lang w:val="en-US" w:eastAsia="zh-CN" w:bidi="ar-SA"/>
              </w:rPr>
            </w:pPr>
            <w:r>
              <w:rPr>
                <w:rFonts w:hint="eastAsia" w:ascii="Arial" w:hAnsi="Arial" w:cs="Arial"/>
                <w:spacing w:val="4"/>
                <w:kern w:val="0"/>
                <w:sz w:val="21"/>
                <w:szCs w:val="21"/>
                <w:lang w:val="en-US" w:eastAsia="zh-CN" w:bidi="ar-SA"/>
              </w:rPr>
              <w:t>设备检修</w:t>
            </w:r>
          </w:p>
        </w:tc>
        <w:tc>
          <w:tcPr>
            <w:tcW w:w="778"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4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p>
        </w:tc>
        <w:tc>
          <w:tcPr>
            <w:tcW w:w="1230"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eastAsia="zh-CN"/>
              </w:rPr>
              <w:t>一致</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3</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喷漆废液</w:t>
            </w:r>
          </w:p>
        </w:tc>
        <w:tc>
          <w:tcPr>
            <w:tcW w:w="138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喷漆</w:t>
            </w:r>
          </w:p>
        </w:tc>
        <w:tc>
          <w:tcPr>
            <w:tcW w:w="778"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4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p>
        </w:tc>
        <w:tc>
          <w:tcPr>
            <w:tcW w:w="1230"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val="en-US" w:eastAsia="zh-CN"/>
              </w:rPr>
              <w:t>不产生</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4</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漆渣</w:t>
            </w:r>
          </w:p>
        </w:tc>
        <w:tc>
          <w:tcPr>
            <w:tcW w:w="138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喷漆</w:t>
            </w:r>
          </w:p>
        </w:tc>
        <w:tc>
          <w:tcPr>
            <w:tcW w:w="778"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4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p>
        </w:tc>
        <w:tc>
          <w:tcPr>
            <w:tcW w:w="1230"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不产生</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5</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废活性炭</w:t>
            </w:r>
          </w:p>
        </w:tc>
        <w:tc>
          <w:tcPr>
            <w:tcW w:w="138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废气处理</w:t>
            </w:r>
          </w:p>
        </w:tc>
        <w:tc>
          <w:tcPr>
            <w:tcW w:w="778"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4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p>
        </w:tc>
        <w:tc>
          <w:tcPr>
            <w:tcW w:w="1230"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不产生</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6</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初效过滤棉</w:t>
            </w:r>
          </w:p>
        </w:tc>
        <w:tc>
          <w:tcPr>
            <w:tcW w:w="1381" w:type="dxa"/>
            <w:shd w:val="clear" w:color="auto" w:fill="auto"/>
            <w:vAlign w:val="center"/>
          </w:tcPr>
          <w:p>
            <w:pPr>
              <w:pStyle w:val="82"/>
              <w:snapToGrid/>
              <w:rPr>
                <w:rFonts w:hint="eastAsia" w:ascii="Arial" w:hAnsi="Arial" w:eastAsia="宋体" w:cs="Arial"/>
                <w:sz w:val="21"/>
                <w:szCs w:val="21"/>
                <w:lang w:val="en-US" w:eastAsia="zh-CN"/>
              </w:rPr>
            </w:pPr>
            <w:r>
              <w:rPr>
                <w:rFonts w:hint="eastAsia" w:ascii="Arial" w:hAnsi="Arial" w:cs="Arial"/>
                <w:sz w:val="21"/>
                <w:szCs w:val="21"/>
                <w:lang w:val="en-US" w:eastAsia="zh-CN"/>
              </w:rPr>
              <w:t>废气处理</w:t>
            </w:r>
          </w:p>
        </w:tc>
        <w:tc>
          <w:tcPr>
            <w:tcW w:w="778" w:type="dxa"/>
            <w:shd w:val="clear" w:color="auto" w:fill="auto"/>
            <w:vAlign w:val="center"/>
          </w:tcPr>
          <w:p>
            <w:pPr>
              <w:pStyle w:val="82"/>
              <w:snapToGrid/>
              <w:rPr>
                <w:rFonts w:hint="eastAsia" w:ascii="Arial" w:hAnsi="Arial" w:cs="Arial"/>
                <w:sz w:val="21"/>
                <w:szCs w:val="21"/>
                <w:lang w:val="en-US" w:eastAsia="zh-CN"/>
              </w:rPr>
            </w:pPr>
            <w:r>
              <w:rPr>
                <w:rFonts w:hint="eastAsia" w:ascii="Arial" w:hAnsi="Arial" w:cs="Arial"/>
                <w:sz w:val="21"/>
                <w:szCs w:val="21"/>
                <w:lang w:val="en-US" w:eastAsia="zh-CN"/>
              </w:rPr>
              <w:t>危险废物</w:t>
            </w:r>
          </w:p>
        </w:tc>
        <w:tc>
          <w:tcPr>
            <w:tcW w:w="14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p>
        </w:tc>
        <w:tc>
          <w:tcPr>
            <w:tcW w:w="1230"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cs="Times New Roman"/>
                <w:color w:val="auto"/>
                <w:spacing w:val="0"/>
                <w:szCs w:val="21"/>
                <w:highlight w:val="none"/>
                <w:lang w:val="en-US" w:eastAsia="zh-CN"/>
              </w:rPr>
              <w:t>不产生</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color w:val="auto"/>
                <w:spacing w:val="0"/>
                <w:szCs w:val="21"/>
                <w:highlight w:val="none"/>
                <w:lang w:val="en-US" w:eastAsia="zh-CN"/>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废砂光轮</w:t>
            </w:r>
          </w:p>
        </w:tc>
        <w:tc>
          <w:tcPr>
            <w:tcW w:w="138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打磨</w:t>
            </w:r>
          </w:p>
        </w:tc>
        <w:tc>
          <w:tcPr>
            <w:tcW w:w="778" w:type="dxa"/>
            <w:shd w:val="clear" w:color="auto" w:fill="auto"/>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4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p>
        </w:tc>
        <w:tc>
          <w:tcPr>
            <w:tcW w:w="1230"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cs="Times New Roman"/>
                <w:color w:val="auto"/>
                <w:spacing w:val="0"/>
                <w:szCs w:val="21"/>
                <w:highlight w:val="none"/>
                <w:lang w:val="en-US" w:eastAsia="zh-CN"/>
              </w:rPr>
              <w:t>不产生</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8</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rPr>
              <w:t>边角料</w:t>
            </w:r>
          </w:p>
        </w:tc>
        <w:tc>
          <w:tcPr>
            <w:tcW w:w="138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ascii="Arial" w:hAnsi="Arial" w:cs="Arial"/>
                <w:sz w:val="21"/>
                <w:szCs w:val="21"/>
              </w:rPr>
              <w:t>机械加工</w:t>
            </w:r>
          </w:p>
        </w:tc>
        <w:tc>
          <w:tcPr>
            <w:tcW w:w="778" w:type="dxa"/>
            <w:shd w:val="clear" w:color="auto" w:fill="auto"/>
            <w:vAlign w:val="center"/>
          </w:tcPr>
          <w:p>
            <w:pPr>
              <w:pStyle w:val="82"/>
              <w:snapToGrid/>
              <w:rPr>
                <w:rFonts w:hint="eastAsia" w:ascii="Arial" w:hAnsi="Arial" w:eastAsia="宋体" w:cs="Arial"/>
                <w:spacing w:val="2"/>
                <w:kern w:val="2"/>
                <w:sz w:val="21"/>
                <w:szCs w:val="21"/>
                <w:lang w:val="en-US" w:eastAsia="zh-CN" w:bidi="ar-SA"/>
              </w:rPr>
            </w:pPr>
            <w:r>
              <w:rPr>
                <w:rFonts w:hint="default" w:ascii="Arial" w:hAnsi="Arial" w:cs="Arial"/>
                <w:sz w:val="21"/>
                <w:szCs w:val="21"/>
                <w:lang w:val="en-US" w:eastAsia="zh-CN"/>
              </w:rPr>
              <w:t>一般固废</w:t>
            </w:r>
          </w:p>
        </w:tc>
        <w:tc>
          <w:tcPr>
            <w:tcW w:w="146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sz w:val="21"/>
                <w:szCs w:val="21"/>
                <w:lang w:val="en-US" w:eastAsia="zh-CN"/>
              </w:rPr>
              <w:t>外售综合利用</w:t>
            </w:r>
          </w:p>
        </w:tc>
        <w:tc>
          <w:tcPr>
            <w:tcW w:w="1230" w:type="dxa"/>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r>
              <w:rPr>
                <w:rFonts w:hint="eastAsia" w:ascii="Times New Roman" w:hAnsi="Times New Roman" w:eastAsia="宋体" w:cs="Times New Roman"/>
                <w:bCs/>
                <w:lang w:val="en-US" w:bidi="zh-CN"/>
              </w:rPr>
              <w:t>收集后出售综合利用</w:t>
            </w: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cs="Times New Roman"/>
                <w:color w:val="auto"/>
                <w:spacing w:val="0"/>
                <w:szCs w:val="21"/>
                <w:highlight w:val="none"/>
                <w:lang w:eastAsia="zh-CN"/>
              </w:rPr>
              <w:t>一致</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9</w:t>
            </w:r>
          </w:p>
        </w:tc>
        <w:tc>
          <w:tcPr>
            <w:tcW w:w="1557" w:type="dxa"/>
            <w:shd w:val="clear" w:color="auto" w:fill="auto"/>
            <w:vAlign w:val="center"/>
          </w:tcPr>
          <w:p>
            <w:pPr>
              <w:pStyle w:val="82"/>
              <w:snapToGrid/>
              <w:rPr>
                <w:rFonts w:hint="eastAsia" w:ascii="Arial" w:hAnsi="Arial" w:cs="Arial"/>
                <w:sz w:val="21"/>
                <w:szCs w:val="21"/>
              </w:rPr>
            </w:pPr>
            <w:r>
              <w:rPr>
                <w:rFonts w:hint="eastAsia" w:ascii="Arial" w:hAnsi="Arial" w:cs="Arial"/>
                <w:sz w:val="21"/>
                <w:szCs w:val="21"/>
              </w:rPr>
              <w:t>焊渣</w:t>
            </w:r>
          </w:p>
        </w:tc>
        <w:tc>
          <w:tcPr>
            <w:tcW w:w="1381" w:type="dxa"/>
            <w:shd w:val="clear" w:color="auto" w:fill="auto"/>
            <w:vAlign w:val="center"/>
          </w:tcPr>
          <w:p>
            <w:pPr>
              <w:pStyle w:val="82"/>
              <w:snapToGrid/>
              <w:rPr>
                <w:rFonts w:hint="eastAsia" w:ascii="Arial" w:hAnsi="Arial" w:eastAsia="宋体" w:cs="Arial"/>
                <w:sz w:val="21"/>
                <w:szCs w:val="21"/>
                <w:lang w:val="en-US" w:eastAsia="zh-CN"/>
              </w:rPr>
            </w:pPr>
            <w:r>
              <w:rPr>
                <w:rFonts w:hint="eastAsia" w:ascii="Arial" w:hAnsi="Arial" w:cs="Arial"/>
                <w:sz w:val="21"/>
                <w:szCs w:val="21"/>
                <w:lang w:val="en-US" w:eastAsia="zh-CN"/>
              </w:rPr>
              <w:t>焊接</w:t>
            </w:r>
          </w:p>
        </w:tc>
        <w:tc>
          <w:tcPr>
            <w:tcW w:w="778" w:type="dxa"/>
            <w:shd w:val="clear" w:color="auto" w:fill="auto"/>
            <w:vAlign w:val="center"/>
          </w:tcPr>
          <w:p>
            <w:pPr>
              <w:pStyle w:val="82"/>
              <w:snapToGrid/>
              <w:rPr>
                <w:rFonts w:hint="default" w:ascii="Arial" w:hAnsi="Arial" w:cs="Arial"/>
                <w:sz w:val="21"/>
                <w:szCs w:val="21"/>
                <w:lang w:val="en-US" w:eastAsia="zh-CN"/>
              </w:rPr>
            </w:pPr>
            <w:r>
              <w:rPr>
                <w:rFonts w:hint="default" w:ascii="Arial" w:hAnsi="Arial" w:cs="Arial"/>
                <w:sz w:val="21"/>
                <w:szCs w:val="21"/>
                <w:lang w:val="en-US" w:eastAsia="zh-CN"/>
              </w:rPr>
              <w:t>一般固废</w:t>
            </w:r>
          </w:p>
        </w:tc>
        <w:tc>
          <w:tcPr>
            <w:tcW w:w="14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sz w:val="21"/>
                <w:szCs w:val="21"/>
                <w:lang w:val="en-US" w:eastAsia="zh-CN"/>
              </w:rPr>
            </w:pPr>
          </w:p>
        </w:tc>
        <w:tc>
          <w:tcPr>
            <w:tcW w:w="1230"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eastAsia="宋体" w:cs="Times New Roman"/>
                <w:bCs/>
                <w:lang w:val="en-US" w:bidi="zh-CN"/>
              </w:rPr>
            </w:pP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eastAsia="zh-CN"/>
              </w:rPr>
              <w:t>一致</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10</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rPr>
              <w:t>布袋除尘收集的粉尘</w:t>
            </w:r>
          </w:p>
        </w:tc>
        <w:tc>
          <w:tcPr>
            <w:tcW w:w="138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废气处理</w:t>
            </w:r>
          </w:p>
        </w:tc>
        <w:tc>
          <w:tcPr>
            <w:tcW w:w="778"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Times New Roman" w:hAnsi="Times New Roman" w:cs="Times New Roman"/>
                <w:color w:val="auto"/>
                <w:lang w:val="en-US" w:eastAsia="zh-CN"/>
              </w:rPr>
              <w:t>一般固废</w:t>
            </w:r>
          </w:p>
        </w:tc>
        <w:tc>
          <w:tcPr>
            <w:tcW w:w="14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p>
        </w:tc>
        <w:tc>
          <w:tcPr>
            <w:tcW w:w="1230"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不产生</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11</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含油废抹布等</w:t>
            </w:r>
          </w:p>
        </w:tc>
        <w:tc>
          <w:tcPr>
            <w:tcW w:w="138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设备检修</w:t>
            </w:r>
          </w:p>
        </w:tc>
        <w:tc>
          <w:tcPr>
            <w:tcW w:w="778"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46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eastAsiaTheme="minorEastAsia"/>
                <w:color w:val="auto"/>
                <w:kern w:val="2"/>
                <w:sz w:val="21"/>
                <w:szCs w:val="22"/>
                <w:lang w:val="en-US" w:eastAsia="zh-CN" w:bidi="ar-SA"/>
              </w:rPr>
            </w:pPr>
            <w:r>
              <w:rPr>
                <w:rFonts w:hint="eastAsia" w:ascii="Times New Roman" w:hAnsi="Times New Roman" w:eastAsia="宋体" w:cs="Times New Roman"/>
                <w:bCs/>
                <w:lang w:bidi="zh-CN"/>
              </w:rPr>
              <w:t>由当地环卫部门统一清运处理</w:t>
            </w:r>
          </w:p>
        </w:tc>
        <w:tc>
          <w:tcPr>
            <w:tcW w:w="1230" w:type="dxa"/>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color w:val="auto"/>
                <w:spacing w:val="0"/>
                <w:szCs w:val="21"/>
                <w:highlight w:val="none"/>
                <w:lang w:eastAsia="zh-CN"/>
              </w:rPr>
              <w:t>委托</w:t>
            </w:r>
            <w:r>
              <w:rPr>
                <w:rFonts w:hint="default" w:ascii="Times New Roman" w:hAnsi="Times New Roman" w:cs="Times New Roman"/>
                <w:color w:val="auto"/>
                <w:spacing w:val="0"/>
                <w:szCs w:val="21"/>
                <w:highlight w:val="none"/>
              </w:rPr>
              <w:t>环卫部门统一清运</w:t>
            </w:r>
            <w:r>
              <w:rPr>
                <w:rFonts w:hint="eastAsia" w:ascii="Times New Roman" w:hAnsi="Times New Roman" w:cs="Times New Roman"/>
                <w:color w:val="auto"/>
                <w:spacing w:val="0"/>
                <w:szCs w:val="21"/>
                <w:highlight w:val="none"/>
                <w:lang w:val="en-US" w:eastAsia="zh-CN"/>
              </w:rPr>
              <w:t>处理</w:t>
            </w: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eastAsia="zh-CN"/>
              </w:rPr>
              <w:t>一致</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1557"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ascii="Arial" w:hAnsi="Arial" w:cs="Arial"/>
                <w:sz w:val="21"/>
                <w:szCs w:val="21"/>
              </w:rPr>
              <w:t>生活垃圾</w:t>
            </w:r>
          </w:p>
        </w:tc>
        <w:tc>
          <w:tcPr>
            <w:tcW w:w="138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ascii="Arial" w:hAnsi="Arial" w:cs="Arial"/>
                <w:sz w:val="21"/>
                <w:szCs w:val="21"/>
              </w:rPr>
              <w:t>日常生活</w:t>
            </w:r>
          </w:p>
        </w:tc>
        <w:tc>
          <w:tcPr>
            <w:tcW w:w="778"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Times New Roman" w:hAnsi="Times New Roman" w:cs="Times New Roman"/>
                <w:color w:val="auto"/>
                <w:lang w:val="en-US" w:eastAsia="zh-CN"/>
              </w:rPr>
              <w:t>一般固废</w:t>
            </w:r>
          </w:p>
        </w:tc>
        <w:tc>
          <w:tcPr>
            <w:tcW w:w="14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eastAsiaTheme="minorEastAsia"/>
                <w:color w:val="auto"/>
                <w:kern w:val="2"/>
                <w:sz w:val="21"/>
                <w:szCs w:val="22"/>
                <w:lang w:val="en-US" w:eastAsia="zh-CN" w:bidi="ar-SA"/>
              </w:rPr>
            </w:pPr>
          </w:p>
        </w:tc>
        <w:tc>
          <w:tcPr>
            <w:tcW w:w="1230"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eastAsia="宋体" w:cs="Times New Roman"/>
                <w:color w:val="auto"/>
                <w:spacing w:val="0"/>
                <w:kern w:val="2"/>
                <w:sz w:val="21"/>
                <w:szCs w:val="21"/>
                <w:lang w:val="en-US" w:eastAsia="zh-CN" w:bidi="ar-SA"/>
              </w:rPr>
            </w:pPr>
          </w:p>
        </w:tc>
        <w:tc>
          <w:tcPr>
            <w:tcW w:w="850"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eastAsia="zh-CN"/>
              </w:rPr>
              <w:t>一致</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备注</w:t>
            </w:r>
          </w:p>
        </w:tc>
        <w:tc>
          <w:tcPr>
            <w:tcW w:w="7966"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both"/>
              <w:textAlignment w:val="auto"/>
              <w:rPr>
                <w:rFonts w:hint="default" w:ascii="Times New Roman" w:hAnsi="Times New Roman" w:cs="Times New Roman"/>
                <w:color w:val="auto"/>
                <w:spacing w:val="0"/>
                <w:szCs w:val="21"/>
                <w:highlight w:val="none"/>
                <w:lang w:val="en-US" w:eastAsia="zh-CN"/>
              </w:rPr>
            </w:pPr>
            <w:r>
              <w:rPr>
                <w:rFonts w:hint="eastAsia" w:ascii="Times New Roman" w:hAnsi="Times New Roman" w:cs="Times New Roman"/>
                <w:color w:val="auto"/>
                <w:spacing w:val="0"/>
                <w:szCs w:val="21"/>
                <w:highlight w:val="none"/>
                <w:lang w:val="en-US" w:eastAsia="zh-CN"/>
              </w:rPr>
              <w:t>企业不生产木衣架，故不产生木衣架项目相关的固废。</w:t>
            </w:r>
          </w:p>
        </w:tc>
      </w:tr>
      <w:bookmarkEnd w:id="40"/>
      <w:bookmarkEnd w:id="41"/>
    </w:tbl>
    <w:p>
      <w:pPr>
        <w:pStyle w:val="5"/>
        <w:rPr>
          <w:rFonts w:eastAsia="宋体"/>
        </w:rPr>
      </w:pPr>
      <w:bookmarkStart w:id="42" w:name="_Toc25400"/>
      <w:r>
        <w:rPr>
          <w:rFonts w:eastAsia="宋体"/>
        </w:rPr>
        <w:t>4.2其他环境保护设施</w:t>
      </w:r>
      <w:bookmarkEnd w:id="42"/>
    </w:p>
    <w:p>
      <w:pPr>
        <w:pStyle w:val="6"/>
      </w:pPr>
      <w:bookmarkStart w:id="43" w:name="_Toc17015"/>
      <w:r>
        <w:rPr>
          <w:rFonts w:hint="eastAsia"/>
        </w:rPr>
        <w:t>4.2.1环境风险防范设施</w:t>
      </w:r>
      <w:bookmarkEnd w:id="43"/>
    </w:p>
    <w:p>
      <w:pPr>
        <w:adjustRightInd w:val="0"/>
        <w:snapToGrid w:val="0"/>
        <w:spacing w:line="360" w:lineRule="auto"/>
        <w:ind w:firstLine="480" w:firstLineChars="200"/>
        <w:jc w:val="left"/>
        <w:rPr>
          <w:rFonts w:ascii="Times New Roman" w:hAnsi="Times New Roman"/>
          <w:sz w:val="24"/>
          <w:szCs w:val="24"/>
          <w:lang w:bidi="en-US"/>
        </w:rPr>
      </w:pPr>
      <w:r>
        <w:rPr>
          <w:rFonts w:hint="eastAsia" w:ascii="Times New Roman" w:hAnsi="Times New Roman"/>
          <w:sz w:val="24"/>
          <w:szCs w:val="24"/>
          <w:lang w:bidi="en-US"/>
        </w:rPr>
        <w:t>企业设立专门的环保管理机构和专职人员，建立</w:t>
      </w:r>
      <w:r>
        <w:rPr>
          <w:rFonts w:hint="eastAsia" w:ascii="Times New Roman" w:hAnsi="Times New Roman"/>
          <w:sz w:val="24"/>
          <w:szCs w:val="24"/>
          <w:lang w:val="en-US" w:eastAsia="zh-CN" w:bidi="en-US"/>
        </w:rPr>
        <w:t>了</w:t>
      </w:r>
      <w:r>
        <w:rPr>
          <w:rFonts w:hint="eastAsia" w:ascii="Times New Roman" w:hAnsi="Times New Roman"/>
          <w:sz w:val="24"/>
          <w:szCs w:val="24"/>
          <w:lang w:bidi="en-US"/>
        </w:rPr>
        <w:t>完善的制度体系，确保制度执行落到实处，并记录原辅材料类别、使用量、产品产量运行状况，建立废气治理绩效评估和核算档案。配备</w:t>
      </w:r>
      <w:r>
        <w:rPr>
          <w:rFonts w:hint="eastAsia" w:ascii="Times New Roman" w:hAnsi="Times New Roman"/>
          <w:sz w:val="24"/>
          <w:szCs w:val="24"/>
          <w:lang w:val="en-US" w:eastAsia="zh-CN" w:bidi="en-US"/>
        </w:rPr>
        <w:t>了</w:t>
      </w:r>
      <w:r>
        <w:rPr>
          <w:rFonts w:hint="eastAsia" w:ascii="Times New Roman" w:hAnsi="Times New Roman"/>
          <w:sz w:val="24"/>
          <w:szCs w:val="24"/>
          <w:lang w:bidi="en-US"/>
        </w:rPr>
        <w:t>专职人员按时巡查设施运行情况</w:t>
      </w:r>
      <w:r>
        <w:rPr>
          <w:rFonts w:hint="eastAsia" w:ascii="Times New Roman" w:hAnsi="Times New Roman"/>
          <w:sz w:val="24"/>
          <w:szCs w:val="24"/>
          <w:lang w:eastAsia="zh-CN" w:bidi="en-US"/>
        </w:rPr>
        <w:t>，组织专门人员每天多次进行周期性巡回检查，有跑冒滴漏或其他异常现象的应及时检修，必要时按照“生产服从安全”原则停车检修，严禁生产线带病生产</w:t>
      </w:r>
      <w:r>
        <w:rPr>
          <w:rFonts w:hint="eastAsia" w:ascii="Times New Roman" w:hAnsi="Times New Roman"/>
          <w:sz w:val="24"/>
          <w:szCs w:val="24"/>
          <w:lang w:bidi="en-US"/>
        </w:rPr>
        <w:t>。重视对无组织废气排放源，做到守职尽责，防患于未然。</w:t>
      </w:r>
    </w:p>
    <w:p>
      <w:pPr>
        <w:pStyle w:val="6"/>
      </w:pPr>
      <w:bookmarkStart w:id="44" w:name="_Toc790"/>
      <w:r>
        <w:rPr>
          <w:rFonts w:hint="eastAsia"/>
        </w:rPr>
        <w:t>4.2.2规范化排污口、监测设施及在线监测装置</w:t>
      </w:r>
      <w:bookmarkEnd w:id="44"/>
    </w:p>
    <w:p>
      <w:pPr>
        <w:snapToGrid w:val="0"/>
        <w:spacing w:line="360" w:lineRule="auto"/>
        <w:ind w:firstLine="480" w:firstLineChars="200"/>
        <w:rPr>
          <w:rFonts w:hint="default" w:ascii="Times New Roman" w:hAnsi="Times New Roman" w:cs="Times New Roman"/>
          <w:sz w:val="24"/>
          <w:szCs w:val="24"/>
          <w:lang w:bidi="en-US"/>
        </w:rPr>
      </w:pPr>
      <w:r>
        <w:rPr>
          <w:rFonts w:hint="default" w:ascii="Times New Roman" w:hAnsi="Times New Roman" w:cs="Times New Roman"/>
          <w:sz w:val="24"/>
          <w:szCs w:val="24"/>
          <w:lang w:bidi="en-US"/>
        </w:rPr>
        <w:t>根据要求，企业在噪声源、固废场所等场所按照《环境保护图形标志</w:t>
      </w:r>
      <w:r>
        <w:rPr>
          <w:rFonts w:hint="eastAsia" w:ascii="Times New Roman" w:hAnsi="Times New Roman" w:cs="Times New Roman"/>
          <w:sz w:val="24"/>
          <w:szCs w:val="24"/>
          <w:lang w:eastAsia="zh-CN" w:bidi="en-US"/>
        </w:rPr>
        <w:t>—</w:t>
      </w:r>
      <w:r>
        <w:rPr>
          <w:rFonts w:hint="default" w:ascii="Times New Roman" w:hAnsi="Times New Roman" w:cs="Times New Roman"/>
          <w:sz w:val="24"/>
          <w:szCs w:val="24"/>
          <w:lang w:bidi="en-US"/>
        </w:rPr>
        <w:t>排放口（源）》（GB</w:t>
      </w:r>
      <w:r>
        <w:rPr>
          <w:rFonts w:hint="eastAsia" w:ascii="Times New Roman" w:hAnsi="Times New Roman" w:cs="Times New Roman"/>
          <w:sz w:val="24"/>
          <w:szCs w:val="24"/>
          <w:lang w:val="en-US" w:eastAsia="zh-CN" w:bidi="en-US"/>
        </w:rPr>
        <w:t xml:space="preserve"> </w:t>
      </w:r>
      <w:r>
        <w:rPr>
          <w:rFonts w:hint="default" w:ascii="Times New Roman" w:hAnsi="Times New Roman" w:cs="Times New Roman"/>
          <w:sz w:val="24"/>
          <w:szCs w:val="24"/>
          <w:lang w:bidi="en-US"/>
        </w:rPr>
        <w:t xml:space="preserve">15562.1-1995）等规范的要求设置有图形标志。 </w:t>
      </w:r>
    </w:p>
    <w:p>
      <w:pPr>
        <w:widowControl/>
        <w:numPr>
          <w:ilvl w:val="0"/>
          <w:numId w:val="5"/>
        </w:numPr>
        <w:snapToGrid w:val="0"/>
        <w:spacing w:line="360" w:lineRule="auto"/>
        <w:ind w:left="0" w:firstLine="480" w:firstLineChars="200"/>
        <w:jc w:val="left"/>
        <w:rPr>
          <w:rFonts w:hint="default" w:ascii="Times New Roman" w:hAnsi="Times New Roman" w:cs="Times New Roman"/>
          <w:sz w:val="24"/>
          <w:szCs w:val="24"/>
          <w:lang w:bidi="en-US"/>
        </w:rPr>
      </w:pPr>
      <w:r>
        <w:rPr>
          <w:rFonts w:hint="default" w:ascii="Times New Roman" w:hAnsi="Times New Roman" w:cs="Times New Roman"/>
          <w:sz w:val="24"/>
          <w:szCs w:val="24"/>
          <w:lang w:bidi="en-US"/>
        </w:rPr>
        <w:t xml:space="preserve">规范化排污口 </w:t>
      </w:r>
    </w:p>
    <w:p>
      <w:pPr>
        <w:snapToGrid w:val="0"/>
        <w:spacing w:line="360" w:lineRule="auto"/>
        <w:ind w:firstLine="480" w:firstLineChars="200"/>
        <w:rPr>
          <w:rFonts w:hint="default" w:ascii="Times New Roman" w:hAnsi="Times New Roman" w:cs="Times New Roman"/>
          <w:sz w:val="24"/>
          <w:szCs w:val="24"/>
          <w:lang w:bidi="en-US"/>
        </w:rPr>
      </w:pPr>
      <w:r>
        <w:rPr>
          <w:rFonts w:hint="default" w:ascii="Times New Roman" w:hAnsi="Times New Roman" w:cs="Times New Roman"/>
          <w:sz w:val="24"/>
          <w:szCs w:val="24"/>
          <w:lang w:bidi="en-US"/>
        </w:rPr>
        <w:t>企业</w:t>
      </w:r>
      <w:r>
        <w:rPr>
          <w:rFonts w:hint="eastAsia" w:ascii="Times New Roman" w:hAnsi="Times New Roman" w:cs="Times New Roman"/>
          <w:sz w:val="24"/>
          <w:szCs w:val="24"/>
          <w:lang w:val="en-US" w:eastAsia="zh-CN" w:bidi="en-US"/>
        </w:rPr>
        <w:t>未</w:t>
      </w:r>
      <w:r>
        <w:rPr>
          <w:rFonts w:hint="default" w:ascii="Times New Roman" w:hAnsi="Times New Roman" w:cs="Times New Roman"/>
          <w:sz w:val="24"/>
          <w:szCs w:val="24"/>
          <w:lang w:bidi="en-US"/>
        </w:rPr>
        <w:t>设置规范化排污口。</w:t>
      </w:r>
    </w:p>
    <w:p>
      <w:pPr>
        <w:widowControl/>
        <w:numPr>
          <w:ilvl w:val="0"/>
          <w:numId w:val="5"/>
        </w:numPr>
        <w:snapToGrid w:val="0"/>
        <w:spacing w:line="360" w:lineRule="auto"/>
        <w:ind w:left="0" w:firstLine="480" w:firstLineChars="200"/>
        <w:jc w:val="left"/>
        <w:rPr>
          <w:rFonts w:hint="default" w:ascii="Times New Roman" w:hAnsi="Times New Roman" w:cs="Times New Roman"/>
          <w:sz w:val="24"/>
          <w:szCs w:val="24"/>
          <w:lang w:bidi="en-US"/>
        </w:rPr>
      </w:pPr>
      <w:r>
        <w:rPr>
          <w:rFonts w:hint="default" w:ascii="Times New Roman" w:hAnsi="Times New Roman" w:cs="Times New Roman"/>
          <w:sz w:val="24"/>
          <w:szCs w:val="24"/>
          <w:lang w:bidi="en-US"/>
        </w:rPr>
        <w:t xml:space="preserve">监测设施及在线监测装置设置 </w:t>
      </w:r>
    </w:p>
    <w:p>
      <w:pPr>
        <w:snapToGrid w:val="0"/>
        <w:spacing w:line="360" w:lineRule="auto"/>
        <w:ind w:firstLine="480" w:firstLineChars="200"/>
        <w:rPr>
          <w:rFonts w:ascii="Times New Roman" w:hAnsi="Times New Roman"/>
        </w:rPr>
      </w:pPr>
      <w:r>
        <w:rPr>
          <w:rFonts w:hint="default" w:ascii="Times New Roman" w:hAnsi="Times New Roman" w:cs="Times New Roman"/>
          <w:sz w:val="24"/>
          <w:szCs w:val="24"/>
          <w:lang w:bidi="en-US"/>
        </w:rPr>
        <w:t>环评报告及批复未要求在废水排放口设置监测设施及在线监测装</w:t>
      </w:r>
      <w:r>
        <w:rPr>
          <w:rFonts w:hint="eastAsia" w:ascii="Times New Roman" w:hAnsi="Times New Roman"/>
          <w:sz w:val="24"/>
          <w:szCs w:val="24"/>
          <w:lang w:bidi="en-US"/>
        </w:rPr>
        <w:t>置</w:t>
      </w:r>
      <w:r>
        <w:rPr>
          <w:rFonts w:ascii="Times New Roman" w:hAnsi="Times New Roman"/>
          <w:sz w:val="24"/>
          <w:szCs w:val="24"/>
          <w:lang w:bidi="en-US"/>
        </w:rPr>
        <w:t xml:space="preserve">。 </w:t>
      </w:r>
    </w:p>
    <w:p>
      <w:pPr>
        <w:pStyle w:val="6"/>
      </w:pPr>
      <w:bookmarkStart w:id="45" w:name="_Toc4367"/>
      <w:r>
        <w:rPr>
          <w:rFonts w:hint="eastAsia"/>
        </w:rPr>
        <w:t>4.2.3其他设施</w:t>
      </w:r>
      <w:bookmarkEnd w:id="45"/>
    </w:p>
    <w:p>
      <w:pPr>
        <w:adjustRightInd w:val="0"/>
        <w:snapToGrid w:val="0"/>
        <w:spacing w:line="360" w:lineRule="auto"/>
        <w:ind w:firstLine="480" w:firstLineChars="200"/>
        <w:rPr>
          <w:rFonts w:ascii="Times New Roman" w:hAnsi="Times New Roman"/>
          <w:sz w:val="24"/>
          <w:szCs w:val="24"/>
          <w:lang w:bidi="en-US"/>
        </w:rPr>
      </w:pPr>
      <w:r>
        <w:rPr>
          <w:rFonts w:hint="eastAsia" w:ascii="Times New Roman" w:hAnsi="Times New Roman"/>
          <w:sz w:val="24"/>
          <w:szCs w:val="24"/>
          <w:lang w:bidi="en-US"/>
        </w:rPr>
        <w:t>本项目不涉及“以新带老”改造工程、关停或拆除现有工程（旧机组或装置）、淘汰落后生产装置。</w:t>
      </w:r>
    </w:p>
    <w:p>
      <w:pPr>
        <w:pStyle w:val="5"/>
        <w:rPr>
          <w:rFonts w:eastAsia="宋体"/>
        </w:rPr>
      </w:pPr>
      <w:bookmarkStart w:id="46" w:name="_Toc30418"/>
      <w:r>
        <w:rPr>
          <w:rFonts w:eastAsia="宋体"/>
        </w:rPr>
        <w:t>4.3环保设施投资及“三同时”落实情况</w:t>
      </w:r>
      <w:bookmarkEnd w:id="46"/>
    </w:p>
    <w:p>
      <w:pPr>
        <w:pStyle w:val="6"/>
        <w:spacing w:before="120" w:after="120"/>
        <w:rPr>
          <w:rFonts w:eastAsia="宋体" w:cs="Times New Roman"/>
          <w:sz w:val="24"/>
          <w:szCs w:val="24"/>
        </w:rPr>
      </w:pPr>
      <w:bookmarkStart w:id="47" w:name="_Toc22768"/>
      <w:r>
        <w:t>4.</w:t>
      </w:r>
      <w:r>
        <w:rPr>
          <w:rFonts w:hint="eastAsia"/>
        </w:rPr>
        <w:t>3</w:t>
      </w:r>
      <w:r>
        <w:t>.</w:t>
      </w:r>
      <w:r>
        <w:rPr>
          <w:rFonts w:hint="eastAsia"/>
        </w:rPr>
        <w:t>1</w:t>
      </w:r>
      <w:r>
        <w:t xml:space="preserve"> </w:t>
      </w:r>
      <w:r>
        <w:rPr>
          <w:rFonts w:hint="eastAsia"/>
        </w:rPr>
        <w:t>环保设施投资</w:t>
      </w:r>
      <w:bookmarkEnd w:id="47"/>
    </w:p>
    <w:p>
      <w:pPr>
        <w:adjustRightInd w:val="0"/>
        <w:snapToGrid w:val="0"/>
        <w:spacing w:line="360" w:lineRule="auto"/>
        <w:ind w:firstLine="480" w:firstLineChars="200"/>
        <w:rPr>
          <w:rFonts w:ascii="Times New Roman" w:hAnsi="Times New Roman"/>
          <w:color w:val="000000" w:themeColor="text1"/>
          <w:sz w:val="24"/>
          <w:szCs w:val="24"/>
          <w:lang w:bidi="en-US"/>
          <w14:textFill>
            <w14:solidFill>
              <w14:schemeClr w14:val="tx1"/>
            </w14:solidFill>
          </w14:textFill>
        </w:rPr>
      </w:pPr>
      <w:r>
        <w:rPr>
          <w:rFonts w:ascii="Times New Roman" w:hAnsi="Times New Roman"/>
          <w:color w:val="000000" w:themeColor="text1"/>
          <w:sz w:val="24"/>
          <w:szCs w:val="24"/>
          <w:lang w:bidi="en-US"/>
          <w14:textFill>
            <w14:solidFill>
              <w14:schemeClr w14:val="tx1"/>
            </w14:solidFill>
          </w14:textFill>
        </w:rPr>
        <w:t>在生产过程中产生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三废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经采取措施有效处理后，在正常生产的情况下，各种污染物排放可满足相应的排放标准。项目防治污染与项目的主体工程同时设计、同时施工、同时投产使用，具体投资情况如下：</w:t>
      </w:r>
    </w:p>
    <w:p>
      <w:pPr>
        <w:ind w:left="-15" w:right="120" w:firstLine="48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 4.3-1项目环保</w:t>
      </w:r>
      <w:r>
        <w:rPr>
          <w:rFonts w:hint="eastAsia" w:ascii="Times New Roman" w:hAnsi="Times New Roman"/>
          <w:b/>
          <w:color w:val="000000" w:themeColor="text1"/>
          <w14:textFill>
            <w14:solidFill>
              <w14:schemeClr w14:val="tx1"/>
            </w14:solidFill>
          </w14:textFill>
        </w:rPr>
        <w:t>设施实际</w:t>
      </w:r>
      <w:r>
        <w:rPr>
          <w:rFonts w:ascii="Times New Roman" w:hAnsi="Times New Roman"/>
          <w:b/>
          <w:color w:val="000000" w:themeColor="text1"/>
          <w14:textFill>
            <w14:solidFill>
              <w14:schemeClr w14:val="tx1"/>
            </w14:solidFill>
          </w14:textFill>
        </w:rPr>
        <w:t>投资估算</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7" w:type="dxa"/>
          <w:left w:w="108" w:type="dxa"/>
          <w:bottom w:w="0" w:type="dxa"/>
          <w:right w:w="58" w:type="dxa"/>
        </w:tblCellMar>
      </w:tblPr>
      <w:tblGrid>
        <w:gridCol w:w="743"/>
        <w:gridCol w:w="715"/>
        <w:gridCol w:w="5613"/>
        <w:gridCol w:w="13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jc w:val="center"/>
              <w:rPr>
                <w:rFonts w:hint="eastAsia" w:asciiTheme="minorEastAsia" w:hAnsiTheme="minorEastAsia"/>
                <w:b/>
                <w:bCs/>
                <w:lang w:val="en-US" w:eastAsia="zh-CN"/>
              </w:rPr>
            </w:pPr>
            <w:r>
              <w:rPr>
                <w:rFonts w:hint="eastAsia" w:asciiTheme="minorEastAsia" w:hAnsiTheme="minorEastAsia"/>
                <w:b/>
                <w:bCs/>
                <w:lang w:val="en-US" w:eastAsia="zh-CN"/>
              </w:rPr>
              <w:t>序号</w:t>
            </w:r>
          </w:p>
        </w:tc>
        <w:tc>
          <w:tcPr>
            <w:tcW w:w="6328" w:type="dxa"/>
            <w:gridSpan w:val="2"/>
            <w:shd w:val="clear" w:color="auto" w:fill="auto"/>
            <w:vAlign w:val="center"/>
          </w:tcPr>
          <w:p>
            <w:pPr>
              <w:ind w:right="51"/>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设施名称</w:t>
            </w:r>
          </w:p>
        </w:tc>
        <w:tc>
          <w:tcPr>
            <w:tcW w:w="1395" w:type="dxa"/>
            <w:shd w:val="clear" w:color="auto" w:fill="auto"/>
            <w:vAlign w:val="center"/>
          </w:tcPr>
          <w:p>
            <w:pPr>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金额（万元）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715" w:type="dxa"/>
            <w:shd w:val="clear" w:color="auto" w:fill="auto"/>
            <w:vAlign w:val="center"/>
          </w:tcPr>
          <w:p>
            <w:pPr>
              <w:jc w:val="center"/>
              <w:rPr>
                <w:rFonts w:ascii="Times New Roman" w:hAnsi="Times New Roman" w:cs="Times New Roman"/>
                <w:color w:val="000000" w:themeColor="text1"/>
                <w14:textFill>
                  <w14:solidFill>
                    <w14:schemeClr w14:val="tx1"/>
                  </w14:solidFill>
                </w14:textFill>
              </w:rPr>
            </w:pPr>
            <w:r>
              <w:rPr>
                <w:rFonts w:hint="eastAsia"/>
              </w:rPr>
              <w:t>废气</w:t>
            </w:r>
          </w:p>
        </w:tc>
        <w:tc>
          <w:tcPr>
            <w:tcW w:w="5613" w:type="dxa"/>
            <w:shd w:val="clear" w:color="auto" w:fill="auto"/>
            <w:vAlign w:val="center"/>
          </w:tcPr>
          <w:p>
            <w:pPr>
              <w:jc w:val="center"/>
              <w:rPr>
                <w:rFonts w:hint="default" w:ascii="Arial" w:hAnsi="Arial" w:cs="Arial" w:eastAsiaTheme="minorEastAsia"/>
                <w:kern w:val="0"/>
                <w:sz w:val="21"/>
                <w:szCs w:val="21"/>
                <w:lang w:val="en-US" w:eastAsia="zh-CN" w:bidi="ar-SA"/>
              </w:rPr>
            </w:pPr>
            <w:r>
              <w:rPr>
                <w:rFonts w:hint="eastAsia" w:ascii="Arial" w:hAnsi="Arial" w:cs="Arial"/>
                <w:kern w:val="0"/>
                <w:szCs w:val="21"/>
                <w:lang w:val="en-US" w:eastAsia="zh-CN"/>
              </w:rPr>
              <w:t>浸塑、固化废气处理设施及配套收集管道</w:t>
            </w:r>
          </w:p>
        </w:tc>
        <w:tc>
          <w:tcPr>
            <w:tcW w:w="1395" w:type="dxa"/>
            <w:shd w:val="clear" w:color="auto" w:fill="auto"/>
            <w:vAlign w:val="center"/>
          </w:tcPr>
          <w:p>
            <w:pPr>
              <w:ind w:right="56"/>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715" w:type="dxa"/>
            <w:shd w:val="clear" w:color="auto" w:fill="auto"/>
            <w:vAlign w:val="center"/>
          </w:tcPr>
          <w:p>
            <w:pPr>
              <w:jc w:val="center"/>
              <w:rPr>
                <w:rFonts w:hint="eastAsia"/>
              </w:rPr>
            </w:pPr>
            <w:r>
              <w:rPr>
                <w:rFonts w:hint="eastAsia"/>
              </w:rPr>
              <w:t>废水</w:t>
            </w:r>
          </w:p>
        </w:tc>
        <w:tc>
          <w:tcPr>
            <w:tcW w:w="5613" w:type="dxa"/>
            <w:shd w:val="clear" w:color="auto" w:fill="auto"/>
            <w:vAlign w:val="center"/>
          </w:tcPr>
          <w:p>
            <w:pPr>
              <w:jc w:val="center"/>
              <w:rPr>
                <w:rFonts w:hint="default" w:ascii="Arial" w:hAnsi="Arial" w:cs="Arial" w:eastAsiaTheme="minorEastAsia"/>
                <w:kern w:val="0"/>
                <w:sz w:val="21"/>
                <w:szCs w:val="21"/>
                <w:lang w:val="en-US" w:eastAsia="zh-CN" w:bidi="ar-SA"/>
              </w:rPr>
            </w:pPr>
            <w:r>
              <w:rPr>
                <w:rFonts w:hint="eastAsia" w:ascii="Arial" w:hAnsi="Arial" w:cs="Arial"/>
                <w:kern w:val="0"/>
                <w:szCs w:val="21"/>
                <w:lang w:val="en-US" w:eastAsia="zh-CN"/>
              </w:rPr>
              <w:t>化粪池</w:t>
            </w:r>
            <w:r>
              <w:rPr>
                <w:rFonts w:hint="eastAsia" w:ascii="Arial" w:hAnsi="Arial" w:cs="Arial"/>
                <w:kern w:val="0"/>
                <w:szCs w:val="21"/>
              </w:rPr>
              <w:t>，依托</w:t>
            </w:r>
            <w:r>
              <w:rPr>
                <w:rFonts w:hint="eastAsia" w:ascii="Arial" w:hAnsi="Arial" w:cs="Arial"/>
                <w:kern w:val="0"/>
                <w:szCs w:val="21"/>
                <w:lang w:val="en-US" w:eastAsia="zh-CN"/>
              </w:rPr>
              <w:t>厂区现有</w:t>
            </w:r>
          </w:p>
        </w:tc>
        <w:tc>
          <w:tcPr>
            <w:tcW w:w="1395" w:type="dxa"/>
            <w:shd w:val="clear" w:color="auto" w:fill="auto"/>
            <w:vAlign w:val="center"/>
          </w:tcPr>
          <w:p>
            <w:pPr>
              <w:ind w:right="56"/>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p>
        </w:tc>
        <w:tc>
          <w:tcPr>
            <w:tcW w:w="715" w:type="dxa"/>
            <w:shd w:val="clear" w:color="auto" w:fill="auto"/>
            <w:vAlign w:val="center"/>
          </w:tcPr>
          <w:p>
            <w:pPr>
              <w:jc w:val="center"/>
              <w:rPr>
                <w:rFonts w:ascii="Times New Roman" w:hAnsi="Times New Roman" w:cs="Times New Roman"/>
                <w:color w:val="000000" w:themeColor="text1"/>
                <w14:textFill>
                  <w14:solidFill>
                    <w14:schemeClr w14:val="tx1"/>
                  </w14:solidFill>
                </w14:textFill>
              </w:rPr>
            </w:pPr>
            <w:r>
              <w:rPr>
                <w:rFonts w:hint="eastAsia"/>
              </w:rPr>
              <w:t>噪声</w:t>
            </w:r>
          </w:p>
        </w:tc>
        <w:tc>
          <w:tcPr>
            <w:tcW w:w="5613" w:type="dxa"/>
            <w:shd w:val="clear" w:color="auto" w:fill="auto"/>
            <w:vAlign w:val="center"/>
          </w:tcPr>
          <w:p>
            <w:pPr>
              <w:jc w:val="center"/>
              <w:rPr>
                <w:rFonts w:hint="default" w:ascii="Arial" w:hAnsi="Arial" w:cs="Arial" w:eastAsiaTheme="minorEastAsia"/>
                <w:kern w:val="0"/>
                <w:sz w:val="21"/>
                <w:szCs w:val="21"/>
                <w:lang w:val="en-US" w:eastAsia="zh-CN" w:bidi="ar-SA"/>
              </w:rPr>
            </w:pPr>
            <w:r>
              <w:rPr>
                <w:rFonts w:ascii="Arial" w:hAnsi="Arial" w:cs="Arial"/>
                <w:kern w:val="0"/>
                <w:szCs w:val="21"/>
              </w:rPr>
              <w:t>振动噪声设备安装减震垫；加强设备维护工作等</w:t>
            </w:r>
          </w:p>
        </w:tc>
        <w:tc>
          <w:tcPr>
            <w:tcW w:w="1395" w:type="dxa"/>
            <w:shd w:val="clear" w:color="auto" w:fill="auto"/>
            <w:vAlign w:val="center"/>
          </w:tcPr>
          <w:p>
            <w:pPr>
              <w:ind w:right="56"/>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rightChars="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lang w:val="en-US" w:eastAsia="zh-CN"/>
              </w:rPr>
              <w:t>4</w:t>
            </w:r>
          </w:p>
        </w:tc>
        <w:tc>
          <w:tcPr>
            <w:tcW w:w="715" w:type="dxa"/>
            <w:shd w:val="clear" w:color="auto" w:fill="auto"/>
            <w:vAlign w:val="center"/>
          </w:tcPr>
          <w:p>
            <w:pPr>
              <w:ind w:right="56"/>
              <w:jc w:val="center"/>
              <w:rPr>
                <w:rFonts w:ascii="Times New Roman" w:hAnsi="Times New Roman" w:eastAsia="Times New Roman" w:cs="Times New Roman"/>
                <w:color w:val="000000" w:themeColor="text1"/>
                <w14:textFill>
                  <w14:solidFill>
                    <w14:schemeClr w14:val="tx1"/>
                  </w14:solidFill>
                </w14:textFill>
              </w:rPr>
            </w:pPr>
            <w:r>
              <w:rPr>
                <w:rFonts w:hint="eastAsia"/>
              </w:rPr>
              <w:t>固体废物</w:t>
            </w:r>
          </w:p>
        </w:tc>
        <w:tc>
          <w:tcPr>
            <w:tcW w:w="5613" w:type="dxa"/>
            <w:shd w:val="clear" w:color="auto" w:fill="auto"/>
            <w:vAlign w:val="center"/>
          </w:tcPr>
          <w:p>
            <w:pPr>
              <w:jc w:val="center"/>
              <w:rPr>
                <w:rFonts w:hint="default" w:ascii="Arial" w:hAnsi="Arial" w:cs="Arial" w:eastAsiaTheme="minorEastAsia"/>
                <w:kern w:val="0"/>
                <w:sz w:val="21"/>
                <w:szCs w:val="21"/>
                <w:lang w:val="en-US" w:eastAsia="zh-CN" w:bidi="ar-SA"/>
              </w:rPr>
            </w:pPr>
            <w:r>
              <w:rPr>
                <w:rFonts w:ascii="Arial" w:hAnsi="Arial" w:cs="Arial"/>
                <w:kern w:val="0"/>
                <w:szCs w:val="21"/>
              </w:rPr>
              <w:t>建设规范化固废暂存库</w:t>
            </w:r>
            <w:r>
              <w:rPr>
                <w:rFonts w:hint="eastAsia" w:ascii="Arial" w:hAnsi="Arial" w:cs="Arial"/>
                <w:kern w:val="0"/>
                <w:szCs w:val="21"/>
              </w:rPr>
              <w:t>、委托处置</w:t>
            </w:r>
            <w:r>
              <w:rPr>
                <w:rFonts w:ascii="Arial" w:hAnsi="Arial" w:cs="Arial"/>
                <w:kern w:val="0"/>
                <w:szCs w:val="21"/>
              </w:rPr>
              <w:t>等</w:t>
            </w:r>
          </w:p>
        </w:tc>
        <w:tc>
          <w:tcPr>
            <w:tcW w:w="1395" w:type="dxa"/>
            <w:shd w:val="clear" w:color="auto" w:fill="auto"/>
            <w:vAlign w:val="center"/>
          </w:tcPr>
          <w:p>
            <w:pPr>
              <w:ind w:right="56"/>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rightChars="0"/>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lang w:val="en-US" w:eastAsia="zh-CN"/>
              </w:rPr>
              <w:t>5</w:t>
            </w:r>
          </w:p>
        </w:tc>
        <w:tc>
          <w:tcPr>
            <w:tcW w:w="6328" w:type="dxa"/>
            <w:gridSpan w:val="2"/>
            <w:shd w:val="clear" w:color="auto" w:fill="auto"/>
            <w:vAlign w:val="center"/>
          </w:tcPr>
          <w:p>
            <w:pPr>
              <w:ind w:right="56"/>
              <w:jc w:val="center"/>
              <w:rPr>
                <w:rFonts w:ascii="Times New Roman" w:hAnsi="Times New Roman" w:cs="Times New Roman"/>
                <w:color w:val="auto"/>
              </w:rPr>
            </w:pPr>
            <w:r>
              <w:rPr>
                <w:rFonts w:ascii="Times New Roman" w:hAnsi="Times New Roman" w:cs="Times New Roman"/>
                <w:color w:val="auto"/>
              </w:rPr>
              <w:t>合计</w:t>
            </w:r>
          </w:p>
        </w:tc>
        <w:tc>
          <w:tcPr>
            <w:tcW w:w="1395" w:type="dxa"/>
            <w:shd w:val="clear" w:color="auto" w:fill="auto"/>
            <w:vAlign w:val="center"/>
          </w:tcPr>
          <w:p>
            <w:pPr>
              <w:ind w:right="56"/>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8466" w:type="dxa"/>
            <w:gridSpan w:val="4"/>
            <w:shd w:val="clear" w:color="auto" w:fill="auto"/>
            <w:vAlign w:val="center"/>
          </w:tcPr>
          <w:p>
            <w:pPr>
              <w:ind w:right="56"/>
              <w:jc w:val="left"/>
              <w:rPr>
                <w:rFonts w:ascii="Times New Roman" w:hAnsi="Times New Roman" w:cs="Times New Roman"/>
                <w:color w:val="auto"/>
                <w:szCs w:val="21"/>
              </w:rPr>
            </w:pPr>
            <w:r>
              <w:rPr>
                <w:rFonts w:hint="eastAsia" w:ascii="Times New Roman" w:hAnsi="Times New Roman" w:cs="Times New Roman"/>
                <w:color w:val="auto"/>
                <w:szCs w:val="21"/>
                <w:lang w:val="en-US" w:eastAsia="zh-CN" w:bidi="en-US"/>
              </w:rPr>
              <w:t>1、</w:t>
            </w:r>
            <w:r>
              <w:rPr>
                <w:rFonts w:ascii="Times New Roman" w:hAnsi="Times New Roman" w:cs="Times New Roman"/>
                <w:color w:val="auto"/>
                <w:szCs w:val="21"/>
                <w:highlight w:val="none"/>
                <w:lang w:bidi="en-US"/>
              </w:rPr>
              <w:t>本项目实际总投资</w:t>
            </w:r>
            <w:r>
              <w:rPr>
                <w:rFonts w:hint="eastAsia" w:ascii="Times New Roman" w:hAnsi="Times New Roman" w:cs="Times New Roman"/>
                <w:color w:val="auto"/>
                <w:szCs w:val="21"/>
                <w:highlight w:val="none"/>
                <w:lang w:val="en-US" w:eastAsia="zh-CN" w:bidi="en-US"/>
              </w:rPr>
              <w:t>450万</w:t>
            </w:r>
            <w:r>
              <w:rPr>
                <w:rFonts w:ascii="Times New Roman" w:hAnsi="Times New Roman" w:cs="Times New Roman"/>
                <w:color w:val="auto"/>
                <w:szCs w:val="21"/>
                <w:highlight w:val="none"/>
                <w:lang w:bidi="en-US"/>
              </w:rPr>
              <w:t>元，环保实际投资</w:t>
            </w:r>
            <w:r>
              <w:rPr>
                <w:rFonts w:hint="eastAsia" w:ascii="Times New Roman" w:hAnsi="Times New Roman" w:cs="Times New Roman"/>
                <w:color w:val="auto"/>
                <w:szCs w:val="21"/>
                <w:highlight w:val="none"/>
                <w:lang w:val="en-US" w:eastAsia="zh-CN" w:bidi="en-US"/>
              </w:rPr>
              <w:t>23</w:t>
            </w:r>
            <w:r>
              <w:rPr>
                <w:rFonts w:ascii="Times New Roman" w:hAnsi="Times New Roman" w:cs="Times New Roman"/>
                <w:color w:val="auto"/>
                <w:szCs w:val="21"/>
                <w:highlight w:val="none"/>
                <w:lang w:bidi="en-US"/>
              </w:rPr>
              <w:t>万元，占总投资</w:t>
            </w:r>
            <w:r>
              <w:rPr>
                <w:rFonts w:hint="eastAsia" w:ascii="Times New Roman" w:hAnsi="Times New Roman" w:cs="Times New Roman"/>
                <w:color w:val="auto"/>
                <w:szCs w:val="21"/>
                <w:highlight w:val="none"/>
                <w:lang w:val="en-US" w:eastAsia="zh-CN" w:bidi="en-US"/>
              </w:rPr>
              <w:t>5.11%</w:t>
            </w:r>
            <w:r>
              <w:rPr>
                <w:rFonts w:ascii="Times New Roman" w:hAnsi="Times New Roman" w:cs="Times New Roman"/>
                <w:color w:val="auto"/>
                <w:szCs w:val="21"/>
                <w:highlight w:val="none"/>
                <w:lang w:bidi="en-US"/>
              </w:rPr>
              <w:t>。</w:t>
            </w:r>
          </w:p>
        </w:tc>
      </w:tr>
    </w:tbl>
    <w:p>
      <w:pPr>
        <w:snapToGrid w:val="0"/>
        <w:spacing w:line="360" w:lineRule="auto"/>
        <w:ind w:firstLine="480"/>
        <w:rPr>
          <w:rFonts w:ascii="Times New Roman" w:hAnsi="Times New Roman"/>
          <w:color w:val="000000" w:themeColor="text1"/>
          <w:sz w:val="24"/>
          <w:szCs w:val="24"/>
          <w:lang w:bidi="en-US"/>
          <w14:textFill>
            <w14:solidFill>
              <w14:schemeClr w14:val="tx1"/>
            </w14:solidFill>
          </w14:textFill>
        </w:rPr>
      </w:pPr>
      <w:r>
        <w:rPr>
          <w:rFonts w:ascii="Times New Roman" w:hAnsi="Times New Roman"/>
          <w:color w:val="000000" w:themeColor="text1"/>
          <w:sz w:val="24"/>
          <w:szCs w:val="24"/>
          <w:lang w:bidi="en-US"/>
          <w14:textFill>
            <w14:solidFill>
              <w14:schemeClr w14:val="tx1"/>
            </w14:solidFill>
          </w14:textFill>
        </w:rPr>
        <w:t>从上表可以看出：环保治理措施具有较好的针对性，抓住了本项目污染治理的重点，同时，注重固废的处理，落到实处并有资金保证。</w:t>
      </w:r>
      <w:r>
        <w:rPr>
          <w:rFonts w:hint="eastAsia" w:ascii="Times New Roman" w:hAnsi="Times New Roman"/>
          <w:color w:val="000000" w:themeColor="text1"/>
          <w:sz w:val="24"/>
          <w:szCs w:val="24"/>
          <w:lang w:bidi="en-US"/>
          <w14:textFill>
            <w14:solidFill>
              <w14:schemeClr w14:val="tx1"/>
            </w14:solidFill>
          </w14:textFill>
        </w:rPr>
        <w:t>企业</w:t>
      </w:r>
      <w:r>
        <w:rPr>
          <w:rFonts w:ascii="Times New Roman" w:hAnsi="Times New Roman"/>
          <w:color w:val="000000" w:themeColor="text1"/>
          <w:sz w:val="24"/>
          <w:szCs w:val="24"/>
          <w:lang w:bidi="en-US"/>
          <w14:textFill>
            <w14:solidFill>
              <w14:schemeClr w14:val="tx1"/>
            </w14:solidFill>
          </w14:textFill>
        </w:rPr>
        <w:t>建立</w:t>
      </w:r>
      <w:r>
        <w:rPr>
          <w:rFonts w:hint="eastAsia" w:ascii="Times New Roman" w:hAnsi="Times New Roman"/>
          <w:color w:val="000000" w:themeColor="text1"/>
          <w:sz w:val="24"/>
          <w:szCs w:val="24"/>
          <w:lang w:bidi="en-US"/>
          <w14:textFill>
            <w14:solidFill>
              <w14:schemeClr w14:val="tx1"/>
            </w14:solidFill>
          </w14:textFill>
        </w:rPr>
        <w:t>了</w:t>
      </w:r>
      <w:r>
        <w:rPr>
          <w:rFonts w:ascii="Times New Roman" w:hAnsi="Times New Roman"/>
          <w:color w:val="000000" w:themeColor="text1"/>
          <w:sz w:val="24"/>
          <w:szCs w:val="24"/>
          <w:lang w:bidi="en-US"/>
          <w14:textFill>
            <w14:solidFill>
              <w14:schemeClr w14:val="tx1"/>
            </w14:solidFill>
          </w14:textFill>
        </w:rPr>
        <w:t>较为完善的污染控制设施，有效地控制废气、废水的排放和避免噪声等对环境的污染，可使本项目在产生经济效益的同时有效保护周围环境。</w:t>
      </w:r>
    </w:p>
    <w:p>
      <w:pPr>
        <w:pStyle w:val="6"/>
        <w:spacing w:before="120" w:after="120"/>
        <w:rPr>
          <w:rFonts w:eastAsia="宋体" w:cs="Times New Roman"/>
          <w:sz w:val="24"/>
          <w:szCs w:val="24"/>
        </w:rPr>
      </w:pPr>
      <w:bookmarkStart w:id="48" w:name="_Toc522281271"/>
      <w:bookmarkStart w:id="49" w:name="_Toc520725490"/>
      <w:bookmarkStart w:id="50" w:name="_Toc28948"/>
      <w:r>
        <w:t>4.</w:t>
      </w:r>
      <w:r>
        <w:rPr>
          <w:rFonts w:hint="eastAsia"/>
        </w:rPr>
        <w:t>3</w:t>
      </w:r>
      <w:r>
        <w:t xml:space="preserve">.2 </w:t>
      </w:r>
      <w:r>
        <w:rPr>
          <w:rFonts w:hint="eastAsia"/>
        </w:rPr>
        <w:t>“三同时”落实情况</w:t>
      </w:r>
      <w:bookmarkEnd w:id="48"/>
      <w:bookmarkEnd w:id="49"/>
      <w:bookmarkEnd w:id="50"/>
    </w:p>
    <w:p>
      <w:pPr>
        <w:spacing w:line="360" w:lineRule="auto"/>
        <w:ind w:firstLine="482"/>
        <w:rPr>
          <w:rFonts w:ascii="Times New Roman" w:hAnsi="Times New Roman"/>
          <w:sz w:val="24"/>
        </w:rPr>
      </w:pPr>
      <w:r>
        <w:rPr>
          <w:rFonts w:hint="eastAsia" w:ascii="Times New Roman" w:hAnsi="Times New Roman"/>
          <w:sz w:val="24"/>
          <w:szCs w:val="24"/>
          <w:lang w:eastAsia="zh-CN" w:bidi="en-US"/>
        </w:rPr>
        <w:t>浦江金理衣架有限公司</w:t>
      </w:r>
      <w:r>
        <w:rPr>
          <w:rFonts w:hint="eastAsia" w:ascii="Times New Roman" w:hAnsi="Times New Roman"/>
          <w:sz w:val="24"/>
        </w:rPr>
        <w:t>根据《中华人民共和国环境保护法》和《建设项目环境保护管理条例》的规定进行了环境影响评价，环保审批手续齐全，落实了环境影响评价及环保主管部门的要求和规定，做到环保设施与主体工程同时设计、同时施工、同时投产。</w:t>
      </w:r>
    </w:p>
    <w:p>
      <w:pPr>
        <w:spacing w:line="360" w:lineRule="auto"/>
        <w:ind w:firstLine="482"/>
        <w:rPr>
          <w:rFonts w:ascii="Times New Roman" w:hAnsi="Times New Roman"/>
          <w:sz w:val="24"/>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rPr>
          <w:color w:val="000000" w:themeColor="text1"/>
          <w14:textFill>
            <w14:solidFill>
              <w14:schemeClr w14:val="tx1"/>
            </w14:solidFill>
          </w14:textFill>
        </w:rPr>
      </w:pPr>
      <w:bookmarkStart w:id="51" w:name="_Toc17186"/>
      <w:r>
        <w:rPr>
          <w:rFonts w:hint="eastAsia"/>
          <w:color w:val="000000" w:themeColor="text1"/>
          <w14:textFill>
            <w14:solidFill>
              <w14:schemeClr w14:val="tx1"/>
            </w14:solidFill>
          </w14:textFill>
        </w:rPr>
        <w:t>5建设项目</w:t>
      </w:r>
      <w:r>
        <w:rPr>
          <w:rFonts w:hint="eastAsia"/>
          <w:color w:val="000000" w:themeColor="text1"/>
          <w:lang w:eastAsia="zh-CN"/>
          <w14:textFill>
            <w14:solidFill>
              <w14:schemeClr w14:val="tx1"/>
            </w14:solidFill>
          </w14:textFill>
        </w:rPr>
        <w:t>环评报告</w:t>
      </w:r>
      <w:r>
        <w:rPr>
          <w:rFonts w:hint="eastAsia"/>
          <w:color w:val="000000" w:themeColor="text1"/>
          <w14:textFill>
            <w14:solidFill>
              <w14:schemeClr w14:val="tx1"/>
            </w14:solidFill>
          </w14:textFill>
        </w:rPr>
        <w:t>的主要结论与建议及其审批部门审批决定</w:t>
      </w:r>
      <w:bookmarkEnd w:id="51"/>
    </w:p>
    <w:p>
      <w:pPr>
        <w:pStyle w:val="5"/>
        <w:rPr>
          <w:rFonts w:eastAsia="宋体"/>
        </w:rPr>
      </w:pPr>
      <w:bookmarkStart w:id="52" w:name="_Toc15290"/>
      <w:r>
        <w:rPr>
          <w:rFonts w:eastAsia="宋体"/>
        </w:rPr>
        <w:t>5.1建设项目</w:t>
      </w:r>
      <w:r>
        <w:rPr>
          <w:rFonts w:hint="eastAsia" w:eastAsia="宋体"/>
          <w:lang w:eastAsia="zh-CN"/>
        </w:rPr>
        <w:t>环评报告</w:t>
      </w:r>
      <w:r>
        <w:rPr>
          <w:rFonts w:eastAsia="宋体"/>
        </w:rPr>
        <w:t>的主要结论与建议</w:t>
      </w:r>
      <w:bookmarkEnd w:id="52"/>
    </w:p>
    <w:p>
      <w:pPr>
        <w:spacing w:line="360" w:lineRule="auto"/>
        <w:ind w:firstLine="482" w:firstLineChars="200"/>
        <w:rPr>
          <w:rFonts w:ascii="Times New Roman" w:hAnsi="Times New Roman" w:eastAsia="宋体"/>
          <w:b/>
          <w:sz w:val="24"/>
          <w:szCs w:val="24"/>
        </w:rPr>
      </w:pPr>
      <w:r>
        <w:rPr>
          <w:rFonts w:hint="eastAsia" w:ascii="Times New Roman" w:hAnsi="Times New Roman" w:eastAsia="宋体"/>
          <w:b/>
          <w:sz w:val="24"/>
          <w:szCs w:val="24"/>
        </w:rPr>
        <w:t>1、主要环境影响</w:t>
      </w:r>
    </w:p>
    <w:p>
      <w:pPr>
        <w:adjustRightInd w:val="0"/>
        <w:snapToGrid w:val="0"/>
        <w:spacing w:line="360" w:lineRule="auto"/>
        <w:ind w:firstLine="480" w:firstLineChars="200"/>
        <w:jc w:val="left"/>
        <w:rPr>
          <w:rFonts w:ascii="Times New Roman" w:hAnsi="Times New Roman" w:eastAsia="宋体" w:cs="Times New Roman"/>
          <w:kern w:val="0"/>
          <w:sz w:val="24"/>
          <w:szCs w:val="24"/>
        </w:rPr>
      </w:pPr>
      <w:bookmarkStart w:id="53" w:name="_Hlk523170820"/>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rPr>
        <w:t>1）大气环境影响分析结论</w:t>
      </w:r>
    </w:p>
    <w:p>
      <w:pPr>
        <w:adjustRightInd w:val="0"/>
        <w:snapToGrid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由上表估算模式计算结果可知，在落实污染治理措施的情况下，本项目有组织和无组织排放的废气的下风向最大落地浓度均较低，最大地面浓度占标率Pmax=7.66%。根据</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环境影响评价技术导 则一大气环境</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H</w:t>
      </w:r>
      <w:r>
        <w:rPr>
          <w:rFonts w:hint="eastAsia" w:ascii="Times New Roman" w:hAnsi="Times New Roman" w:eastAsia="宋体" w:cs="Times New Roman"/>
          <w:kern w:val="0"/>
          <w:sz w:val="24"/>
          <w:szCs w:val="24"/>
          <w:lang w:val="en-US" w:eastAsia="zh-CN"/>
        </w:rPr>
        <w:t xml:space="preserve">J </w:t>
      </w:r>
      <w:r>
        <w:rPr>
          <w:rFonts w:hint="eastAsia" w:ascii="Times New Roman" w:hAnsi="Times New Roman" w:eastAsia="宋体" w:cs="Times New Roman"/>
          <w:kern w:val="0"/>
          <w:sz w:val="24"/>
          <w:szCs w:val="24"/>
        </w:rPr>
        <w:t>2.2-2018</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相关要求判断本项目评价等级为二级，根据要求不进行进一步预测与评价，只对污染物排放量进行核算。本项目废气污染物核算结果见第六章，排放对周边环境影响较小</w:t>
      </w:r>
      <w:r>
        <w:rPr>
          <w:rFonts w:ascii="Times New Roman" w:hAnsi="Times New Roman" w:eastAsia="宋体" w:cs="Times New Roman"/>
          <w:kern w:val="0"/>
          <w:sz w:val="24"/>
          <w:szCs w:val="24"/>
        </w:rPr>
        <w:t>。</w:t>
      </w:r>
    </w:p>
    <w:p>
      <w:pPr>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lang w:val="en-US" w:eastAsia="zh-CN"/>
        </w:rPr>
        <w:t>地表</w:t>
      </w:r>
      <w:r>
        <w:rPr>
          <w:rFonts w:ascii="Times New Roman" w:hAnsi="Times New Roman" w:eastAsia="宋体" w:cs="Times New Roman"/>
          <w:kern w:val="0"/>
          <w:sz w:val="24"/>
          <w:szCs w:val="24"/>
        </w:rPr>
        <w:t>水环境影响分析结论</w:t>
      </w:r>
    </w:p>
    <w:p>
      <w:pPr>
        <w:adjustRightInd w:val="0"/>
        <w:snapToGrid w:val="0"/>
        <w:spacing w:line="360" w:lineRule="auto"/>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项目产生的生活污水经化粪池预处理后进入市政污水管网，不直接排入附近水体，故本项目产生的废水对附近水环境影响较小。本项目废水排放方式属于间接排放，根据</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环境影响评价技术导则地面水环境</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HJ</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2.3-2018</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，本项目废水评价等级为三级</w:t>
      </w:r>
      <w:r>
        <w:rPr>
          <w:rFonts w:hint="default" w:ascii="Times New Roman" w:hAnsi="Times New Roman" w:cs="Times New Roman"/>
          <w:kern w:val="0"/>
          <w:sz w:val="24"/>
          <w:szCs w:val="24"/>
          <w:lang w:val="en-US" w:eastAsia="zh-CN"/>
        </w:rPr>
        <w:t>B</w:t>
      </w:r>
      <w:r>
        <w:rPr>
          <w:rFonts w:hint="default" w:ascii="Times New Roman" w:hAnsi="Times New Roman" w:cs="Times New Roman"/>
          <w:kern w:val="0"/>
          <w:sz w:val="24"/>
          <w:szCs w:val="24"/>
        </w:rPr>
        <w:t>，因此可不开展区域污染源调查和水环境影响评价。</w:t>
      </w:r>
    </w:p>
    <w:p>
      <w:pPr>
        <w:adjustRightInd w:val="0"/>
        <w:snapToGrid w:val="0"/>
        <w:spacing w:line="360" w:lineRule="auto"/>
        <w:ind w:firstLine="480" w:firstLineChars="20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项目生活污水经化粪池预处理后可达到纳网标准，所在地污水管网工程已完成管道铺设，本项目具备污水入网条件，项目污水纳入管网是可行的。目前，浦江富春紫光水务有限公司</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四厂</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废水日处理能力为</w:t>
      </w:r>
      <w:r>
        <w:rPr>
          <w:rFonts w:hint="eastAsia" w:ascii="Times New Roman" w:hAnsi="Times New Roman" w:cs="Times New Roman"/>
          <w:kern w:val="0"/>
          <w:sz w:val="24"/>
          <w:szCs w:val="24"/>
          <w:lang w:val="en-US" w:eastAsia="zh-CN"/>
        </w:rPr>
        <w:t>3.5</w:t>
      </w:r>
      <w:r>
        <w:rPr>
          <w:rFonts w:hint="default" w:ascii="Times New Roman" w:hAnsi="Times New Roman" w:cs="Times New Roman"/>
          <w:kern w:val="0"/>
          <w:sz w:val="24"/>
          <w:szCs w:val="24"/>
        </w:rPr>
        <w:t>万t</w:t>
      </w: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rPr>
        <w:t>，现实际处理能力为2.8万t/d</w:t>
      </w:r>
      <w:r>
        <w:rPr>
          <w:rFonts w:hint="eastAsia" w:ascii="Times New Roman" w:hAnsi="Times New Roman" w:cs="Times New Roman"/>
          <w:kern w:val="0"/>
          <w:sz w:val="24"/>
          <w:szCs w:val="24"/>
          <w:lang w:eastAsia="zh-CN"/>
        </w:rPr>
        <w:t>，</w:t>
      </w:r>
      <w:r>
        <w:rPr>
          <w:rFonts w:hint="default" w:ascii="Times New Roman" w:hAnsi="Times New Roman" w:cs="Times New Roman"/>
          <w:kern w:val="0"/>
          <w:sz w:val="24"/>
          <w:szCs w:val="24"/>
        </w:rPr>
        <w:t>尚余0.7万t/d</w:t>
      </w:r>
      <w:r>
        <w:rPr>
          <w:rFonts w:hint="eastAsia" w:ascii="Times New Roman" w:hAnsi="Times New Roman" w:cs="Times New Roman"/>
          <w:kern w:val="0"/>
          <w:sz w:val="24"/>
          <w:szCs w:val="24"/>
          <w:lang w:eastAsia="zh-CN"/>
        </w:rPr>
        <w:t>，</w:t>
      </w:r>
      <w:r>
        <w:rPr>
          <w:rFonts w:hint="default" w:ascii="Times New Roman" w:hAnsi="Times New Roman" w:cs="Times New Roman"/>
          <w:kern w:val="0"/>
          <w:sz w:val="24"/>
          <w:szCs w:val="24"/>
        </w:rPr>
        <w:t>本项目新增废水量为3.15t/d，废水排入浦江富春紫光水务有限公司</w:t>
      </w:r>
      <w:r>
        <w:rPr>
          <w:rFonts w:hint="eastAsia" w:ascii="Times New Roman" w:hAnsi="Times New Roman" w:cs="Times New Roman"/>
          <w:kern w:val="0"/>
          <w:sz w:val="24"/>
          <w:szCs w:val="24"/>
          <w:lang w:eastAsia="zh-CN"/>
        </w:rPr>
        <w:t>（</w:t>
      </w:r>
      <w:r>
        <w:rPr>
          <w:rFonts w:hint="default" w:ascii="Times New Roman" w:hAnsi="Times New Roman" w:cs="Times New Roman"/>
          <w:kern w:val="0"/>
          <w:sz w:val="24"/>
          <w:szCs w:val="24"/>
        </w:rPr>
        <w:t>四厂</w:t>
      </w:r>
      <w:r>
        <w:rPr>
          <w:rFonts w:hint="eastAsia" w:ascii="Times New Roman" w:hAnsi="Times New Roman" w:cs="Times New Roman"/>
          <w:kern w:val="0"/>
          <w:sz w:val="24"/>
          <w:szCs w:val="24"/>
          <w:lang w:eastAsia="zh-CN"/>
        </w:rPr>
        <w:t>）</w:t>
      </w:r>
      <w:r>
        <w:rPr>
          <w:rFonts w:hint="default" w:ascii="Times New Roman" w:hAnsi="Times New Roman" w:cs="Times New Roman"/>
          <w:kern w:val="0"/>
          <w:sz w:val="24"/>
          <w:szCs w:val="24"/>
        </w:rPr>
        <w:t>处理完全可行</w:t>
      </w:r>
      <w:r>
        <w:rPr>
          <w:rFonts w:hint="default" w:ascii="Times New Roman" w:hAnsi="Times New Roman" w:eastAsia="宋体" w:cs="Times New Roman"/>
          <w:kern w:val="0"/>
          <w:sz w:val="24"/>
          <w:szCs w:val="24"/>
          <w:lang w:val="en-US" w:eastAsia="zh-CN"/>
        </w:rPr>
        <w:t>。</w:t>
      </w:r>
    </w:p>
    <w:p>
      <w:pPr>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3</w:t>
      </w:r>
      <w:r>
        <w:rPr>
          <w:rFonts w:ascii="Times New Roman" w:hAnsi="Times New Roman" w:eastAsia="宋体" w:cs="Times New Roman"/>
          <w:kern w:val="0"/>
          <w:sz w:val="24"/>
          <w:szCs w:val="24"/>
        </w:rPr>
        <w:t>）声环境影响分析结论</w:t>
      </w:r>
    </w:p>
    <w:p>
      <w:pPr>
        <w:adjustRightInd w:val="0"/>
        <w:snapToGrid w:val="0"/>
        <w:spacing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根据噪声预测结果，本项目运营期</w:t>
      </w:r>
      <w:r>
        <w:rPr>
          <w:rFonts w:hint="eastAsia" w:ascii="Times New Roman" w:hAnsi="Times New Roman" w:eastAsia="宋体" w:cs="Times New Roman"/>
          <w:kern w:val="0"/>
          <w:sz w:val="24"/>
          <w:szCs w:val="24"/>
          <w:lang w:val="en-US" w:eastAsia="zh-CN"/>
        </w:rPr>
        <w:t>厂界噪声昼间贡献值满足</w:t>
      </w:r>
      <w:r>
        <w:rPr>
          <w:rFonts w:hint="eastAsia" w:ascii="Times New Roman" w:hAnsi="Times New Roman" w:eastAsia="宋体" w:cs="Times New Roman"/>
          <w:kern w:val="0"/>
          <w:sz w:val="24"/>
          <w:szCs w:val="24"/>
        </w:rPr>
        <w:t>《工业企业厂界环境噪声排放标准》（GB 12348-2008）3类</w:t>
      </w:r>
      <w:r>
        <w:rPr>
          <w:rFonts w:hint="eastAsia" w:ascii="Times New Roman" w:hAnsi="Times New Roman" w:eastAsia="宋体" w:cs="Times New Roman"/>
          <w:kern w:val="0"/>
          <w:sz w:val="24"/>
          <w:szCs w:val="24"/>
          <w:lang w:val="en-US" w:eastAsia="zh-CN"/>
        </w:rPr>
        <w:t>昼间</w:t>
      </w:r>
      <w:r>
        <w:rPr>
          <w:rFonts w:hint="eastAsia" w:ascii="Times New Roman" w:hAnsi="Times New Roman" w:eastAsia="宋体" w:cs="Times New Roman"/>
          <w:kern w:val="0"/>
          <w:sz w:val="24"/>
          <w:szCs w:val="24"/>
        </w:rPr>
        <w:t>标准要求。</w:t>
      </w:r>
      <w:r>
        <w:rPr>
          <w:rFonts w:hint="eastAsia" w:ascii="Times New Roman" w:hAnsi="Times New Roman" w:eastAsia="宋体" w:cs="Times New Roman"/>
          <w:kern w:val="0"/>
          <w:sz w:val="24"/>
          <w:szCs w:val="24"/>
          <w:lang w:val="en-US" w:eastAsia="zh-CN"/>
        </w:rPr>
        <w:t>本项目夜间不营运，对厂界夜间声环境不做分析</w:t>
      </w:r>
      <w:r>
        <w:rPr>
          <w:rFonts w:hint="eastAsia" w:ascii="Times New Roman" w:hAnsi="Times New Roman" w:eastAsia="宋体" w:cs="Times New Roman"/>
          <w:kern w:val="0"/>
          <w:sz w:val="24"/>
          <w:szCs w:val="24"/>
        </w:rPr>
        <w:t>。</w:t>
      </w:r>
    </w:p>
    <w:p>
      <w:pPr>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4</w:t>
      </w:r>
      <w:r>
        <w:rPr>
          <w:rFonts w:ascii="Times New Roman" w:hAnsi="Times New Roman" w:eastAsia="宋体" w:cs="Times New Roman"/>
          <w:kern w:val="0"/>
          <w:sz w:val="24"/>
          <w:szCs w:val="24"/>
        </w:rPr>
        <w:t>）固体废物影响分析结论</w:t>
      </w:r>
    </w:p>
    <w:p>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项目产生的固废经资源化、无害化等处理后，将能实现零排放。只要单位认真落实固废的处置方法，则固体废弃物一般不会对周围环境产生明显的不利影响。</w:t>
      </w:r>
    </w:p>
    <w:p>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（5）生态环境影响分析</w:t>
      </w:r>
    </w:p>
    <w:p>
      <w:pPr>
        <w:adjustRightInd w:val="0"/>
        <w:snapToGrid w:val="0"/>
        <w:spacing w:line="360" w:lineRule="auto"/>
        <w:ind w:firstLine="480" w:firstLineChars="200"/>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项目在自由厂房内实施，无施工期对生态环境的污染影响。此外，本项目污染发生规律简单，达标排放污染源强较小，只要建设方严格落实本报告提出的各项污染治理措施，则本项目的实施对区域生态环境的影响甚微。</w:t>
      </w:r>
    </w:p>
    <w:p>
      <w:pPr>
        <w:adjustRightInd w:val="0"/>
        <w:snapToGrid w:val="0"/>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2、总量控制</w:t>
      </w:r>
    </w:p>
    <w:p>
      <w:pPr>
        <w:adjustRightInd w:val="0"/>
        <w:snapToGrid w:val="0"/>
        <w:spacing w:line="360" w:lineRule="auto"/>
        <w:ind w:left="239" w:leftChars="114" w:firstLine="240" w:firstLineChars="100"/>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本项目</w:t>
      </w:r>
      <w:r>
        <w:rPr>
          <w:rFonts w:hint="default" w:ascii="Times New Roman" w:hAnsi="Times New Roman" w:eastAsia="宋体" w:cs="Times New Roman"/>
          <w:kern w:val="0"/>
          <w:sz w:val="24"/>
          <w:szCs w:val="24"/>
          <w:lang w:val="en-US" w:eastAsia="zh-CN"/>
        </w:rPr>
        <w:t>污染物总量控制指标为：</w:t>
      </w:r>
      <w:r>
        <w:rPr>
          <w:rFonts w:hint="eastAsia" w:ascii="Times New Roman" w:hAnsi="Times New Roman" w:eastAsia="宋体" w:cs="Times New Roman"/>
          <w:kern w:val="0"/>
          <w:sz w:val="24"/>
          <w:szCs w:val="24"/>
          <w:lang w:val="en-US" w:eastAsia="zh-CN"/>
        </w:rPr>
        <w:t xml:space="preserve">CODcr 0.047 </w:t>
      </w:r>
      <w:r>
        <w:rPr>
          <w:rFonts w:hint="default" w:ascii="Times New Roman" w:hAnsi="Times New Roman" w:eastAsia="宋体" w:cs="Times New Roman"/>
          <w:kern w:val="0"/>
          <w:sz w:val="24"/>
          <w:szCs w:val="24"/>
          <w:lang w:val="en-US" w:eastAsia="zh-CN"/>
        </w:rPr>
        <w:t>t/a、</w:t>
      </w:r>
      <w:r>
        <w:rPr>
          <w:rFonts w:hint="eastAsia" w:ascii="Times New Roman" w:hAnsi="Times New Roman" w:eastAsia="宋体" w:cs="Times New Roman"/>
          <w:kern w:val="0"/>
          <w:sz w:val="24"/>
          <w:szCs w:val="24"/>
          <w:lang w:val="en-US" w:eastAsia="zh-CN"/>
        </w:rPr>
        <w:t>氨氮 0.0047 t/a、</w:t>
      </w:r>
      <w:r>
        <w:rPr>
          <w:rFonts w:hint="default" w:ascii="Times New Roman" w:hAnsi="Times New Roman" w:eastAsia="宋体" w:cs="Times New Roman"/>
          <w:kern w:val="0"/>
          <w:sz w:val="24"/>
          <w:szCs w:val="24"/>
          <w:lang w:val="en-US" w:eastAsia="zh-CN"/>
        </w:rPr>
        <w:t>VOCs</w:t>
      </w:r>
      <w:r>
        <w:rPr>
          <w:rFonts w:hint="eastAsia" w:ascii="Times New Roman" w:hAnsi="Times New Roman" w:eastAsia="宋体" w:cs="Times New Roman"/>
          <w:kern w:val="0"/>
          <w:sz w:val="24"/>
          <w:szCs w:val="24"/>
          <w:lang w:val="en-US" w:eastAsia="zh-CN"/>
        </w:rPr>
        <w:t xml:space="preserve"> 0.787 </w:t>
      </w:r>
      <w:r>
        <w:rPr>
          <w:rFonts w:hint="default" w:ascii="Times New Roman" w:hAnsi="Times New Roman" w:eastAsia="宋体" w:cs="Times New Roman"/>
          <w:kern w:val="0"/>
          <w:sz w:val="24"/>
          <w:szCs w:val="24"/>
          <w:lang w:val="en-US" w:eastAsia="zh-CN"/>
        </w:rPr>
        <w:t>t/a。</w:t>
      </w:r>
    </w:p>
    <w:p>
      <w:pPr>
        <w:adjustRightInd w:val="0"/>
        <w:snapToGrid w:val="0"/>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3</w:t>
      </w:r>
      <w:r>
        <w:rPr>
          <w:rFonts w:ascii="Times New Roman" w:hAnsi="Times New Roman" w:eastAsia="宋体" w:cs="Times New Roman"/>
          <w:b/>
          <w:sz w:val="24"/>
          <w:szCs w:val="24"/>
        </w:rPr>
        <w:t xml:space="preserve">、建议 </w:t>
      </w:r>
    </w:p>
    <w:p>
      <w:pPr>
        <w:pStyle w:val="109"/>
        <w:spacing w:line="360" w:lineRule="auto"/>
        <w:ind w:firstLine="482"/>
        <w:jc w:val="both"/>
        <w:rPr>
          <w:rFonts w:hint="default" w:ascii="Times New Roman" w:hAnsi="Times New Roman" w:cs="Times New Roman"/>
          <w:bCs/>
        </w:rPr>
      </w:pPr>
      <w:r>
        <w:rPr>
          <w:rFonts w:hint="eastAsia" w:ascii="Times New Roman" w:cs="Times New Roman"/>
          <w:bCs/>
          <w:lang w:val="en-US" w:eastAsia="zh-CN"/>
        </w:rPr>
        <w:t>（1）</w:t>
      </w:r>
      <w:r>
        <w:rPr>
          <w:rFonts w:hint="default" w:ascii="Times New Roman" w:hAnsi="Times New Roman" w:cs="Times New Roman"/>
          <w:bCs/>
        </w:rPr>
        <w:t>企业应加强环境保护意识，企业要重点做好环保设施的运行管理工作，制定环保设施操作运行规程，建立健全各项环保岗位责任制，强化环境管理。</w:t>
      </w:r>
    </w:p>
    <w:p>
      <w:pPr>
        <w:pStyle w:val="109"/>
        <w:spacing w:line="360" w:lineRule="auto"/>
        <w:ind w:firstLine="482"/>
        <w:jc w:val="both"/>
        <w:rPr>
          <w:rFonts w:hint="eastAsia" w:ascii="Times New Roman" w:hAnsi="Times New Roman" w:eastAsia="宋体" w:cs="Times New Roman"/>
          <w:bCs/>
          <w:lang w:eastAsia="zh-CN"/>
        </w:rPr>
      </w:pPr>
      <w:r>
        <w:rPr>
          <w:rFonts w:hint="eastAsia" w:ascii="Times New Roman" w:cs="Times New Roman"/>
          <w:bCs/>
          <w:lang w:eastAsia="zh-CN"/>
        </w:rPr>
        <w:t>（</w:t>
      </w:r>
      <w:r>
        <w:rPr>
          <w:rFonts w:hint="eastAsia" w:ascii="Times New Roman" w:cs="Times New Roman"/>
          <w:bCs/>
          <w:lang w:val="en-US" w:eastAsia="zh-CN"/>
        </w:rPr>
        <w:t>2</w:t>
      </w:r>
      <w:r>
        <w:rPr>
          <w:rFonts w:hint="eastAsia" w:ascii="Times New Roman" w:cs="Times New Roman"/>
          <w:bCs/>
          <w:lang w:eastAsia="zh-CN"/>
        </w:rPr>
        <w:t>）</w:t>
      </w:r>
      <w:r>
        <w:rPr>
          <w:rFonts w:hint="default" w:ascii="Times New Roman" w:hAnsi="Times New Roman" w:cs="Times New Roman"/>
          <w:bCs/>
        </w:rPr>
        <w:t>必须严格落实环评提出的各项意见，做好“三废”污染防治工作</w:t>
      </w:r>
      <w:r>
        <w:rPr>
          <w:rFonts w:hint="eastAsia" w:ascii="Times New Roman" w:cs="Times New Roman"/>
          <w:bCs/>
          <w:lang w:eastAsia="zh-CN"/>
        </w:rPr>
        <w:t>。</w:t>
      </w:r>
    </w:p>
    <w:p>
      <w:pPr>
        <w:pStyle w:val="109"/>
        <w:spacing w:line="360" w:lineRule="auto"/>
        <w:ind w:firstLine="482"/>
        <w:jc w:val="both"/>
        <w:rPr>
          <w:rFonts w:hint="default" w:ascii="Times New Roman" w:hAnsi="Times New Roman" w:cs="Times New Roman"/>
          <w:bCs/>
        </w:rPr>
      </w:pPr>
      <w:r>
        <w:rPr>
          <w:rFonts w:hint="eastAsia" w:ascii="Times New Roman" w:cs="Times New Roman"/>
          <w:bCs/>
          <w:lang w:eastAsia="zh-CN"/>
        </w:rPr>
        <w:t>（</w:t>
      </w:r>
      <w:r>
        <w:rPr>
          <w:rFonts w:hint="eastAsia" w:ascii="Times New Roman" w:cs="Times New Roman"/>
          <w:bCs/>
          <w:lang w:val="en-US" w:eastAsia="zh-CN"/>
        </w:rPr>
        <w:t>3</w:t>
      </w:r>
      <w:r>
        <w:rPr>
          <w:rFonts w:hint="eastAsia" w:ascii="Times New Roman" w:cs="Times New Roman"/>
          <w:bCs/>
          <w:lang w:eastAsia="zh-CN"/>
        </w:rPr>
        <w:t>）</w:t>
      </w:r>
      <w:r>
        <w:rPr>
          <w:rFonts w:hint="default" w:ascii="Times New Roman" w:hAnsi="Times New Roman" w:cs="Times New Roman"/>
          <w:bCs/>
        </w:rPr>
        <w:t>以上评价结果是根据委托方提供的规模、布局做出的，如委托方扩大规模、改变布局、调整产品结构、污染物改变，委托方必须按照环保要求重新申报。</w:t>
      </w:r>
    </w:p>
    <w:p>
      <w:pPr>
        <w:pStyle w:val="109"/>
        <w:spacing w:line="360" w:lineRule="auto"/>
        <w:ind w:firstLine="482" w:firstLineChars="200"/>
        <w:jc w:val="both"/>
        <w:rPr>
          <w:rFonts w:ascii="Times New Roman"/>
          <w:b/>
        </w:rPr>
      </w:pPr>
      <w:r>
        <w:rPr>
          <w:rFonts w:hint="eastAsia" w:ascii="Times New Roman"/>
          <w:b/>
          <w:highlight w:val="none"/>
          <w:lang w:val="en-US" w:eastAsia="zh-CN"/>
        </w:rPr>
        <w:t>4</w:t>
      </w:r>
      <w:r>
        <w:rPr>
          <w:rFonts w:hint="eastAsia" w:ascii="Times New Roman"/>
          <w:b/>
          <w:highlight w:val="none"/>
        </w:rPr>
        <w:t>、</w:t>
      </w:r>
      <w:r>
        <w:rPr>
          <w:rFonts w:hint="eastAsia" w:ascii="Times New Roman"/>
          <w:b/>
        </w:rPr>
        <w:t>项目环境可行性总结论</w:t>
      </w:r>
    </w:p>
    <w:bookmarkEnd w:id="53"/>
    <w:p>
      <w:pPr>
        <w:spacing w:line="360" w:lineRule="auto"/>
        <w:ind w:firstLine="504" w:firstLineChars="200"/>
        <w:rPr>
          <w:rFonts w:hint="eastAsia" w:ascii="Times New Roman" w:hAnsi="Times New Roman" w:cs="Times New Roman"/>
          <w:bCs/>
          <w:w w:val="105"/>
          <w:sz w:val="24"/>
          <w:lang w:bidi="zh-CN"/>
        </w:rPr>
      </w:pPr>
      <w:bookmarkStart w:id="54" w:name="_Hlk24641873"/>
      <w:r>
        <w:rPr>
          <w:rFonts w:hint="eastAsia" w:ascii="Times New Roman" w:hAnsi="Times New Roman" w:cs="Times New Roman"/>
          <w:bCs/>
          <w:w w:val="105"/>
          <w:sz w:val="24"/>
          <w:lang w:bidi="zh-CN"/>
        </w:rPr>
        <w:t>根据以上分析可知，浦江金理衣架有限公司年产1430万个衣架生产线建设项目选址合理；项目污染物在达标排放情况下对周围环境影响较小，区域环境质量能维持现状。只要建设方重视环保工作，认真落实评价提出的各项污染防治对策，加强对污染物的治理工作，做到环保工作专人分管，责任到人，落实环保治理所需要的资金，则该项目的实施，可以做到在较高的生产效益的同时,又能达到环境保护的目标。因此该项目从环保角度来说是可行的。</w:t>
      </w:r>
    </w:p>
    <w:p>
      <w:pPr>
        <w:pStyle w:val="2"/>
        <w:rPr>
          <w:rFonts w:hint="eastAsia" w:ascii="Times New Roman" w:hAnsi="Times New Roman" w:cs="Times New Roman"/>
          <w:bCs/>
          <w:w w:val="105"/>
          <w:sz w:val="24"/>
          <w:lang w:bidi="zh-CN"/>
        </w:rPr>
      </w:pPr>
    </w:p>
    <w:p>
      <w:pPr>
        <w:pStyle w:val="3"/>
        <w:rPr>
          <w:rFonts w:hint="eastAsia"/>
        </w:rPr>
      </w:pPr>
    </w:p>
    <w:bookmarkEnd w:id="54"/>
    <w:p>
      <w:pPr>
        <w:pStyle w:val="5"/>
        <w:rPr>
          <w:rFonts w:eastAsia="宋体"/>
        </w:rPr>
      </w:pPr>
      <w:bookmarkStart w:id="55" w:name="_Toc2842"/>
      <w:r>
        <w:rPr>
          <w:rFonts w:eastAsia="宋体"/>
        </w:rPr>
        <w:t>5.2审批部门审批决定</w:t>
      </w:r>
      <w:bookmarkEnd w:id="55"/>
    </w:p>
    <w:p>
      <w:pPr>
        <w:adjustRightInd w:val="0"/>
        <w:snapToGrid w:val="0"/>
        <w:spacing w:line="360" w:lineRule="auto"/>
        <w:rPr>
          <w:rFonts w:ascii="Times New Roman" w:hAnsi="Times New Roman" w:cs="Times New Roman"/>
          <w:sz w:val="24"/>
          <w:szCs w:val="24"/>
        </w:rPr>
      </w:pPr>
      <w:r>
        <w:rPr>
          <w:rFonts w:hint="eastAsia" w:ascii="Times New Roman" w:hAnsi="Times New Roman" w:cs="Times New Roman"/>
          <w:sz w:val="24"/>
          <w:szCs w:val="24"/>
          <w:lang w:val="en-US" w:eastAsia="zh-CN"/>
        </w:rPr>
        <w:t>金华市生态环境局</w:t>
      </w:r>
      <w:r>
        <w:rPr>
          <w:rFonts w:hint="eastAsia" w:ascii="Times New Roman" w:hAnsi="Times New Roman" w:cs="Times New Roman"/>
          <w:sz w:val="24"/>
          <w:szCs w:val="24"/>
        </w:rPr>
        <w:t>文件（</w:t>
      </w:r>
      <w:r>
        <w:rPr>
          <w:rFonts w:hint="eastAsia" w:ascii="Times New Roman" w:hAnsi="Times New Roman" w:cs="Times New Roman"/>
          <w:sz w:val="24"/>
          <w:szCs w:val="24"/>
          <w:lang w:val="en-US" w:eastAsia="zh-CN"/>
        </w:rPr>
        <w:t>金环建浦[2019]55号</w:t>
      </w:r>
      <w:r>
        <w:rPr>
          <w:rFonts w:hint="eastAsia" w:ascii="Times New Roman" w:hAnsi="Times New Roman" w:cs="Times New Roman"/>
          <w:sz w:val="24"/>
          <w:szCs w:val="24"/>
        </w:rPr>
        <w:t>）</w:t>
      </w:r>
    </w:p>
    <w:p>
      <w:pPr>
        <w:spacing w:line="360" w:lineRule="auto"/>
        <w:jc w:val="center"/>
        <w:rPr>
          <w:rFonts w:hint="eastAsia" w:ascii="Times New Roman" w:hAnsi="Times New Roman" w:cs="Times New Roman"/>
          <w:sz w:val="32"/>
          <w:szCs w:val="32"/>
          <w:lang w:eastAsia="zh-CN"/>
        </w:rPr>
      </w:pPr>
      <w:r>
        <w:rPr>
          <w:rFonts w:ascii="Times New Roman" w:hAnsi="Times New Roman" w:cs="Times New Roman"/>
          <w:sz w:val="32"/>
          <w:szCs w:val="32"/>
        </w:rPr>
        <w:t>关于</w:t>
      </w:r>
      <w:r>
        <w:rPr>
          <w:rFonts w:hint="eastAsia" w:ascii="Times New Roman" w:hAnsi="Times New Roman" w:cs="Times New Roman"/>
          <w:sz w:val="32"/>
          <w:szCs w:val="32"/>
          <w:lang w:eastAsia="zh-CN"/>
        </w:rPr>
        <w:t>浦江金理衣架有限公司年产1430万个衣架</w:t>
      </w:r>
    </w:p>
    <w:p>
      <w:pPr>
        <w:spacing w:line="360" w:lineRule="auto"/>
        <w:jc w:val="center"/>
        <w:rPr>
          <w:rFonts w:hint="eastAsia" w:ascii="Times New Roman" w:hAnsi="Times New Roman" w:cs="Times New Roman" w:eastAsiaTheme="minorEastAsia"/>
          <w:sz w:val="32"/>
          <w:szCs w:val="32"/>
          <w:lang w:val="en-US" w:eastAsia="zh-CN"/>
        </w:rPr>
      </w:pPr>
      <w:r>
        <w:rPr>
          <w:rFonts w:hint="eastAsia" w:ascii="Times New Roman" w:hAnsi="Times New Roman" w:cs="Times New Roman"/>
          <w:sz w:val="32"/>
          <w:szCs w:val="32"/>
          <w:lang w:eastAsia="zh-CN"/>
        </w:rPr>
        <w:t>生产线建设项目环境影响报告表</w:t>
      </w:r>
      <w:r>
        <w:rPr>
          <w:rFonts w:ascii="Times New Roman" w:hAnsi="Times New Roman" w:cs="Times New Roman"/>
          <w:sz w:val="32"/>
          <w:szCs w:val="32"/>
        </w:rPr>
        <w:t>的</w:t>
      </w:r>
      <w:r>
        <w:rPr>
          <w:rFonts w:hint="eastAsia" w:ascii="Times New Roman" w:hAnsi="Times New Roman" w:cs="Times New Roman"/>
          <w:sz w:val="32"/>
          <w:szCs w:val="32"/>
          <w:lang w:val="en-US" w:eastAsia="zh-CN"/>
        </w:rPr>
        <w:t>批复</w:t>
      </w:r>
    </w:p>
    <w:p>
      <w:pPr>
        <w:keepNext w:val="0"/>
        <w:keepLines w:val="0"/>
        <w:pageBreakBefore w:val="0"/>
        <w:widowControl w:val="0"/>
        <w:kinsoku/>
        <w:wordWrap/>
        <w:overflowPunct/>
        <w:topLinePunct w:val="0"/>
        <w:autoSpaceDE/>
        <w:autoSpaceDN/>
        <w:bidi w:val="0"/>
        <w:adjustRightInd/>
        <w:snapToGrid/>
        <w:spacing w:line="384" w:lineRule="auto"/>
        <w:textAlignment w:val="auto"/>
        <w:rPr>
          <w:w w:val="105"/>
          <w:sz w:val="24"/>
        </w:rPr>
      </w:pPr>
      <w:r>
        <w:rPr>
          <w:rFonts w:hint="eastAsia"/>
          <w:w w:val="105"/>
          <w:sz w:val="24"/>
          <w:lang w:eastAsia="zh-CN"/>
        </w:rPr>
        <w:t>浦江金理衣架有限公司</w:t>
      </w:r>
      <w:r>
        <w:rPr>
          <w:w w:val="105"/>
          <w:sz w:val="24"/>
        </w:rPr>
        <w:t>：</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eastAsiaTheme="minorEastAsia"/>
          <w:w w:val="105"/>
          <w:sz w:val="24"/>
          <w:lang w:eastAsia="zh-CN"/>
        </w:rPr>
      </w:pPr>
      <w:r>
        <w:rPr>
          <w:rFonts w:hint="eastAsia" w:ascii="Times New Roman" w:hAnsi="Times New Roman" w:cs="Times New Roman"/>
          <w:w w:val="105"/>
          <w:sz w:val="24"/>
        </w:rPr>
        <w:t>你公司《关于要求对年产1430万个衣架生产线建设项目环境影响评价文件进行审查的申请》及其他相关材料收悉，经审查研究，批复如下</w:t>
      </w:r>
      <w:r>
        <w:rPr>
          <w:rFonts w:hint="eastAsia" w:ascii="Times New Roman" w:hAnsi="Times New Roman" w:cs="Times New Roman"/>
          <w:w w:val="105"/>
          <w:sz w:val="24"/>
          <w:lang w:eastAsia="zh-CN"/>
        </w:rPr>
        <w:t>：</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rPr>
      </w:pPr>
      <w:r>
        <w:rPr>
          <w:rFonts w:hint="eastAsia" w:ascii="Times New Roman" w:hAnsi="Times New Roman" w:cs="Times New Roman"/>
          <w:w w:val="105"/>
          <w:sz w:val="24"/>
        </w:rPr>
        <w:t>一、根据你公司委托浙江瀚邦环保科技有限公司编制的《浦江金理衣架有限公司年产1430万个衣架生产线建设项目环境影响报告表》，在项目符合产业政策及有关区域总体规划、土地利用总体规划等有关规划的前提下，原则同意环评报告的评价结论和建议措施，可作为该项目环保设计和今后实施管理的依据。</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rPr>
      </w:pPr>
      <w:r>
        <w:rPr>
          <w:rFonts w:hint="eastAsia" w:ascii="Times New Roman" w:hAnsi="Times New Roman" w:cs="Times New Roman"/>
          <w:w w:val="105"/>
          <w:sz w:val="24"/>
        </w:rPr>
        <w:t>二、该项目拟建地位于浦江黄宅镇中兴路99号，利用企业现有空置厂房，建筑面积7070m</w:t>
      </w:r>
      <w:r>
        <w:rPr>
          <w:rFonts w:hint="eastAsia" w:ascii="Times New Roman" w:hAnsi="Times New Roman" w:cs="Times New Roman"/>
          <w:w w:val="105"/>
          <w:sz w:val="24"/>
          <w:vertAlign w:val="superscript"/>
          <w:lang w:val="en-US" w:eastAsia="zh-CN"/>
        </w:rPr>
        <w:t>2</w:t>
      </w:r>
      <w:r>
        <w:rPr>
          <w:rFonts w:hint="eastAsia" w:ascii="Times New Roman" w:hAnsi="Times New Roman" w:cs="Times New Roman"/>
          <w:w w:val="105"/>
          <w:sz w:val="24"/>
        </w:rPr>
        <w:t>，总投资600万元，其中环保投资63万元。拟购置打磨机、下料机、折弯机等设备进行生产，达产后可形成年产1430万个衣架的生产规模。</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lang w:eastAsia="zh-CN"/>
        </w:rPr>
      </w:pPr>
      <w:r>
        <w:rPr>
          <w:rFonts w:hint="eastAsia" w:ascii="Times New Roman" w:hAnsi="Times New Roman" w:cs="Times New Roman"/>
          <w:w w:val="105"/>
          <w:sz w:val="24"/>
        </w:rPr>
        <w:t>三、项目必须采用先进的工艺、技术和装备，实施清洁生产，减少各种污染物的产生量和排放量。重点做好以下工作</w:t>
      </w:r>
      <w:r>
        <w:rPr>
          <w:rFonts w:hint="eastAsia" w:ascii="Times New Roman" w:hAnsi="Times New Roman" w:cs="Times New Roman"/>
          <w:w w:val="105"/>
          <w:sz w:val="24"/>
          <w:lang w:eastAsia="zh-CN"/>
        </w:rPr>
        <w:t>：</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lang w:val="en-US" w:eastAsia="zh-CN"/>
        </w:rPr>
      </w:pPr>
      <w:r>
        <w:rPr>
          <w:rFonts w:hint="eastAsia" w:ascii="Times New Roman" w:hAnsi="Times New Roman" w:cs="Times New Roman"/>
          <w:w w:val="105"/>
          <w:sz w:val="24"/>
          <w:lang w:val="en-US" w:eastAsia="zh-CN"/>
        </w:rPr>
        <w:t>1、</w:t>
      </w:r>
      <w:r>
        <w:rPr>
          <w:rFonts w:hint="eastAsia" w:ascii="Times New Roman" w:hAnsi="Times New Roman" w:cs="Times New Roman"/>
          <w:w w:val="105"/>
          <w:sz w:val="24"/>
        </w:rPr>
        <w:t>加强水污染物的治理。全面实施雨行分流、</w:t>
      </w:r>
      <w:r>
        <w:rPr>
          <w:rFonts w:hint="eastAsia" w:ascii="Times New Roman" w:hAnsi="Times New Roman" w:cs="Times New Roman"/>
          <w:w w:val="105"/>
          <w:sz w:val="24"/>
          <w:lang w:val="en-US" w:eastAsia="zh-CN"/>
        </w:rPr>
        <w:t>清污分流。</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lang w:eastAsia="zh-CN"/>
        </w:rPr>
      </w:pPr>
      <w:r>
        <w:rPr>
          <w:rFonts w:hint="eastAsia" w:ascii="Times New Roman" w:hAnsi="Times New Roman" w:cs="Times New Roman"/>
          <w:w w:val="105"/>
          <w:sz w:val="24"/>
        </w:rPr>
        <w:t>本项目生产废水不外排，喷淋废水循环使用</w:t>
      </w:r>
      <w:r>
        <w:rPr>
          <w:rFonts w:hint="eastAsia" w:ascii="Times New Roman" w:hAnsi="Times New Roman" w:cs="Times New Roman"/>
          <w:w w:val="105"/>
          <w:sz w:val="24"/>
          <w:lang w:eastAsia="zh-CN"/>
        </w:rPr>
        <w:t>；</w:t>
      </w:r>
      <w:r>
        <w:rPr>
          <w:rFonts w:hint="eastAsia" w:ascii="Times New Roman" w:hAnsi="Times New Roman" w:cs="Times New Roman"/>
          <w:w w:val="105"/>
          <w:sz w:val="24"/>
          <w:lang w:val="en-US" w:eastAsia="zh-CN"/>
        </w:rPr>
        <w:t>生活污水经预处理后</w:t>
      </w:r>
      <w:r>
        <w:rPr>
          <w:rFonts w:hint="eastAsia" w:ascii="Times New Roman" w:hAnsi="Times New Roman" w:cs="Times New Roman"/>
          <w:w w:val="105"/>
          <w:sz w:val="24"/>
        </w:rPr>
        <w:t>达《污水综合排放标准》</w:t>
      </w:r>
      <w:r>
        <w:rPr>
          <w:rFonts w:hint="eastAsia" w:ascii="Times New Roman" w:hAnsi="Times New Roman" w:cs="Times New Roman"/>
          <w:w w:val="105"/>
          <w:sz w:val="24"/>
          <w:lang w:eastAsia="zh-CN"/>
        </w:rPr>
        <w:t>（</w:t>
      </w:r>
      <w:r>
        <w:rPr>
          <w:rFonts w:hint="eastAsia" w:ascii="Times New Roman" w:hAnsi="Times New Roman" w:cs="Times New Roman"/>
          <w:w w:val="105"/>
          <w:sz w:val="24"/>
          <w:lang w:val="en-US" w:eastAsia="zh-CN"/>
        </w:rPr>
        <w:t>GB8978-1996</w:t>
      </w:r>
      <w:r>
        <w:rPr>
          <w:rFonts w:hint="eastAsia" w:ascii="Times New Roman" w:hAnsi="Times New Roman" w:cs="Times New Roman"/>
          <w:w w:val="105"/>
          <w:sz w:val="24"/>
          <w:lang w:eastAsia="zh-CN"/>
        </w:rPr>
        <w:t>）</w:t>
      </w:r>
      <w:r>
        <w:rPr>
          <w:rFonts w:hint="eastAsia" w:ascii="Times New Roman" w:hAnsi="Times New Roman" w:cs="Times New Roman"/>
          <w:w w:val="105"/>
          <w:sz w:val="24"/>
        </w:rPr>
        <w:t>三级标准后</w:t>
      </w:r>
      <w:r>
        <w:rPr>
          <w:rFonts w:hint="eastAsia" w:ascii="Times New Roman" w:hAnsi="Times New Roman" w:cs="Times New Roman"/>
          <w:w w:val="105"/>
          <w:sz w:val="24"/>
          <w:lang w:val="en-US" w:eastAsia="zh-CN"/>
        </w:rPr>
        <w:t>纳入</w:t>
      </w:r>
      <w:r>
        <w:rPr>
          <w:rFonts w:hint="eastAsia" w:ascii="Times New Roman" w:hAnsi="Times New Roman" w:cs="Times New Roman"/>
          <w:w w:val="105"/>
          <w:sz w:val="24"/>
        </w:rPr>
        <w:t>市政污水管网，进入浦江富春紫光水务有限公司</w:t>
      </w:r>
      <w:r>
        <w:rPr>
          <w:rFonts w:hint="eastAsia" w:ascii="Times New Roman" w:hAnsi="Times New Roman" w:cs="Times New Roman"/>
          <w:w w:val="105"/>
          <w:sz w:val="24"/>
          <w:lang w:eastAsia="zh-CN"/>
        </w:rPr>
        <w:t>（</w:t>
      </w:r>
      <w:r>
        <w:rPr>
          <w:rFonts w:hint="eastAsia" w:ascii="Times New Roman" w:hAnsi="Times New Roman" w:cs="Times New Roman"/>
          <w:w w:val="105"/>
          <w:sz w:val="24"/>
        </w:rPr>
        <w:t>四厂</w:t>
      </w:r>
      <w:r>
        <w:rPr>
          <w:rFonts w:hint="eastAsia" w:ascii="Times New Roman" w:hAnsi="Times New Roman" w:cs="Times New Roman"/>
          <w:w w:val="105"/>
          <w:sz w:val="24"/>
          <w:lang w:eastAsia="zh-CN"/>
        </w:rPr>
        <w:t>）</w:t>
      </w:r>
      <w:r>
        <w:rPr>
          <w:rFonts w:hint="eastAsia" w:ascii="Times New Roman" w:hAnsi="Times New Roman" w:cs="Times New Roman"/>
          <w:w w:val="105"/>
          <w:sz w:val="24"/>
        </w:rPr>
        <w:t>处理</w:t>
      </w:r>
      <w:r>
        <w:rPr>
          <w:rFonts w:hint="eastAsia" w:ascii="Times New Roman" w:hAnsi="Times New Roman" w:cs="Times New Roman"/>
          <w:w w:val="105"/>
          <w:sz w:val="24"/>
          <w:lang w:eastAsia="zh-CN"/>
        </w:rPr>
        <w:t>。</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rPr>
      </w:pPr>
      <w:r>
        <w:rPr>
          <w:rFonts w:hint="eastAsia" w:ascii="Times New Roman" w:hAnsi="Times New Roman" w:cs="Times New Roman"/>
          <w:w w:val="105"/>
          <w:sz w:val="24"/>
        </w:rPr>
        <w:t>2、加强大气污染物的治理。提高装备配置和密闭化、自动化水平。加强打磨等工序的粉尘治理，采取高效除尘等措施</w:t>
      </w:r>
      <w:r>
        <w:rPr>
          <w:rFonts w:hint="eastAsia" w:ascii="Times New Roman" w:hAnsi="Times New Roman" w:cs="Times New Roman"/>
          <w:w w:val="105"/>
          <w:sz w:val="24"/>
          <w:lang w:eastAsia="zh-CN"/>
        </w:rPr>
        <w:t>；</w:t>
      </w:r>
      <w:r>
        <w:rPr>
          <w:rFonts w:hint="eastAsia" w:ascii="Times New Roman" w:hAnsi="Times New Roman" w:cs="Times New Roman"/>
          <w:w w:val="105"/>
          <w:sz w:val="24"/>
        </w:rPr>
        <w:t>所有涂装作业应在有效VOCs收集系统的密闭空间内进行</w:t>
      </w:r>
      <w:r>
        <w:rPr>
          <w:rFonts w:hint="eastAsia" w:ascii="Times New Roman" w:hAnsi="Times New Roman" w:cs="Times New Roman"/>
          <w:w w:val="105"/>
          <w:sz w:val="24"/>
          <w:lang w:eastAsia="zh-CN"/>
        </w:rPr>
        <w:t>；</w:t>
      </w:r>
      <w:r>
        <w:rPr>
          <w:rFonts w:hint="eastAsia" w:ascii="Times New Roman" w:hAnsi="Times New Roman" w:cs="Times New Roman"/>
          <w:w w:val="105"/>
          <w:sz w:val="24"/>
        </w:rPr>
        <w:t>根据废气中污染物特征、风量等参数选择适宜的处理技术，确保废气达标排放，确保废气不扰民。废气污染物排放执行《工业涂装工序大气污染物排放标准》(DB332146-2018)、《大气污染物综合排放标准》</w:t>
      </w:r>
      <w:r>
        <w:rPr>
          <w:rFonts w:hint="eastAsia" w:ascii="Times New Roman" w:hAnsi="Times New Roman" w:cs="Times New Roman"/>
          <w:w w:val="105"/>
          <w:sz w:val="24"/>
          <w:lang w:eastAsia="zh-CN"/>
        </w:rPr>
        <w:t>（</w:t>
      </w:r>
      <w:r>
        <w:rPr>
          <w:rFonts w:hint="eastAsia" w:ascii="Times New Roman" w:hAnsi="Times New Roman" w:cs="Times New Roman"/>
          <w:w w:val="105"/>
          <w:sz w:val="24"/>
        </w:rPr>
        <w:t>GB16297-1996</w:t>
      </w:r>
      <w:r>
        <w:rPr>
          <w:rFonts w:hint="eastAsia" w:ascii="Times New Roman" w:hAnsi="Times New Roman" w:cs="Times New Roman"/>
          <w:w w:val="105"/>
          <w:sz w:val="24"/>
          <w:lang w:eastAsia="zh-CN"/>
        </w:rPr>
        <w:t>）</w:t>
      </w:r>
      <w:r>
        <w:rPr>
          <w:rFonts w:hint="eastAsia" w:ascii="Times New Roman" w:hAnsi="Times New Roman" w:cs="Times New Roman"/>
          <w:w w:val="105"/>
          <w:sz w:val="24"/>
        </w:rPr>
        <w:t>中相应标准。</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rPr>
      </w:pPr>
      <w:r>
        <w:rPr>
          <w:rFonts w:hint="eastAsia" w:ascii="Times New Roman" w:hAnsi="Times New Roman" w:cs="Times New Roman"/>
          <w:w w:val="105"/>
          <w:sz w:val="24"/>
        </w:rPr>
        <w:t>3、加强对噪声的治理。合理布局厂房，优先选用低噪声设备。对高噪声设备应采取增设减震基础等必要的防振、隔声等降噪措施，减少对外界环境的影响。项目厂界噪声排放执行《工业企业厂界环境噪声排放标准》</w:t>
      </w:r>
      <w:r>
        <w:rPr>
          <w:rFonts w:hint="eastAsia" w:ascii="Times New Roman" w:hAnsi="Times New Roman" w:cs="Times New Roman"/>
          <w:w w:val="105"/>
          <w:sz w:val="24"/>
          <w:lang w:eastAsia="zh-CN"/>
        </w:rPr>
        <w:t>（</w:t>
      </w:r>
      <w:r>
        <w:rPr>
          <w:rFonts w:hint="eastAsia" w:ascii="Times New Roman" w:hAnsi="Times New Roman" w:cs="Times New Roman"/>
          <w:w w:val="105"/>
          <w:sz w:val="24"/>
        </w:rPr>
        <w:t>GB12348-2008</w:t>
      </w:r>
      <w:r>
        <w:rPr>
          <w:rFonts w:hint="eastAsia" w:ascii="Times New Roman" w:hAnsi="Times New Roman" w:cs="Times New Roman"/>
          <w:w w:val="105"/>
          <w:sz w:val="24"/>
          <w:lang w:eastAsia="zh-CN"/>
        </w:rPr>
        <w:t>）</w:t>
      </w:r>
      <w:r>
        <w:rPr>
          <w:rFonts w:hint="eastAsia" w:ascii="Times New Roman" w:hAnsi="Times New Roman" w:cs="Times New Roman"/>
          <w:w w:val="105"/>
          <w:sz w:val="24"/>
        </w:rPr>
        <w:t>中的相应标准。</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rPr>
      </w:pPr>
      <w:r>
        <w:rPr>
          <w:rFonts w:hint="eastAsia" w:ascii="Times New Roman" w:hAnsi="Times New Roman" w:cs="Times New Roman"/>
          <w:w w:val="105"/>
          <w:sz w:val="24"/>
        </w:rPr>
        <w:t>4、加强对固废的处置。项目产生的废包装桶、废矿物油、喷漆废液、漆渣、废活性炭属于危险废物，须委托有资质单位处置，厂内暂存场所做好防雨、防渗、防漏等工作</w:t>
      </w:r>
      <w:r>
        <w:rPr>
          <w:rFonts w:hint="eastAsia" w:ascii="Times New Roman" w:hAnsi="Times New Roman" w:cs="Times New Roman"/>
          <w:w w:val="105"/>
          <w:sz w:val="24"/>
          <w:lang w:eastAsia="zh-CN"/>
        </w:rPr>
        <w:t>；</w:t>
      </w:r>
      <w:r>
        <w:rPr>
          <w:rFonts w:hint="eastAsia" w:ascii="Times New Roman" w:hAnsi="Times New Roman" w:cs="Times New Roman"/>
          <w:w w:val="105"/>
          <w:sz w:val="24"/>
        </w:rPr>
        <w:t>边角料、焊渣、布袋除尘收集的粉尘、废砂光轮出售给相关企业综合利用</w:t>
      </w:r>
      <w:r>
        <w:rPr>
          <w:rFonts w:hint="eastAsia" w:ascii="Times New Roman" w:hAnsi="Times New Roman" w:cs="Times New Roman"/>
          <w:w w:val="105"/>
          <w:sz w:val="24"/>
          <w:lang w:eastAsia="zh-CN"/>
        </w:rPr>
        <w:t>；</w:t>
      </w:r>
      <w:r>
        <w:rPr>
          <w:rFonts w:hint="eastAsia" w:ascii="Times New Roman" w:hAnsi="Times New Roman" w:cs="Times New Roman"/>
          <w:w w:val="105"/>
          <w:sz w:val="24"/>
        </w:rPr>
        <w:t>生活垃圾由环卫部门统一清运处置。所有废弃物不得随意丢弃、堆放，防止造成二次污染。</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rPr>
      </w:pPr>
      <w:r>
        <w:rPr>
          <w:rFonts w:hint="eastAsia" w:ascii="Times New Roman" w:hAnsi="Times New Roman" w:cs="Times New Roman"/>
          <w:w w:val="105"/>
          <w:sz w:val="24"/>
        </w:rPr>
        <w:t>四、严格执行污染物排放总量控制制度和排污权交易制度，本项目主要污染物外排环境量控制为</w:t>
      </w:r>
      <w:r>
        <w:rPr>
          <w:rFonts w:hint="eastAsia" w:ascii="Times New Roman" w:hAnsi="Times New Roman" w:cs="Times New Roman"/>
          <w:w w:val="105"/>
          <w:sz w:val="24"/>
          <w:lang w:eastAsia="zh-CN"/>
        </w:rPr>
        <w:t>：</w:t>
      </w:r>
      <w:r>
        <w:rPr>
          <w:rFonts w:hint="eastAsia" w:ascii="Times New Roman" w:hAnsi="Times New Roman" w:cs="Times New Roman"/>
          <w:w w:val="105"/>
          <w:sz w:val="24"/>
        </w:rPr>
        <w:t>COD</w:t>
      </w:r>
      <w:r>
        <w:rPr>
          <w:rFonts w:hint="eastAsia" w:ascii="Times New Roman" w:hAnsi="Times New Roman" w:cs="Times New Roman"/>
          <w:w w:val="105"/>
          <w:sz w:val="24"/>
          <w:lang w:val="en-US" w:eastAsia="zh-CN"/>
        </w:rPr>
        <w:t>≤</w:t>
      </w:r>
      <w:r>
        <w:rPr>
          <w:rFonts w:hint="eastAsia" w:ascii="Times New Roman" w:hAnsi="Times New Roman" w:cs="Times New Roman"/>
          <w:w w:val="105"/>
          <w:sz w:val="24"/>
        </w:rPr>
        <w:t>0.047吨/年、NH</w:t>
      </w:r>
      <w:r>
        <w:rPr>
          <w:rFonts w:hint="eastAsia" w:ascii="Times New Roman" w:hAnsi="Times New Roman" w:cs="Times New Roman"/>
          <w:w w:val="105"/>
          <w:sz w:val="24"/>
          <w:vertAlign w:val="subscript"/>
          <w:lang w:val="en-US" w:eastAsia="zh-CN"/>
        </w:rPr>
        <w:t>3</w:t>
      </w:r>
      <w:r>
        <w:rPr>
          <w:rFonts w:hint="eastAsia" w:ascii="Times New Roman" w:hAnsi="Times New Roman" w:cs="Times New Roman"/>
          <w:w w:val="105"/>
          <w:sz w:val="24"/>
        </w:rPr>
        <w:t>-N≤0.0047吨/年、VOCs</w:t>
      </w:r>
      <w:r>
        <w:rPr>
          <w:rFonts w:hint="eastAsia" w:ascii="Times New Roman" w:hAnsi="Times New Roman" w:cs="Times New Roman"/>
          <w:w w:val="105"/>
          <w:sz w:val="24"/>
          <w:lang w:val="en-US" w:eastAsia="zh-CN"/>
        </w:rPr>
        <w:t>≤</w:t>
      </w:r>
      <w:r>
        <w:rPr>
          <w:rFonts w:hint="eastAsia" w:ascii="Times New Roman" w:hAnsi="Times New Roman" w:cs="Times New Roman"/>
          <w:w w:val="105"/>
          <w:sz w:val="24"/>
        </w:rPr>
        <w:t>0.787吨/年。本项目新增污染物排放总量替代来源按照《浦江金理衣架有限公司建设项目新增排污权指标总量平衡替代方案技术审枝意见》执行。</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rPr>
      </w:pPr>
      <w:r>
        <w:rPr>
          <w:rFonts w:hint="eastAsia" w:ascii="Times New Roman" w:hAnsi="Times New Roman" w:cs="Times New Roman"/>
          <w:w w:val="105"/>
          <w:sz w:val="24"/>
        </w:rPr>
        <w:t>五、根据《环评报告表》计算结果，本项目不设置大气环境防护距离。其他各类防护距离要求，请你公司按国家卫生、安全、产业等主管部门相关规定予以落实。</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rPr>
      </w:pPr>
      <w:r>
        <w:rPr>
          <w:rFonts w:hint="eastAsia" w:ascii="Times New Roman" w:hAnsi="Times New Roman" w:cs="Times New Roman"/>
          <w:w w:val="105"/>
          <w:sz w:val="24"/>
        </w:rPr>
        <w:t>六、项目环评文件经批准后，若项目的性质、规模、地点、采用的生产工艺或者防治污染、防止生态破坏的措施等发生重大变动的，应依法重新办理环评审批手续。自批准之日起超过5年方决定该项目开工建设的，其环评文件应当报我局重新审核。在项目建设、运行过程中产生不符合经审批的环评文件情形的，应依法办理相关环保手续。</w:t>
      </w:r>
    </w:p>
    <w:p>
      <w:pPr>
        <w:keepNext w:val="0"/>
        <w:keepLines w:val="0"/>
        <w:pageBreakBefore w:val="0"/>
        <w:widowControl w:val="0"/>
        <w:kinsoku/>
        <w:wordWrap/>
        <w:overflowPunct/>
        <w:topLinePunct w:val="0"/>
        <w:autoSpaceDE/>
        <w:autoSpaceDN/>
        <w:bidi w:val="0"/>
        <w:adjustRightInd/>
        <w:snapToGrid/>
        <w:spacing w:line="384" w:lineRule="auto"/>
        <w:ind w:firstLine="504" w:firstLineChars="200"/>
        <w:textAlignment w:val="auto"/>
        <w:rPr>
          <w:rFonts w:hint="eastAsia" w:ascii="Times New Roman" w:hAnsi="Times New Roman" w:cs="Times New Roman"/>
          <w:w w:val="105"/>
          <w:sz w:val="24"/>
        </w:rPr>
      </w:pPr>
      <w:r>
        <w:rPr>
          <w:rFonts w:hint="eastAsia" w:ascii="Times New Roman" w:hAnsi="Times New Roman" w:cs="Times New Roman"/>
          <w:w w:val="105"/>
          <w:sz w:val="24"/>
        </w:rPr>
        <w:t>以上意见和《环评报告表》中提出的污染防治措施和风险防范措施，你公司应在项目运营和管理中认真予以落实。你公司须严格执行环保“三同时”制度，落实法人承诺。项目正式投产前，须依法进行建设项目环保设施竣工验收，经验收合格后，方可正式投入生产。如不服本行政许可决定，可在接到本批复之日起六十日内向浦江县人民政府申请行政复议，或者在六个月内向人民法院提起行政诉讼。</w:t>
      </w:r>
      <w:r>
        <w:rPr>
          <w:rFonts w:hint="eastAsia" w:ascii="Times New Roman" w:hAnsi="Times New Roman" w:cs="Times New Roman"/>
          <w:w w:val="105"/>
          <w:sz w:val="24"/>
        </w:rPr>
        <w:cr/>
      </w:r>
      <w:r>
        <w:rPr>
          <w:rFonts w:hint="eastAsia" w:ascii="Times New Roman" w:hAnsi="Times New Roman" w:cs="Times New Roman"/>
          <w:w w:val="105"/>
          <w:sz w:val="24"/>
        </w:rPr>
        <w:cr/>
      </w:r>
    </w:p>
    <w:p>
      <w:pPr>
        <w:pStyle w:val="2"/>
        <w:rPr>
          <w:rFonts w:hint="eastAsia" w:ascii="Times New Roman" w:hAnsi="Times New Roman" w:cs="Times New Roman"/>
          <w:w w:val="105"/>
          <w:sz w:val="24"/>
        </w:rPr>
      </w:pPr>
    </w:p>
    <w:p>
      <w:pPr>
        <w:pStyle w:val="3"/>
      </w:pPr>
    </w:p>
    <w:p>
      <w:pPr>
        <w:spacing w:line="360" w:lineRule="auto"/>
        <w:ind w:firstLine="6000" w:firstLineChars="2500"/>
        <w:jc w:val="right"/>
        <w:rPr>
          <w:rFonts w:ascii="Times New Roman" w:hAnsi="Times New Roman" w:cs="Times New Roman"/>
          <w:sz w:val="24"/>
          <w:szCs w:val="24"/>
          <w:highlight w:val="none"/>
          <w:lang w:bidi="zh-CN"/>
        </w:rPr>
      </w:pPr>
      <w:r>
        <w:rPr>
          <w:rFonts w:hint="eastAsia" w:ascii="Times New Roman" w:hAnsi="Times New Roman" w:cs="Times New Roman"/>
          <w:sz w:val="24"/>
          <w:szCs w:val="24"/>
          <w:highlight w:val="none"/>
          <w:lang w:val="en-US" w:bidi="zh-CN"/>
        </w:rPr>
        <w:t>金华市生态环境局</w:t>
      </w:r>
    </w:p>
    <w:p>
      <w:pPr>
        <w:spacing w:line="360" w:lineRule="auto"/>
        <w:ind w:firstLine="480" w:firstLineChars="200"/>
        <w:jc w:val="right"/>
        <w:rPr>
          <w:rFonts w:hint="default" w:ascii="Times New Roman" w:hAnsi="Times New Roman" w:cs="Times New Roman"/>
          <w:b/>
          <w:bCs/>
          <w:w w:val="105"/>
          <w:sz w:val="24"/>
          <w:highlight w:val="none"/>
        </w:rPr>
      </w:pPr>
      <w:r>
        <w:rPr>
          <w:rFonts w:hint="eastAsia" w:ascii="Times New Roman" w:hAnsi="Times New Roman" w:cs="Times New Roman"/>
          <w:sz w:val="24"/>
          <w:szCs w:val="24"/>
          <w:highlight w:val="none"/>
          <w:lang w:val="en-US" w:bidi="zh-CN"/>
        </w:rPr>
        <w:t>2019年6月11日</w:t>
      </w:r>
    </w:p>
    <w:p>
      <w:pPr>
        <w:pStyle w:val="2"/>
        <w:rPr>
          <w:rFonts w:hint="default" w:ascii="Times New Roman" w:hAnsi="Times New Roman" w:cs="Times New Roman"/>
          <w:b/>
          <w:bCs/>
          <w:w w:val="105"/>
          <w:sz w:val="24"/>
          <w:highlight w:val="none"/>
        </w:rPr>
      </w:pPr>
    </w:p>
    <w:p>
      <w:pPr>
        <w:pStyle w:val="2"/>
        <w:rPr>
          <w:rFonts w:hint="default" w:ascii="Times New Roman" w:hAnsi="Times New Roman" w:cs="Times New Roman"/>
          <w:b/>
          <w:bCs/>
          <w:w w:val="105"/>
          <w:sz w:val="24"/>
          <w:highlight w:val="none"/>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pPr>
      <w:bookmarkStart w:id="56" w:name="_Toc8497"/>
      <w:r>
        <w:rPr>
          <w:rFonts w:hint="eastAsia"/>
        </w:rPr>
        <w:t>6验收执行标准</w:t>
      </w:r>
      <w:bookmarkEnd w:id="56"/>
    </w:p>
    <w:p>
      <w:pPr>
        <w:pStyle w:val="5"/>
        <w:rPr>
          <w:rFonts w:eastAsia="宋体"/>
        </w:rPr>
      </w:pPr>
      <w:bookmarkStart w:id="57" w:name="_Toc823"/>
      <w:r>
        <w:rPr>
          <w:rFonts w:hint="eastAsia" w:eastAsia="宋体"/>
        </w:rPr>
        <w:t>6</w:t>
      </w:r>
      <w:r>
        <w:rPr>
          <w:rFonts w:eastAsia="宋体"/>
        </w:rPr>
        <w:t>.1</w:t>
      </w:r>
      <w:r>
        <w:rPr>
          <w:rFonts w:hint="eastAsia" w:eastAsia="宋体"/>
        </w:rPr>
        <w:t>废水验收执行标准</w:t>
      </w:r>
      <w:bookmarkEnd w:id="57"/>
    </w:p>
    <w:p>
      <w:pPr>
        <w:spacing w:line="360" w:lineRule="auto"/>
        <w:ind w:firstLine="480" w:firstLineChars="200"/>
        <w:jc w:val="left"/>
        <w:rPr>
          <w:rFonts w:hint="default" w:ascii="Times New Roman" w:hAnsi="Times New Roman" w:cs="Times New Roman"/>
          <w:sz w:val="24"/>
          <w:szCs w:val="24"/>
          <w:lang w:bidi="zh-CN"/>
        </w:rPr>
      </w:pPr>
      <w:r>
        <w:rPr>
          <w:rFonts w:hint="default" w:ascii="Times New Roman" w:hAnsi="Times New Roman" w:cs="Times New Roman"/>
          <w:sz w:val="24"/>
          <w:szCs w:val="24"/>
          <w:lang w:val="en-US" w:bidi="zh-CN"/>
        </w:rPr>
        <w:t>本项目生活污水经化粪池预处理后，生活污水经预处理后达《污水综合排放标准》（GB8978-1996）三级标准后纳入市政污水管网，进入浦江富春紫光水务有限公司（四厂）处理</w:t>
      </w:r>
      <w:r>
        <w:rPr>
          <w:rFonts w:hint="eastAsia" w:ascii="Times New Roman" w:hAnsi="Times New Roman" w:cs="Times New Roman"/>
          <w:sz w:val="24"/>
          <w:szCs w:val="24"/>
          <w:lang w:val="en-US" w:bidi="zh-CN"/>
        </w:rPr>
        <w:t>，达标后排入浦阳江</w:t>
      </w:r>
      <w:r>
        <w:rPr>
          <w:rFonts w:hint="default" w:ascii="Times New Roman" w:hAnsi="Times New Roman" w:cs="Times New Roman"/>
          <w:sz w:val="24"/>
          <w:szCs w:val="24"/>
          <w:lang w:bidi="zh-CN"/>
        </w:rPr>
        <w:t>。</w:t>
      </w:r>
      <w:r>
        <w:rPr>
          <w:rFonts w:hint="default" w:ascii="Times New Roman" w:hAnsi="Times New Roman" w:cs="Times New Roman"/>
          <w:sz w:val="24"/>
          <w:szCs w:val="24"/>
        </w:rPr>
        <w:t>具体标准限值见表6.1-1。</w:t>
      </w:r>
    </w:p>
    <w:p>
      <w:pPr>
        <w:spacing w:after="3" w:line="360" w:lineRule="auto"/>
        <w:ind w:left="369" w:right="484" w:firstLine="200"/>
        <w:jc w:val="left"/>
        <w:rPr>
          <w:rFonts w:ascii="Times New Roman" w:hAnsi="Times New Roman"/>
          <w:b/>
          <w:bCs/>
          <w:szCs w:val="21"/>
        </w:rPr>
      </w:pPr>
      <w:r>
        <w:rPr>
          <w:rFonts w:hint="eastAsia" w:ascii="Times New Roman" w:hAnsi="Times New Roman"/>
        </w:rPr>
        <w:t xml:space="preserve">     </w:t>
      </w:r>
      <w:r>
        <w:rPr>
          <w:rFonts w:ascii="Times New Roman" w:hAnsi="Times New Roman"/>
        </w:rPr>
        <w:t xml:space="preserve">         </w:t>
      </w:r>
      <w:r>
        <w:rPr>
          <w:rFonts w:hint="eastAsia" w:ascii="Times New Roman" w:hAnsi="Times New Roman"/>
          <w:lang w:val="en-US" w:eastAsia="zh-CN"/>
        </w:rPr>
        <w:t xml:space="preserve">   </w:t>
      </w:r>
      <w:r>
        <w:rPr>
          <w:rFonts w:ascii="Times New Roman" w:hAnsi="Times New Roman"/>
        </w:rPr>
        <w:t xml:space="preserve">  </w:t>
      </w:r>
      <w:r>
        <w:rPr>
          <w:rFonts w:ascii="Times New Roman" w:hAnsi="Times New Roman"/>
          <w:b/>
          <w:bCs/>
          <w:szCs w:val="21"/>
        </w:rPr>
        <w:t xml:space="preserve">表 </w:t>
      </w:r>
      <w:r>
        <w:rPr>
          <w:rFonts w:hint="eastAsia" w:ascii="Times New Roman" w:hAnsi="Times New Roman"/>
          <w:b/>
          <w:bCs/>
          <w:szCs w:val="21"/>
        </w:rPr>
        <w:t>6.1-1</w:t>
      </w:r>
      <w:r>
        <w:rPr>
          <w:rFonts w:ascii="Times New Roman" w:hAnsi="Times New Roman"/>
          <w:b/>
          <w:bCs/>
          <w:szCs w:val="21"/>
        </w:rPr>
        <w:t xml:space="preserve"> </w:t>
      </w:r>
      <w:r>
        <w:rPr>
          <w:rFonts w:hint="eastAsia" w:ascii="Times New Roman" w:hAnsi="Times New Roman"/>
          <w:b/>
          <w:bCs/>
          <w:szCs w:val="21"/>
          <w:lang w:val="en-US" w:eastAsia="zh-CN"/>
        </w:rPr>
        <w:t>污水纳管标准</w:t>
      </w:r>
      <w:r>
        <w:rPr>
          <w:rFonts w:ascii="Times New Roman" w:hAnsi="Times New Roman"/>
          <w:b/>
          <w:bCs/>
          <w:szCs w:val="21"/>
        </w:rPr>
        <w:t xml:space="preserve">     </w:t>
      </w:r>
      <w:r>
        <w:rPr>
          <w:rFonts w:hint="eastAsia" w:ascii="Times New Roman" w:hAnsi="Times New Roman"/>
          <w:b/>
          <w:bCs/>
          <w:szCs w:val="21"/>
        </w:rPr>
        <w:t xml:space="preserve"> </w:t>
      </w:r>
      <w:r>
        <w:rPr>
          <w:rFonts w:ascii="Times New Roman" w:hAnsi="Times New Roman"/>
          <w:b/>
          <w:bCs/>
          <w:szCs w:val="21"/>
        </w:rPr>
        <w:t xml:space="preserve">单位：mg/L，除 pH 值外 </w:t>
      </w:r>
    </w:p>
    <w:tbl>
      <w:tblPr>
        <w:tblStyle w:val="12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1"/>
        <w:gridCol w:w="937"/>
        <w:gridCol w:w="1275"/>
        <w:gridCol w:w="1103"/>
        <w:gridCol w:w="1537"/>
        <w:gridCol w:w="1217"/>
        <w:gridCol w:w="12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723"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污染因子</w:t>
            </w:r>
          </w:p>
        </w:tc>
        <w:tc>
          <w:tcPr>
            <w:tcW w:w="550" w:type="pc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lang w:val="en-US" w:eastAsia="zh-CN"/>
              </w:rPr>
              <w:t>p</w:t>
            </w:r>
            <w:r>
              <w:rPr>
                <w:rFonts w:ascii="Times New Roman" w:hAnsi="Times New Roman" w:eastAsia="宋体" w:cs="Times New Roman"/>
                <w:b/>
                <w:bCs/>
                <w:szCs w:val="21"/>
              </w:rPr>
              <w:t>H</w:t>
            </w:r>
          </w:p>
        </w:tc>
        <w:tc>
          <w:tcPr>
            <w:tcW w:w="748" w:type="pc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CODcr</w:t>
            </w:r>
          </w:p>
        </w:tc>
        <w:tc>
          <w:tcPr>
            <w:tcW w:w="647" w:type="pct"/>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SS</w:t>
            </w:r>
          </w:p>
        </w:tc>
        <w:tc>
          <w:tcPr>
            <w:tcW w:w="902" w:type="pct"/>
            <w:vAlign w:val="center"/>
          </w:tcPr>
          <w:p>
            <w:pPr>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lang w:val="en-US" w:eastAsia="zh-CN"/>
              </w:rPr>
              <w:t>动植物油类</w:t>
            </w:r>
          </w:p>
        </w:tc>
        <w:tc>
          <w:tcPr>
            <w:tcW w:w="714" w:type="pc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总磷</w:t>
            </w:r>
          </w:p>
        </w:tc>
        <w:tc>
          <w:tcPr>
            <w:tcW w:w="712" w:type="pct"/>
            <w:vAlign w:val="center"/>
          </w:tcPr>
          <w:p>
            <w:p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72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三级标准</w:t>
            </w:r>
          </w:p>
        </w:tc>
        <w:tc>
          <w:tcPr>
            <w:tcW w:w="550"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~9</w:t>
            </w:r>
          </w:p>
        </w:tc>
        <w:tc>
          <w:tcPr>
            <w:tcW w:w="748"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00</w:t>
            </w:r>
          </w:p>
        </w:tc>
        <w:tc>
          <w:tcPr>
            <w:tcW w:w="647" w:type="pct"/>
            <w:vAlign w:val="center"/>
          </w:tcPr>
          <w:p>
            <w:pPr>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400</w:t>
            </w:r>
          </w:p>
        </w:tc>
        <w:tc>
          <w:tcPr>
            <w:tcW w:w="902" w:type="pct"/>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100</w:t>
            </w:r>
          </w:p>
        </w:tc>
        <w:tc>
          <w:tcPr>
            <w:tcW w:w="714" w:type="pct"/>
            <w:vAlign w:val="center"/>
          </w:tcPr>
          <w:p>
            <w:pPr>
              <w:jc w:val="center"/>
              <w:rPr>
                <w:rFonts w:hint="default" w:ascii="Times New Roman" w:hAnsi="Times New Roman" w:eastAsia="宋体" w:cs="Times New Roman"/>
                <w:szCs w:val="21"/>
                <w:vertAlign w:val="superscript"/>
                <w:lang w:val="en-US"/>
              </w:rPr>
            </w:pPr>
            <w:r>
              <w:rPr>
                <w:rFonts w:hint="eastAsia" w:ascii="Times New Roman" w:hAnsi="Times New Roman" w:eastAsia="宋体" w:cs="Times New Roman"/>
                <w:szCs w:val="21"/>
                <w:lang w:val="en-US" w:eastAsia="zh-CN"/>
              </w:rPr>
              <w:t>8</w:t>
            </w:r>
            <w:r>
              <w:rPr>
                <w:rFonts w:ascii="Times New Roman" w:hAnsi="Times New Roman" w:eastAsia="宋体" w:cs="Times New Roman"/>
                <w:szCs w:val="21"/>
                <w:vertAlign w:val="superscript"/>
              </w:rPr>
              <w:t>*</w:t>
            </w:r>
          </w:p>
        </w:tc>
        <w:tc>
          <w:tcPr>
            <w:tcW w:w="712" w:type="pct"/>
            <w:vAlign w:val="center"/>
          </w:tcPr>
          <w:p>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szCs w:val="21"/>
              </w:rPr>
              <w:t>3</w:t>
            </w:r>
            <w:r>
              <w:rPr>
                <w:rFonts w:ascii="Times New Roman" w:hAnsi="Times New Roman" w:eastAsia="宋体" w:cs="Times New Roman"/>
                <w:szCs w:val="21"/>
              </w:rPr>
              <w:t>5</w:t>
            </w:r>
            <w:r>
              <w:rPr>
                <w:rFonts w:ascii="Times New Roman" w:hAnsi="Times New Roman" w:eastAsia="宋体" w:cs="Times New Roman"/>
                <w:szCs w:val="21"/>
                <w:vertAlign w:val="superscript"/>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5000" w:type="pct"/>
            <w:gridSpan w:val="7"/>
            <w:vAlign w:val="center"/>
          </w:tcPr>
          <w:p>
            <w:pPr>
              <w:jc w:val="left"/>
              <w:rPr>
                <w:rFonts w:ascii="Times New Roman" w:hAnsi="Times New Roman" w:eastAsia="宋体" w:cs="Times New Roman"/>
                <w:spacing w:val="-1"/>
                <w:szCs w:val="21"/>
              </w:rPr>
            </w:pPr>
            <w:r>
              <w:rPr>
                <w:rFonts w:ascii="Times New Roman" w:hAnsi="Times New Roman" w:eastAsia="宋体" w:cs="Times New Roman"/>
                <w:spacing w:val="-1"/>
                <w:szCs w:val="21"/>
              </w:rPr>
              <w:t>*</w:t>
            </w:r>
            <w:r>
              <w:rPr>
                <w:rFonts w:ascii="Times New Roman" w:hAnsi="Times New Roman" w:eastAsia="宋体" w:cs="Times New Roman"/>
                <w:spacing w:val="-6"/>
                <w:szCs w:val="21"/>
              </w:rPr>
              <w:t>注：氨氮</w:t>
            </w:r>
            <w:r>
              <w:rPr>
                <w:rFonts w:hint="eastAsia" w:ascii="Times New Roman" w:hAnsi="Times New Roman" w:eastAsia="宋体" w:cs="Times New Roman"/>
                <w:spacing w:val="-6"/>
                <w:szCs w:val="21"/>
                <w:lang w:eastAsia="zh-CN"/>
              </w:rPr>
              <w:t>、</w:t>
            </w:r>
            <w:r>
              <w:rPr>
                <w:rFonts w:hint="eastAsia" w:ascii="Times New Roman" w:hAnsi="Times New Roman" w:eastAsia="宋体" w:cs="Times New Roman"/>
                <w:spacing w:val="-6"/>
                <w:szCs w:val="21"/>
                <w:lang w:val="en-US" w:eastAsia="zh-CN"/>
              </w:rPr>
              <w:t>总磷</w:t>
            </w:r>
            <w:r>
              <w:rPr>
                <w:rFonts w:ascii="Times New Roman" w:hAnsi="Times New Roman" w:eastAsia="宋体" w:cs="Times New Roman"/>
                <w:spacing w:val="-6"/>
                <w:szCs w:val="21"/>
              </w:rPr>
              <w:t>入网标准参照《工业企业废水氮、磷污染物间接排放限值》</w:t>
            </w:r>
            <w:r>
              <w:rPr>
                <w:rFonts w:ascii="Times New Roman" w:hAnsi="Times New Roman" w:eastAsia="宋体" w:cs="Times New Roman"/>
                <w:szCs w:val="21"/>
              </w:rPr>
              <w:t>（DB33/887-2013）中的其他企业的限值要求。</w:t>
            </w:r>
          </w:p>
        </w:tc>
      </w:tr>
    </w:tbl>
    <w:p>
      <w:pPr>
        <w:pStyle w:val="5"/>
        <w:rPr>
          <w:rFonts w:eastAsia="宋体"/>
        </w:rPr>
      </w:pPr>
      <w:bookmarkStart w:id="58" w:name="_Toc7544"/>
      <w:r>
        <w:rPr>
          <w:rFonts w:hint="eastAsia" w:eastAsia="宋体"/>
        </w:rPr>
        <w:t>6</w:t>
      </w:r>
      <w:r>
        <w:rPr>
          <w:rFonts w:eastAsia="宋体"/>
        </w:rPr>
        <w:t>.</w:t>
      </w:r>
      <w:r>
        <w:rPr>
          <w:rFonts w:hint="eastAsia" w:eastAsia="宋体"/>
        </w:rPr>
        <w:t>2废气验收执行标准</w:t>
      </w:r>
      <w:bookmarkEnd w:id="58"/>
    </w:p>
    <w:p>
      <w:pPr>
        <w:spacing w:line="360" w:lineRule="auto"/>
        <w:ind w:firstLine="496" w:firstLineChars="200"/>
        <w:rPr>
          <w:rFonts w:hint="eastAsia" w:ascii="Times New Roman" w:hAnsi="Times New Roman" w:eastAsia="宋体" w:cs="Times New Roman"/>
          <w:spacing w:val="4"/>
          <w:sz w:val="24"/>
          <w:szCs w:val="24"/>
          <w:lang w:val="en-US" w:eastAsia="zh-CN" w:bidi="zh-CN"/>
        </w:rPr>
      </w:pPr>
      <w:r>
        <w:rPr>
          <w:rFonts w:hint="eastAsia" w:ascii="Times New Roman" w:hAnsi="Times New Roman" w:eastAsia="宋体" w:cs="Times New Roman"/>
          <w:spacing w:val="4"/>
          <w:sz w:val="24"/>
          <w:szCs w:val="24"/>
          <w:lang w:val="en-US" w:bidi="zh-CN"/>
        </w:rPr>
        <w:t>（1）浸塑固化废气（非甲烷总烃）排放执行《工业涂装工序大气污染物排放标准》（DB 33/2146-2018）中的表1大气污染物排放限值，无组织废气（非甲烷总烃）排放执行《工业涂装工序大气污染物排放标准》（DB33/2146-2018）表6相关限值，焊接废气（</w:t>
      </w:r>
      <w:r>
        <w:rPr>
          <w:rFonts w:hint="eastAsia" w:ascii="Times New Roman" w:hAnsi="Times New Roman" w:eastAsia="宋体" w:cs="Times New Roman"/>
          <w:spacing w:val="4"/>
          <w:sz w:val="24"/>
          <w:szCs w:val="24"/>
          <w:lang w:val="en-US" w:bidi="zh-CN"/>
        </w:rPr>
        <w:t>颗粒物</w:t>
      </w:r>
      <w:r>
        <w:rPr>
          <w:rFonts w:hint="eastAsia" w:ascii="Times New Roman" w:hAnsi="Times New Roman" w:eastAsia="宋体" w:cs="Times New Roman"/>
          <w:spacing w:val="4"/>
          <w:sz w:val="24"/>
          <w:szCs w:val="24"/>
          <w:lang w:val="en-US" w:bidi="zh-CN"/>
        </w:rPr>
        <w:t>）无组织排放执行《大气污染物综合排放标准》（GB16297-1996）中表2新污染源二级排放限值，</w:t>
      </w:r>
      <w:r>
        <w:rPr>
          <w:rFonts w:hint="eastAsia" w:ascii="Times New Roman" w:hAnsi="Times New Roman" w:eastAsia="宋体" w:cs="Times New Roman"/>
          <w:spacing w:val="4"/>
          <w:sz w:val="24"/>
          <w:szCs w:val="24"/>
          <w:lang w:bidi="zh-CN"/>
        </w:rPr>
        <w:t>厂区内挥发性有机物（</w:t>
      </w:r>
      <w:r>
        <w:rPr>
          <w:rFonts w:hint="eastAsia" w:ascii="Times New Roman" w:hAnsi="Times New Roman" w:eastAsia="宋体" w:cs="Times New Roman"/>
          <w:spacing w:val="4"/>
          <w:sz w:val="24"/>
          <w:szCs w:val="24"/>
          <w:lang w:val="en-US" w:bidi="zh-CN"/>
        </w:rPr>
        <w:t>非甲烷总烃</w:t>
      </w:r>
      <w:r>
        <w:rPr>
          <w:rFonts w:hint="eastAsia" w:ascii="Times New Roman" w:hAnsi="Times New Roman" w:eastAsia="宋体" w:cs="Times New Roman"/>
          <w:spacing w:val="4"/>
          <w:sz w:val="24"/>
          <w:szCs w:val="24"/>
          <w:lang w:bidi="zh-CN"/>
        </w:rPr>
        <w:t>）</w:t>
      </w:r>
      <w:r>
        <w:rPr>
          <w:rFonts w:hint="eastAsia" w:ascii="Times New Roman" w:hAnsi="Times New Roman" w:eastAsia="宋体" w:cs="Times New Roman"/>
          <w:spacing w:val="4"/>
          <w:sz w:val="24"/>
          <w:szCs w:val="24"/>
          <w:lang w:val="en-US" w:bidi="zh-CN"/>
        </w:rPr>
        <w:t>排放</w:t>
      </w:r>
      <w:r>
        <w:rPr>
          <w:rFonts w:hint="eastAsia" w:ascii="Times New Roman" w:hAnsi="Times New Roman" w:eastAsia="宋体" w:cs="Times New Roman"/>
          <w:spacing w:val="4"/>
          <w:sz w:val="24"/>
          <w:szCs w:val="24"/>
          <w:lang w:bidi="zh-CN"/>
        </w:rPr>
        <w:t>执行《挥发性有机物无组织排放控制标准》（GB 37822-2019）附录A中表A.1厂区内VOCs无组织特别排放限值</w:t>
      </w:r>
      <w:r>
        <w:rPr>
          <w:rFonts w:hint="eastAsia" w:ascii="Times New Roman" w:hAnsi="Times New Roman" w:eastAsia="宋体" w:cs="Times New Roman"/>
          <w:spacing w:val="4"/>
          <w:sz w:val="24"/>
          <w:szCs w:val="24"/>
          <w:lang w:val="en-US" w:bidi="zh-CN"/>
        </w:rPr>
        <w:t>；</w:t>
      </w:r>
      <w:r>
        <w:rPr>
          <w:rFonts w:hint="eastAsia" w:ascii="Times New Roman" w:hAnsi="Times New Roman" w:eastAsia="宋体" w:cs="Times New Roman"/>
          <w:spacing w:val="4"/>
          <w:sz w:val="24"/>
          <w:szCs w:val="24"/>
          <w:lang w:bidi="zh-CN"/>
        </w:rPr>
        <w:t>详</w:t>
      </w:r>
      <w:r>
        <w:rPr>
          <w:rFonts w:hint="eastAsia" w:ascii="Times New Roman" w:hAnsi="Times New Roman" w:eastAsia="宋体" w:cs="Times New Roman"/>
          <w:spacing w:val="4"/>
          <w:sz w:val="24"/>
          <w:szCs w:val="24"/>
        </w:rPr>
        <w:t>见表6</w:t>
      </w:r>
      <w:r>
        <w:rPr>
          <w:rFonts w:ascii="Times New Roman" w:hAnsi="Times New Roman" w:eastAsia="宋体" w:cs="Times New Roman"/>
          <w:spacing w:val="4"/>
          <w:sz w:val="24"/>
          <w:szCs w:val="24"/>
        </w:rPr>
        <w:t>.2</w:t>
      </w:r>
      <w:r>
        <w:rPr>
          <w:rFonts w:hint="eastAsia" w:ascii="Times New Roman" w:hAnsi="Times New Roman" w:eastAsia="宋体" w:cs="Times New Roman"/>
          <w:spacing w:val="4"/>
          <w:sz w:val="24"/>
          <w:szCs w:val="24"/>
        </w:rPr>
        <w:t>-</w:t>
      </w:r>
      <w:r>
        <w:rPr>
          <w:rFonts w:ascii="Times New Roman" w:hAnsi="Times New Roman" w:eastAsia="宋体" w:cs="Times New Roman"/>
          <w:spacing w:val="4"/>
          <w:sz w:val="24"/>
          <w:szCs w:val="24"/>
        </w:rPr>
        <w:t>1</w:t>
      </w:r>
      <w:r>
        <w:rPr>
          <w:rFonts w:hint="eastAsia"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rPr>
        <w:t>6</w:t>
      </w:r>
      <w:r>
        <w:rPr>
          <w:rFonts w:ascii="Times New Roman" w:hAnsi="Times New Roman" w:eastAsia="宋体" w:cs="Times New Roman"/>
          <w:spacing w:val="4"/>
          <w:sz w:val="24"/>
          <w:szCs w:val="24"/>
        </w:rPr>
        <w:t>.2</w:t>
      </w:r>
      <w:r>
        <w:rPr>
          <w:rFonts w:hint="eastAsia" w:ascii="Times New Roman" w:hAnsi="Times New Roman" w:eastAsia="宋体" w:cs="Times New Roman"/>
          <w:spacing w:val="4"/>
          <w:sz w:val="24"/>
          <w:szCs w:val="24"/>
        </w:rPr>
        <w:t>-</w:t>
      </w:r>
      <w:r>
        <w:rPr>
          <w:rFonts w:hint="eastAsia" w:ascii="Times New Roman" w:hAnsi="Times New Roman" w:eastAsia="宋体" w:cs="Times New Roman"/>
          <w:spacing w:val="4"/>
          <w:sz w:val="24"/>
          <w:szCs w:val="24"/>
          <w:lang w:val="en-US" w:eastAsia="zh-CN"/>
        </w:rPr>
        <w:t>2</w:t>
      </w:r>
      <w:r>
        <w:rPr>
          <w:rFonts w:hint="eastAsia"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rPr>
        <w:t>6</w:t>
      </w:r>
      <w:r>
        <w:rPr>
          <w:rFonts w:ascii="Times New Roman" w:hAnsi="Times New Roman" w:eastAsia="宋体" w:cs="Times New Roman"/>
          <w:spacing w:val="4"/>
          <w:sz w:val="24"/>
          <w:szCs w:val="24"/>
        </w:rPr>
        <w:t>.2</w:t>
      </w:r>
      <w:r>
        <w:rPr>
          <w:rFonts w:hint="eastAsia" w:ascii="Times New Roman" w:hAnsi="Times New Roman" w:eastAsia="宋体" w:cs="Times New Roman"/>
          <w:spacing w:val="4"/>
          <w:sz w:val="24"/>
          <w:szCs w:val="24"/>
        </w:rPr>
        <w:t>-</w:t>
      </w:r>
      <w:r>
        <w:rPr>
          <w:rFonts w:hint="eastAsia" w:ascii="Times New Roman" w:hAnsi="Times New Roman" w:eastAsia="宋体" w:cs="Times New Roman"/>
          <w:spacing w:val="4"/>
          <w:sz w:val="24"/>
          <w:szCs w:val="24"/>
          <w:lang w:val="en-US" w:eastAsia="zh-CN"/>
        </w:rPr>
        <w:t>3、6.2-4</w:t>
      </w:r>
      <w:r>
        <w:rPr>
          <w:rFonts w:hint="eastAsia" w:ascii="Times New Roman" w:hAnsi="Times New Roman" w:eastAsia="宋体" w:cs="Times New Roman"/>
          <w:spacing w:val="4"/>
          <w:sz w:val="24"/>
          <w:szCs w:val="24"/>
          <w:lang w:eastAsia="zh-CN"/>
        </w:rPr>
        <w:t>。</w:t>
      </w:r>
    </w:p>
    <w:p>
      <w:pPr>
        <w:spacing w:line="460" w:lineRule="exact"/>
        <w:jc w:val="center"/>
        <w:rPr>
          <w:rFonts w:hint="eastAsia" w:ascii="Times New Roman" w:hAnsi="Times New Roman"/>
          <w:b/>
          <w:bCs/>
          <w:kern w:val="0"/>
          <w:lang w:val="en-US" w:bidi="zh-CN"/>
        </w:rPr>
      </w:pPr>
      <w:r>
        <w:rPr>
          <w:rFonts w:hint="eastAsia" w:ascii="Times New Roman" w:hAnsi="Times New Roman"/>
          <w:b/>
          <w:bCs/>
          <w:kern w:val="0"/>
        </w:rPr>
        <w:t>表</w:t>
      </w:r>
      <w:r>
        <w:rPr>
          <w:rFonts w:ascii="Times New Roman" w:hAnsi="Times New Roman"/>
          <w:b/>
          <w:bCs/>
          <w:kern w:val="0"/>
        </w:rPr>
        <w:t>6.2</w:t>
      </w:r>
      <w:r>
        <w:rPr>
          <w:rFonts w:hint="eastAsia" w:ascii="Times New Roman" w:hAnsi="Times New Roman"/>
          <w:b/>
          <w:bCs/>
          <w:kern w:val="0"/>
        </w:rPr>
        <w:t>-</w:t>
      </w:r>
      <w:r>
        <w:rPr>
          <w:rFonts w:hint="eastAsia" w:ascii="Times New Roman" w:hAnsi="Times New Roman"/>
          <w:b/>
          <w:bCs/>
          <w:kern w:val="0"/>
          <w:lang w:val="en-US" w:eastAsia="zh-CN"/>
        </w:rPr>
        <w:t>1</w:t>
      </w:r>
      <w:r>
        <w:rPr>
          <w:rFonts w:hint="eastAsia" w:ascii="Times New Roman" w:hAnsi="Times New Roman"/>
          <w:b/>
          <w:bCs/>
          <w:kern w:val="0"/>
        </w:rPr>
        <w:t xml:space="preserve"> </w:t>
      </w:r>
      <w:r>
        <w:rPr>
          <w:rFonts w:hint="eastAsia" w:ascii="Times New Roman" w:hAnsi="Times New Roman"/>
          <w:b/>
          <w:bCs/>
          <w:kern w:val="0"/>
          <w:lang w:eastAsia="zh-CN"/>
        </w:rPr>
        <w:t>《</w:t>
      </w:r>
      <w:r>
        <w:rPr>
          <w:rFonts w:hint="eastAsia" w:ascii="Times New Roman" w:hAnsi="Times New Roman"/>
          <w:b/>
          <w:bCs/>
          <w:kern w:val="0"/>
          <w:lang w:val="en-US" w:bidi="zh-CN"/>
        </w:rPr>
        <w:t>大气污染物综合排放限值》(GB 16297-1996)</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8"/>
        <w:gridCol w:w="1496"/>
        <w:gridCol w:w="1387"/>
        <w:gridCol w:w="1387"/>
        <w:gridCol w:w="1226"/>
        <w:gridCol w:w="1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restart"/>
            <w:vAlign w:val="center"/>
          </w:tcPr>
          <w:p>
            <w:pPr>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污染物名称</w:t>
            </w:r>
          </w:p>
        </w:tc>
        <w:tc>
          <w:tcPr>
            <w:tcW w:w="1496" w:type="dxa"/>
            <w:vMerge w:val="restart"/>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最高允许排放浓度（mg/m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c>
          <w:tcPr>
            <w:tcW w:w="2774" w:type="dxa"/>
            <w:gridSpan w:val="2"/>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最高允许排放速率（kg/h）</w:t>
            </w:r>
          </w:p>
        </w:tc>
        <w:tc>
          <w:tcPr>
            <w:tcW w:w="2779" w:type="dxa"/>
            <w:gridSpan w:val="2"/>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无组织排放浓度监控限值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continue"/>
            <w:vAlign w:val="center"/>
          </w:tcPr>
          <w:p>
            <w:pPr>
              <w:jc w:val="center"/>
              <w:rPr>
                <w:rFonts w:hint="default" w:ascii="Times New Roman" w:hAnsi="Times New Roman" w:eastAsia="宋体" w:cs="Times New Roman"/>
                <w:b/>
                <w:bCs/>
                <w:lang w:eastAsia="zh-CN"/>
              </w:rPr>
            </w:pPr>
          </w:p>
        </w:tc>
        <w:tc>
          <w:tcPr>
            <w:tcW w:w="1496" w:type="dxa"/>
            <w:vMerge w:val="continue"/>
            <w:vAlign w:val="center"/>
          </w:tcPr>
          <w:p>
            <w:pPr>
              <w:jc w:val="center"/>
              <w:rPr>
                <w:rFonts w:hint="default" w:ascii="Times New Roman" w:hAnsi="Times New Roman" w:eastAsia="宋体" w:cs="Times New Roman"/>
                <w:b/>
                <w:bCs/>
                <w:lang w:eastAsia="zh-CN"/>
              </w:rPr>
            </w:pPr>
          </w:p>
        </w:tc>
        <w:tc>
          <w:tcPr>
            <w:tcW w:w="1387"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排气筒（m）</w:t>
            </w:r>
          </w:p>
        </w:tc>
        <w:tc>
          <w:tcPr>
            <w:tcW w:w="1387"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二级标准</w:t>
            </w:r>
          </w:p>
        </w:tc>
        <w:tc>
          <w:tcPr>
            <w:tcW w:w="1226"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监控位置</w:t>
            </w:r>
          </w:p>
        </w:tc>
        <w:tc>
          <w:tcPr>
            <w:tcW w:w="1553"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浓度（mg/m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78" w:type="dxa"/>
            <w:vAlign w:val="center"/>
          </w:tcPr>
          <w:p>
            <w:pPr>
              <w:jc w:val="center"/>
              <w:rPr>
                <w:rFonts w:hint="eastAsia" w:ascii="Times New Roman" w:hAnsiTheme="minorHAnsi" w:eastAsiaTheme="minorEastAsia" w:cstheme="minorBidi"/>
                <w:kern w:val="2"/>
                <w:sz w:val="21"/>
                <w:szCs w:val="22"/>
                <w:lang w:val="en-US" w:eastAsia="zh-CN" w:bidi="ar-SA"/>
              </w:rPr>
            </w:pPr>
            <w:r>
              <w:rPr>
                <w:rFonts w:hint="default" w:ascii="Times New Roman"/>
              </w:rPr>
              <w:t>颗粒物</w:t>
            </w:r>
          </w:p>
        </w:tc>
        <w:tc>
          <w:tcPr>
            <w:tcW w:w="1496"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lang w:val="en-US" w:eastAsia="zh-CN"/>
              </w:rPr>
              <w:t>/</w:t>
            </w:r>
          </w:p>
        </w:tc>
        <w:tc>
          <w:tcPr>
            <w:tcW w:w="1387"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lang w:val="en-US" w:eastAsia="zh-CN"/>
              </w:rPr>
              <w:t>/</w:t>
            </w:r>
          </w:p>
        </w:tc>
        <w:tc>
          <w:tcPr>
            <w:tcW w:w="1387"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lang w:val="en-US" w:eastAsia="zh-CN"/>
              </w:rPr>
              <w:t>/</w:t>
            </w:r>
          </w:p>
        </w:tc>
        <w:tc>
          <w:tcPr>
            <w:tcW w:w="1226"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default" w:ascii="Times New Roman"/>
                <w:lang w:eastAsia="zh-CN"/>
              </w:rPr>
              <w:t>周界外浓度最高点</w:t>
            </w:r>
          </w:p>
        </w:tc>
        <w:tc>
          <w:tcPr>
            <w:tcW w:w="1553"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default" w:ascii="Times New Roman"/>
                <w:lang w:val="en-US" w:eastAsia="zh-CN"/>
              </w:rPr>
              <w:t>1.0</w:t>
            </w:r>
          </w:p>
        </w:tc>
      </w:tr>
    </w:tbl>
    <w:p>
      <w:pPr>
        <w:keepNext w:val="0"/>
        <w:keepLines w:val="0"/>
        <w:pageBreakBefore w:val="0"/>
        <w:widowControl w:val="0"/>
        <w:kinsoku/>
        <w:wordWrap/>
        <w:overflowPunct/>
        <w:topLinePunct w:val="0"/>
        <w:autoSpaceDE/>
        <w:autoSpaceDN/>
        <w:bidi w:val="0"/>
        <w:adjustRightInd/>
        <w:snapToGrid/>
        <w:spacing w:before="161" w:beforeLines="50"/>
        <w:ind w:firstLine="422" w:firstLineChars="200"/>
        <w:jc w:val="center"/>
        <w:textAlignment w:val="auto"/>
        <w:rPr>
          <w:rFonts w:hint="eastAsia" w:ascii="Times New Roman" w:hAnsi="Times New Roman" w:eastAsia="宋体" w:cs="Times New Roman"/>
          <w:b/>
          <w:bCs/>
          <w:szCs w:val="21"/>
        </w:rPr>
      </w:pPr>
    </w:p>
    <w:p>
      <w:pPr>
        <w:keepNext w:val="0"/>
        <w:keepLines w:val="0"/>
        <w:pageBreakBefore w:val="0"/>
        <w:widowControl w:val="0"/>
        <w:kinsoku/>
        <w:wordWrap/>
        <w:overflowPunct/>
        <w:topLinePunct w:val="0"/>
        <w:autoSpaceDE/>
        <w:autoSpaceDN/>
        <w:bidi w:val="0"/>
        <w:adjustRightInd/>
        <w:snapToGrid/>
        <w:spacing w:before="161" w:beforeLines="50"/>
        <w:ind w:firstLine="422" w:firstLineChars="200"/>
        <w:jc w:val="center"/>
        <w:textAlignment w:val="auto"/>
        <w:rPr>
          <w:rFonts w:hint="eastAsia" w:ascii="Times New Roman" w:hAnsi="Times New Roman" w:eastAsia="宋体" w:cs="Times New Roman"/>
          <w:b/>
          <w:bCs/>
          <w:szCs w:val="21"/>
        </w:rPr>
      </w:pPr>
    </w:p>
    <w:p>
      <w:pPr>
        <w:keepNext w:val="0"/>
        <w:keepLines w:val="0"/>
        <w:pageBreakBefore w:val="0"/>
        <w:widowControl w:val="0"/>
        <w:kinsoku/>
        <w:wordWrap/>
        <w:overflowPunct/>
        <w:topLinePunct w:val="0"/>
        <w:autoSpaceDE/>
        <w:autoSpaceDN/>
        <w:bidi w:val="0"/>
        <w:adjustRightInd/>
        <w:snapToGrid/>
        <w:spacing w:before="161" w:beforeLines="50"/>
        <w:ind w:firstLine="422" w:firstLineChars="200"/>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.2</w:t>
      </w:r>
      <w:r>
        <w:rPr>
          <w:rFonts w:hint="eastAsia"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2</w:t>
      </w:r>
      <w:r>
        <w:rPr>
          <w:rFonts w:hint="eastAsia" w:ascii="Times New Roman" w:hAnsi="Times New Roman"/>
          <w:b/>
          <w:bCs/>
          <w:kern w:val="0"/>
        </w:rPr>
        <w:t xml:space="preserve"> </w:t>
      </w:r>
      <w:r>
        <w:rPr>
          <w:rFonts w:hint="eastAsia" w:ascii="Times New Roman" w:hAnsi="Times New Roman" w:eastAsia="宋体" w:cs="Times New Roman"/>
          <w:b/>
          <w:bCs/>
          <w:szCs w:val="21"/>
        </w:rPr>
        <w:t>《工业涂装工序大气污染物排放标准》（DB33/2146-2018）</w:t>
      </w:r>
      <w:r>
        <w:rPr>
          <w:rFonts w:hint="eastAsia" w:ascii="Times New Roman" w:hAnsi="Times New Roman" w:cs="Times New Roman"/>
          <w:b/>
          <w:szCs w:val="21"/>
          <w:lang w:val="en-US" w:eastAsia="zh-CN"/>
        </w:rPr>
        <w:t>表1</w:t>
      </w:r>
    </w:p>
    <w:tbl>
      <w:tblPr>
        <w:tblStyle w:val="33"/>
        <w:tblW w:w="83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75"/>
        <w:gridCol w:w="2075"/>
        <w:gridCol w:w="1795"/>
        <w:gridCol w:w="23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075" w:type="dxa"/>
            <w:vMerge w:val="restart"/>
            <w:vAlign w:val="center"/>
          </w:tcPr>
          <w:p>
            <w:pPr>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污染物项目</w:t>
            </w:r>
          </w:p>
        </w:tc>
        <w:tc>
          <w:tcPr>
            <w:tcW w:w="6225" w:type="dxa"/>
            <w:gridSpan w:val="3"/>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075" w:type="dxa"/>
            <w:vMerge w:val="continue"/>
            <w:vAlign w:val="center"/>
          </w:tcPr>
          <w:p>
            <w:pPr>
              <w:jc w:val="center"/>
              <w:rPr>
                <w:rFonts w:hint="default" w:ascii="Times New Roman" w:hAnsi="Times New Roman" w:eastAsia="宋体" w:cs="Times New Roman"/>
                <w:b/>
                <w:bCs/>
                <w:lang w:eastAsia="zh-CN"/>
              </w:rPr>
            </w:pPr>
          </w:p>
        </w:tc>
        <w:tc>
          <w:tcPr>
            <w:tcW w:w="2075"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排放限值（mg/m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c>
          <w:tcPr>
            <w:tcW w:w="1795"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适用条件</w:t>
            </w:r>
          </w:p>
        </w:tc>
        <w:tc>
          <w:tcPr>
            <w:tcW w:w="2355"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污染物排放监控位置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075" w:type="dxa"/>
            <w:vAlign w:val="center"/>
          </w:tcPr>
          <w:p>
            <w:pPr>
              <w:spacing w:line="240" w:lineRule="auto"/>
              <w:jc w:val="center"/>
              <w:rPr>
                <w:rFonts w:hint="eastAsia"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非甲烷总烃</w:t>
            </w:r>
          </w:p>
        </w:tc>
        <w:tc>
          <w:tcPr>
            <w:tcW w:w="2075" w:type="dxa"/>
            <w:vAlign w:val="center"/>
          </w:tcPr>
          <w:p>
            <w:pPr>
              <w:spacing w:line="240" w:lineRule="auto"/>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80</w:t>
            </w:r>
          </w:p>
        </w:tc>
        <w:tc>
          <w:tcPr>
            <w:tcW w:w="1795" w:type="dxa"/>
            <w:vAlign w:val="center"/>
          </w:tcPr>
          <w:p>
            <w:pPr>
              <w:jc w:val="center"/>
              <w:rPr>
                <w:rFonts w:hint="default" w:ascii="Times New Roman" w:hAnsi="Times New Roman" w:eastAsia="宋体" w:cs="Times New Roman"/>
                <w:b/>
                <w:bCs/>
                <w:position w:val="7"/>
                <w:szCs w:val="21"/>
                <w:lang w:val="en-US" w:eastAsia="zh-CN"/>
              </w:rPr>
            </w:pPr>
            <w:r>
              <w:rPr>
                <w:rFonts w:hint="eastAsia" w:ascii="Times New Roman" w:hAnsi="Times New Roman" w:eastAsia="宋体" w:cs="Times New Roman"/>
                <w:lang w:val="en-US" w:eastAsia="zh-CN"/>
              </w:rPr>
              <w:t>所有</w:t>
            </w:r>
          </w:p>
        </w:tc>
        <w:tc>
          <w:tcPr>
            <w:tcW w:w="2355" w:type="dxa"/>
            <w:vAlign w:val="center"/>
          </w:tcPr>
          <w:p>
            <w:pPr>
              <w:jc w:val="center"/>
              <w:rPr>
                <w:rFonts w:hint="default" w:ascii="Times New Roman" w:hAnsi="Times New Roman" w:eastAsia="宋体" w:cs="Times New Roman"/>
                <w:b/>
                <w:bCs/>
                <w:position w:val="7"/>
                <w:szCs w:val="21"/>
                <w:lang w:val="en-US" w:eastAsia="zh-CN"/>
              </w:rPr>
            </w:pPr>
            <w:r>
              <w:rPr>
                <w:rFonts w:hint="default" w:ascii="Times New Roman" w:hAnsi="Times New Roman" w:eastAsia="宋体" w:cs="Times New Roman"/>
                <w:lang w:val="en-US" w:eastAsia="zh-CN"/>
              </w:rPr>
              <w:t>车间或生产设施排气筒</w:t>
            </w:r>
          </w:p>
        </w:tc>
      </w:tr>
    </w:tbl>
    <w:p>
      <w:pPr>
        <w:spacing w:line="460" w:lineRule="exact"/>
        <w:jc w:val="center"/>
        <w:rPr>
          <w:rFonts w:hint="default" w:ascii="Times New Roman" w:hAnsi="Times New Roman" w:eastAsia="宋体"/>
          <w:b/>
          <w:bCs/>
          <w:kern w:val="0"/>
          <w:lang w:val="en-US" w:eastAsia="zh-CN" w:bidi="zh-CN"/>
        </w:rPr>
      </w:pPr>
      <w:r>
        <w:rPr>
          <w:rFonts w:hint="eastAsia" w:ascii="Times New Roman" w:hAnsi="Times New Roman"/>
          <w:b/>
          <w:bCs/>
          <w:kern w:val="0"/>
        </w:rPr>
        <w:t>表</w:t>
      </w:r>
      <w:r>
        <w:rPr>
          <w:rFonts w:ascii="Times New Roman" w:hAnsi="Times New Roman"/>
          <w:b/>
          <w:bCs/>
          <w:kern w:val="0"/>
        </w:rPr>
        <w:t>6.2</w:t>
      </w:r>
      <w:r>
        <w:rPr>
          <w:rFonts w:hint="eastAsia" w:ascii="Times New Roman" w:hAnsi="Times New Roman"/>
          <w:b/>
          <w:bCs/>
          <w:kern w:val="0"/>
        </w:rPr>
        <w:t>-</w:t>
      </w:r>
      <w:r>
        <w:rPr>
          <w:rFonts w:hint="eastAsia" w:ascii="Times New Roman" w:hAnsi="Times New Roman"/>
          <w:b/>
          <w:bCs/>
          <w:kern w:val="0"/>
          <w:lang w:val="en-US" w:eastAsia="zh-CN"/>
        </w:rPr>
        <w:t>3</w:t>
      </w:r>
      <w:r>
        <w:rPr>
          <w:rFonts w:hint="eastAsia" w:ascii="Times New Roman" w:hAnsi="Times New Roman"/>
          <w:b/>
          <w:bCs/>
          <w:kern w:val="0"/>
        </w:rPr>
        <w:t xml:space="preserve"> </w:t>
      </w:r>
      <w:r>
        <w:rPr>
          <w:rFonts w:hint="eastAsia" w:ascii="Times New Roman" w:hAnsi="Times New Roman" w:eastAsia="宋体" w:cs="Times New Roman"/>
          <w:b/>
          <w:bCs/>
          <w:szCs w:val="21"/>
        </w:rPr>
        <w:t>《工业涂装工序大气污染物排放标准》（DB33/2146-2018）</w:t>
      </w:r>
      <w:r>
        <w:rPr>
          <w:rFonts w:hint="eastAsia" w:ascii="Times New Roman" w:hAnsi="Times New Roman" w:eastAsia="宋体" w:cs="Times New Roman"/>
          <w:b/>
          <w:bCs/>
          <w:szCs w:val="21"/>
          <w:lang w:val="en-US" w:eastAsia="zh-CN"/>
        </w:rPr>
        <w:t>表6</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91"/>
        <w:gridCol w:w="3457"/>
        <w:gridCol w:w="27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91"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污染物名称</w:t>
            </w:r>
          </w:p>
        </w:tc>
        <w:tc>
          <w:tcPr>
            <w:tcW w:w="3457"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适用条件</w:t>
            </w:r>
          </w:p>
        </w:tc>
        <w:tc>
          <w:tcPr>
            <w:tcW w:w="2779"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浓度限值（mg/m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91" w:type="dxa"/>
            <w:vAlign w:val="center"/>
          </w:tcPr>
          <w:p>
            <w:pPr>
              <w:spacing w:line="240" w:lineRule="auto"/>
              <w:jc w:val="center"/>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非甲烷总烃</w:t>
            </w:r>
          </w:p>
        </w:tc>
        <w:tc>
          <w:tcPr>
            <w:tcW w:w="3457"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lang w:val="en-US" w:eastAsia="zh-CN"/>
              </w:rPr>
              <w:t>所有</w:t>
            </w:r>
          </w:p>
        </w:tc>
        <w:tc>
          <w:tcPr>
            <w:tcW w:w="2779"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lang w:val="en-US" w:eastAsia="zh-CN"/>
              </w:rPr>
              <w:t>4.0</w:t>
            </w:r>
          </w:p>
        </w:tc>
      </w:tr>
    </w:tbl>
    <w:p>
      <w:pPr>
        <w:spacing w:line="460" w:lineRule="exact"/>
        <w:jc w:val="center"/>
        <w:rPr>
          <w:rFonts w:hint="eastAsia" w:ascii="Times New Roman" w:hAnsi="Times New Roman"/>
          <w:b/>
          <w:bCs/>
          <w:kern w:val="0"/>
          <w:lang w:val="en-US" w:bidi="zh-CN"/>
        </w:rPr>
      </w:pPr>
      <w:r>
        <w:rPr>
          <w:rFonts w:hint="eastAsia" w:ascii="Times New Roman" w:hAnsi="Times New Roman"/>
          <w:b/>
          <w:bCs/>
          <w:kern w:val="0"/>
        </w:rPr>
        <w:t>表</w:t>
      </w:r>
      <w:r>
        <w:rPr>
          <w:rFonts w:ascii="Times New Roman" w:hAnsi="Times New Roman"/>
          <w:b/>
          <w:bCs/>
          <w:kern w:val="0"/>
        </w:rPr>
        <w:t>6.2</w:t>
      </w:r>
      <w:r>
        <w:rPr>
          <w:rFonts w:hint="eastAsia" w:ascii="Times New Roman" w:hAnsi="Times New Roman"/>
          <w:b/>
          <w:bCs/>
          <w:kern w:val="0"/>
        </w:rPr>
        <w:t>-</w:t>
      </w:r>
      <w:r>
        <w:rPr>
          <w:rFonts w:hint="eastAsia" w:ascii="Times New Roman" w:hAnsi="Times New Roman"/>
          <w:b/>
          <w:bCs/>
          <w:kern w:val="0"/>
          <w:lang w:val="en-US" w:eastAsia="zh-CN"/>
        </w:rPr>
        <w:t>4</w:t>
      </w:r>
      <w:r>
        <w:rPr>
          <w:rFonts w:hint="eastAsia" w:ascii="Times New Roman" w:hAnsi="Times New Roman"/>
          <w:b/>
          <w:bCs/>
          <w:kern w:val="0"/>
        </w:rPr>
        <w:t xml:space="preserve"> </w:t>
      </w:r>
      <w:r>
        <w:rPr>
          <w:rFonts w:hint="eastAsia" w:ascii="Times New Roman" w:hAnsi="Times New Roman"/>
          <w:b/>
          <w:bCs/>
          <w:kern w:val="0"/>
          <w:lang w:eastAsia="zh-CN"/>
        </w:rPr>
        <w:t>《</w:t>
      </w:r>
      <w:r>
        <w:rPr>
          <w:rFonts w:hint="eastAsia" w:ascii="Times New Roman" w:hAnsi="Times New Roman"/>
          <w:b/>
          <w:bCs/>
          <w:kern w:val="0"/>
          <w:lang w:val="en-US" w:bidi="zh-CN"/>
        </w:rPr>
        <w:t>挥发性有机物无组织排放控制标准》(GB 37822-2019)</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8"/>
        <w:gridCol w:w="1885"/>
        <w:gridCol w:w="3033"/>
        <w:gridCol w:w="2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78" w:type="dxa"/>
            <w:vAlign w:val="center"/>
          </w:tcPr>
          <w:p>
            <w:pPr>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污染物项目</w:t>
            </w:r>
          </w:p>
        </w:tc>
        <w:tc>
          <w:tcPr>
            <w:tcW w:w="1885"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排放</w:t>
            </w:r>
            <w:r>
              <w:rPr>
                <w:rFonts w:hint="default" w:ascii="Times New Roman" w:hAnsi="Times New Roman" w:eastAsia="宋体" w:cs="Times New Roman"/>
                <w:b/>
                <w:bCs/>
                <w:lang w:eastAsia="zh-CN"/>
              </w:rPr>
              <w:t>限值（mg/m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c>
          <w:tcPr>
            <w:tcW w:w="3033"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限值含义</w:t>
            </w:r>
          </w:p>
        </w:tc>
        <w:tc>
          <w:tcPr>
            <w:tcW w:w="2131"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无组织排放监控位置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restart"/>
            <w:vAlign w:val="center"/>
          </w:tcPr>
          <w:p>
            <w:pPr>
              <w:jc w:val="center"/>
              <w:rPr>
                <w:rFonts w:hint="eastAsia" w:ascii="Times New Roman" w:hAnsiTheme="minorHAnsi" w:eastAsiaTheme="minorEastAsia" w:cstheme="minorBidi"/>
                <w:kern w:val="2"/>
                <w:sz w:val="21"/>
                <w:szCs w:val="22"/>
                <w:lang w:val="en-US" w:eastAsia="zh-CN" w:bidi="ar-SA"/>
              </w:rPr>
            </w:pPr>
            <w:r>
              <w:rPr>
                <w:rFonts w:hint="eastAsia" w:ascii="Times New Roman"/>
                <w:lang w:val="en-US" w:eastAsia="zh-CN"/>
              </w:rPr>
              <w:t>非甲烷总烃</w:t>
            </w:r>
          </w:p>
        </w:tc>
        <w:tc>
          <w:tcPr>
            <w:tcW w:w="1885"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6</w:t>
            </w:r>
          </w:p>
        </w:tc>
        <w:tc>
          <w:tcPr>
            <w:tcW w:w="3033"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监控点处1小时平均浓度限值</w:t>
            </w:r>
          </w:p>
        </w:tc>
        <w:tc>
          <w:tcPr>
            <w:tcW w:w="2131" w:type="dxa"/>
            <w:vMerge w:val="restart"/>
            <w:vAlign w:val="center"/>
          </w:tcPr>
          <w:p>
            <w:pPr>
              <w:jc w:val="center"/>
              <w:rPr>
                <w:rFonts w:hint="default" w:ascii="Times New Roman" w:hAnsiTheme="minorHAnsi" w:eastAsiaTheme="minorEastAsia" w:cstheme="minorBidi"/>
                <w:kern w:val="2"/>
                <w:sz w:val="21"/>
                <w:szCs w:val="22"/>
                <w:lang w:val="en-US" w:eastAsia="zh-CN" w:bidi="ar-SA"/>
              </w:rPr>
            </w:pPr>
            <w:r>
              <w:rPr>
                <w:rFonts w:hint="default" w:ascii="Times New Roman" w:hAnsi="Times New Roman" w:cs="Times New Roman" w:eastAsiaTheme="minorEastAsia"/>
                <w:color w:val="auto"/>
                <w:sz w:val="21"/>
                <w:szCs w:val="21"/>
                <w:lang w:val="en-US" w:eastAsia="zh-CN"/>
              </w:rPr>
              <w:t>在厂房外设置监控点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continue"/>
            <w:vAlign w:val="center"/>
          </w:tcPr>
          <w:p>
            <w:pPr>
              <w:jc w:val="center"/>
              <w:rPr>
                <w:rFonts w:hint="eastAsia" w:ascii="Times New Roman"/>
                <w:lang w:val="en-US" w:eastAsia="zh-CN"/>
              </w:rPr>
            </w:pPr>
          </w:p>
        </w:tc>
        <w:tc>
          <w:tcPr>
            <w:tcW w:w="1885"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20</w:t>
            </w:r>
          </w:p>
        </w:tc>
        <w:tc>
          <w:tcPr>
            <w:tcW w:w="3033"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 xml:space="preserve">监控点处任意一次浓度值 </w:t>
            </w:r>
          </w:p>
        </w:tc>
        <w:tc>
          <w:tcPr>
            <w:tcW w:w="2131" w:type="dxa"/>
            <w:vMerge w:val="continue"/>
            <w:vAlign w:val="center"/>
          </w:tcPr>
          <w:p>
            <w:pPr>
              <w:jc w:val="center"/>
              <w:rPr>
                <w:rFonts w:hint="default" w:ascii="Times New Roman"/>
                <w:lang w:val="en-US" w:eastAsia="zh-CN"/>
              </w:rPr>
            </w:pPr>
          </w:p>
        </w:tc>
      </w:tr>
    </w:tbl>
    <w:p>
      <w:pPr>
        <w:pStyle w:val="5"/>
        <w:rPr>
          <w:rFonts w:eastAsia="宋体"/>
        </w:rPr>
      </w:pPr>
      <w:bookmarkStart w:id="59" w:name="_Toc17961"/>
      <w:r>
        <w:rPr>
          <w:rFonts w:hint="eastAsia" w:eastAsia="宋体"/>
        </w:rPr>
        <w:t>6</w:t>
      </w:r>
      <w:r>
        <w:rPr>
          <w:rFonts w:eastAsia="宋体"/>
        </w:rPr>
        <w:t>.</w:t>
      </w:r>
      <w:r>
        <w:rPr>
          <w:rFonts w:hint="eastAsia" w:eastAsia="宋体"/>
        </w:rPr>
        <w:t>3噪声验收执行标准</w:t>
      </w:r>
      <w:bookmarkEnd w:id="59"/>
    </w:p>
    <w:p>
      <w:pPr>
        <w:pStyle w:val="60"/>
        <w:snapToGrid w:val="0"/>
        <w:spacing w:line="360" w:lineRule="auto"/>
        <w:ind w:firstLine="480"/>
        <w:rPr>
          <w:sz w:val="18"/>
        </w:rPr>
      </w:pPr>
      <w:r>
        <w:rPr>
          <w:rFonts w:hint="eastAsia"/>
          <w:sz w:val="24"/>
          <w:lang w:bidi="zh-CN"/>
        </w:rPr>
        <w:t>项目厂界噪声排放执行《工业企业厂界环境噪声排放标准》（</w:t>
      </w:r>
      <w:r>
        <w:rPr>
          <w:sz w:val="24"/>
          <w:lang w:bidi="zh-CN"/>
        </w:rPr>
        <w:t>GB</w:t>
      </w:r>
      <w:r>
        <w:rPr>
          <w:rFonts w:hint="eastAsia"/>
          <w:sz w:val="24"/>
          <w:lang w:val="en-US" w:bidi="zh-CN"/>
        </w:rPr>
        <w:t xml:space="preserve"> </w:t>
      </w:r>
      <w:r>
        <w:rPr>
          <w:sz w:val="24"/>
          <w:lang w:bidi="zh-CN"/>
        </w:rPr>
        <w:t>12348-2008</w:t>
      </w:r>
      <w:r>
        <w:rPr>
          <w:rFonts w:hint="eastAsia"/>
          <w:sz w:val="24"/>
          <w:lang w:bidi="zh-CN"/>
        </w:rPr>
        <w:t>）中3类标准，</w:t>
      </w:r>
      <w:r>
        <w:rPr>
          <w:rFonts w:hint="eastAsia"/>
          <w:sz w:val="24"/>
          <w:szCs w:val="24"/>
        </w:rPr>
        <w:t>见表6.3-1</w:t>
      </w:r>
      <w:r>
        <w:rPr>
          <w:rFonts w:hint="eastAsia"/>
          <w:sz w:val="18"/>
        </w:rPr>
        <w:t>。</w:t>
      </w:r>
    </w:p>
    <w:p>
      <w:pPr>
        <w:widowControl/>
        <w:adjustRightInd w:val="0"/>
        <w:snapToGrid w:val="0"/>
        <w:spacing w:line="360" w:lineRule="auto"/>
        <w:ind w:firstLine="360" w:firstLineChars="200"/>
        <w:jc w:val="center"/>
        <w:rPr>
          <w:sz w:val="24"/>
          <w:lang w:bidi="zh-CN"/>
        </w:rPr>
      </w:pPr>
      <w:r>
        <w:rPr>
          <w:rFonts w:hint="eastAsia"/>
          <w:sz w:val="18"/>
        </w:rPr>
        <w:t xml:space="preserve"> </w:t>
      </w:r>
      <w:r>
        <w:rPr>
          <w:rFonts w:hint="eastAsia" w:ascii="Times New Roman" w:hAnsi="Times New Roman"/>
          <w:b/>
          <w:bCs/>
          <w:szCs w:val="21"/>
        </w:rPr>
        <w:t>表 6.3-</w:t>
      </w:r>
      <w:r>
        <w:rPr>
          <w:rFonts w:ascii="Times New Roman" w:hAnsi="Times New Roman"/>
          <w:b/>
          <w:bCs/>
          <w:szCs w:val="21"/>
        </w:rPr>
        <w:t>1</w:t>
      </w:r>
      <w:r>
        <w:rPr>
          <w:rFonts w:hint="eastAsia" w:ascii="Times New Roman" w:hAnsi="Times New Roman"/>
          <w:b/>
          <w:bCs/>
          <w:szCs w:val="21"/>
        </w:rPr>
        <w:t xml:space="preserve"> </w:t>
      </w:r>
      <w:r>
        <w:rPr>
          <w:rFonts w:hint="eastAsia"/>
          <w:b/>
          <w:bCs/>
          <w:szCs w:val="21"/>
        </w:rPr>
        <w:t>工业企业厂界环境噪声排放标准</w:t>
      </w:r>
    </w:p>
    <w:tbl>
      <w:tblPr>
        <w:tblStyle w:val="99"/>
        <w:tblW w:w="467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115" w:type="dxa"/>
          <w:bottom w:w="0" w:type="dxa"/>
          <w:right w:w="46" w:type="dxa"/>
        </w:tblCellMar>
      </w:tblPr>
      <w:tblGrid>
        <w:gridCol w:w="1553"/>
        <w:gridCol w:w="2038"/>
        <w:gridCol w:w="2160"/>
        <w:gridCol w:w="21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85" w:type="dxa"/>
            <w:left w:w="115" w:type="dxa"/>
            <w:bottom w:w="0" w:type="dxa"/>
            <w:right w:w="46" w:type="dxa"/>
          </w:tblCellMar>
        </w:tblPrEx>
        <w:trPr>
          <w:trHeight w:val="397" w:hRule="atLeast"/>
          <w:jc w:val="center"/>
        </w:trPr>
        <w:tc>
          <w:tcPr>
            <w:tcW w:w="1554" w:type="dxa"/>
            <w:vMerge w:val="restart"/>
            <w:tcBorders>
              <w:tl2br w:val="nil"/>
              <w:tr2bl w:val="nil"/>
            </w:tcBorders>
            <w:vAlign w:val="center"/>
          </w:tcPr>
          <w:p>
            <w:pPr>
              <w:spacing w:line="259" w:lineRule="auto"/>
              <w:ind w:right="69"/>
              <w:jc w:val="center"/>
              <w:rPr>
                <w:rFonts w:ascii="Times New Roman" w:hAnsi="Times New Roman"/>
                <w:b/>
                <w:bCs/>
              </w:rPr>
            </w:pPr>
            <w:r>
              <w:rPr>
                <w:rFonts w:ascii="Times New Roman" w:hAnsi="Times New Roman"/>
                <w:b/>
                <w:bCs/>
              </w:rPr>
              <w:t xml:space="preserve">位置 </w:t>
            </w:r>
          </w:p>
        </w:tc>
        <w:tc>
          <w:tcPr>
            <w:tcW w:w="2040" w:type="dxa"/>
            <w:vMerge w:val="restart"/>
            <w:tcBorders>
              <w:tl2br w:val="nil"/>
              <w:tr2bl w:val="nil"/>
            </w:tcBorders>
            <w:vAlign w:val="center"/>
          </w:tcPr>
          <w:p>
            <w:pPr>
              <w:spacing w:line="259" w:lineRule="auto"/>
              <w:ind w:right="69"/>
              <w:jc w:val="center"/>
              <w:rPr>
                <w:rFonts w:ascii="Times New Roman" w:hAnsi="Times New Roman"/>
                <w:b/>
                <w:bCs/>
              </w:rPr>
            </w:pPr>
            <w:r>
              <w:rPr>
                <w:rFonts w:ascii="Times New Roman" w:hAnsi="Times New Roman"/>
                <w:b/>
                <w:bCs/>
              </w:rPr>
              <w:t>采用标准</w:t>
            </w:r>
            <w:r>
              <w:rPr>
                <w:rFonts w:ascii="Times New Roman" w:hAnsi="Times New Roman" w:eastAsia="Times New Roman" w:cs="Times New Roman"/>
                <w:b/>
                <w:bCs/>
              </w:rPr>
              <w:t xml:space="preserve"> </w:t>
            </w:r>
          </w:p>
        </w:tc>
        <w:tc>
          <w:tcPr>
            <w:tcW w:w="4325" w:type="dxa"/>
            <w:gridSpan w:val="2"/>
            <w:tcBorders>
              <w:tl2br w:val="nil"/>
              <w:tr2bl w:val="nil"/>
            </w:tcBorders>
            <w:vAlign w:val="center"/>
          </w:tcPr>
          <w:p>
            <w:pPr>
              <w:spacing w:line="259" w:lineRule="auto"/>
              <w:ind w:right="69"/>
              <w:jc w:val="center"/>
              <w:rPr>
                <w:rFonts w:ascii="Times New Roman" w:hAnsi="Times New Roman"/>
                <w:b/>
                <w:bCs/>
              </w:rPr>
            </w:pPr>
            <w:r>
              <w:rPr>
                <w:rFonts w:ascii="Times New Roman" w:hAnsi="Times New Roman"/>
                <w:b/>
                <w:bCs/>
              </w:rPr>
              <w:t>标准值</w:t>
            </w:r>
            <w:r>
              <w:rPr>
                <w:rFonts w:hint="eastAsia" w:ascii="Times New Roman" w:hAnsi="Times New Roman"/>
                <w:b/>
                <w:bCs/>
              </w:rPr>
              <w:t>[</w:t>
            </w:r>
            <w:r>
              <w:rPr>
                <w:rFonts w:ascii="Times New Roman" w:hAnsi="Times New Roman" w:eastAsia="Times New Roman" w:cs="Times New Roman"/>
                <w:b/>
                <w:bCs/>
              </w:rPr>
              <w:t>dB</w:t>
            </w:r>
            <w:r>
              <w:rPr>
                <w:rFonts w:ascii="Times New Roman" w:hAnsi="Times New Roman"/>
                <w:b/>
                <w:bCs/>
              </w:rPr>
              <w:t>（</w:t>
            </w:r>
            <w:r>
              <w:rPr>
                <w:rFonts w:ascii="Times New Roman" w:hAnsi="Times New Roman" w:eastAsia="Times New Roman" w:cs="Times New Roman"/>
                <w:b/>
                <w:bCs/>
              </w:rPr>
              <w:t>A</w:t>
            </w:r>
            <w:r>
              <w:rPr>
                <w:rFonts w:ascii="Times New Roman" w:hAnsi="Times New Roman"/>
                <w:b/>
                <w:bCs/>
              </w:rPr>
              <w:t>）</w:t>
            </w:r>
            <w:r>
              <w:rPr>
                <w:rFonts w:hint="eastAsia" w:ascii="Times New Roman" w:hAnsi="Times New Roman"/>
                <w:b/>
                <w:bCs/>
              </w:rPr>
              <w:t>]</w:t>
            </w:r>
            <w:r>
              <w:rPr>
                <w:rFonts w:ascii="Times New Roman" w:hAnsi="Times New Roman" w:eastAsia="Times New Roman" w:cs="Times New Roman"/>
                <w:b/>
                <w:bCs/>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85" w:type="dxa"/>
            <w:left w:w="115" w:type="dxa"/>
            <w:bottom w:w="0" w:type="dxa"/>
            <w:right w:w="46" w:type="dxa"/>
          </w:tblCellMar>
        </w:tblPrEx>
        <w:trPr>
          <w:trHeight w:val="397" w:hRule="atLeast"/>
          <w:jc w:val="center"/>
        </w:trPr>
        <w:tc>
          <w:tcPr>
            <w:tcW w:w="1554" w:type="dxa"/>
            <w:vMerge w:val="continue"/>
            <w:tcBorders>
              <w:tl2br w:val="nil"/>
              <w:tr2bl w:val="nil"/>
            </w:tcBorders>
            <w:vAlign w:val="center"/>
          </w:tcPr>
          <w:p>
            <w:pPr>
              <w:spacing w:line="259" w:lineRule="auto"/>
              <w:ind w:right="69"/>
              <w:jc w:val="center"/>
              <w:rPr>
                <w:rFonts w:ascii="Times New Roman" w:hAnsi="Times New Roman"/>
                <w:b/>
                <w:bCs/>
              </w:rPr>
            </w:pPr>
          </w:p>
        </w:tc>
        <w:tc>
          <w:tcPr>
            <w:tcW w:w="2040" w:type="dxa"/>
            <w:vMerge w:val="continue"/>
            <w:tcBorders>
              <w:tl2br w:val="nil"/>
              <w:tr2bl w:val="nil"/>
            </w:tcBorders>
            <w:vAlign w:val="center"/>
          </w:tcPr>
          <w:p>
            <w:pPr>
              <w:spacing w:after="160" w:line="259" w:lineRule="auto"/>
              <w:rPr>
                <w:rFonts w:ascii="Times New Roman" w:hAnsi="Times New Roman"/>
                <w:b/>
                <w:bCs/>
              </w:rPr>
            </w:pPr>
          </w:p>
        </w:tc>
        <w:tc>
          <w:tcPr>
            <w:tcW w:w="2162" w:type="dxa"/>
            <w:tcBorders>
              <w:tl2br w:val="nil"/>
              <w:tr2bl w:val="nil"/>
            </w:tcBorders>
            <w:vAlign w:val="center"/>
          </w:tcPr>
          <w:p>
            <w:pPr>
              <w:spacing w:line="259" w:lineRule="auto"/>
              <w:ind w:right="71"/>
              <w:jc w:val="center"/>
              <w:rPr>
                <w:rFonts w:ascii="Times New Roman" w:hAnsi="Times New Roman"/>
                <w:b/>
                <w:bCs/>
              </w:rPr>
            </w:pPr>
            <w:r>
              <w:rPr>
                <w:rFonts w:ascii="Times New Roman" w:hAnsi="Times New Roman"/>
                <w:b/>
                <w:bCs/>
              </w:rPr>
              <w:t>昼间</w:t>
            </w:r>
            <w:r>
              <w:rPr>
                <w:rFonts w:ascii="Times New Roman" w:hAnsi="Times New Roman" w:eastAsia="Times New Roman" w:cs="Times New Roman"/>
                <w:b/>
                <w:bCs/>
              </w:rPr>
              <w:t xml:space="preserve"> </w:t>
            </w:r>
          </w:p>
        </w:tc>
        <w:tc>
          <w:tcPr>
            <w:tcW w:w="2163" w:type="dxa"/>
            <w:tcBorders>
              <w:tl2br w:val="nil"/>
              <w:tr2bl w:val="nil"/>
            </w:tcBorders>
            <w:vAlign w:val="center"/>
          </w:tcPr>
          <w:p>
            <w:pPr>
              <w:spacing w:line="259" w:lineRule="auto"/>
              <w:ind w:right="68"/>
              <w:jc w:val="center"/>
              <w:rPr>
                <w:rFonts w:ascii="Times New Roman" w:hAnsi="Times New Roman"/>
                <w:b/>
                <w:bCs/>
              </w:rPr>
            </w:pPr>
            <w:r>
              <w:rPr>
                <w:rFonts w:ascii="Times New Roman" w:hAnsi="Times New Roman"/>
                <w:b/>
                <w:bCs/>
              </w:rPr>
              <w:t>夜间</w:t>
            </w:r>
            <w:r>
              <w:rPr>
                <w:rFonts w:ascii="Times New Roman" w:hAnsi="Times New Roman" w:eastAsia="Times New Roman" w:cs="Times New Roman"/>
                <w:b/>
                <w:bCs/>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85" w:type="dxa"/>
            <w:left w:w="115" w:type="dxa"/>
            <w:bottom w:w="0" w:type="dxa"/>
            <w:right w:w="46" w:type="dxa"/>
          </w:tblCellMar>
        </w:tblPrEx>
        <w:trPr>
          <w:trHeight w:val="397" w:hRule="atLeast"/>
          <w:jc w:val="center"/>
        </w:trPr>
        <w:tc>
          <w:tcPr>
            <w:tcW w:w="1554" w:type="dxa"/>
            <w:tcBorders>
              <w:tl2br w:val="nil"/>
              <w:tr2bl w:val="nil"/>
            </w:tcBorders>
            <w:vAlign w:val="center"/>
          </w:tcPr>
          <w:p>
            <w:pPr>
              <w:spacing w:line="259" w:lineRule="auto"/>
              <w:ind w:right="69"/>
              <w:jc w:val="center"/>
              <w:rPr>
                <w:rFonts w:hint="eastAsia" w:ascii="Times New Roman" w:hAnsi="Times New Roman" w:eastAsiaTheme="minorEastAsia"/>
                <w:lang w:val="en-US" w:eastAsia="zh-CN"/>
              </w:rPr>
            </w:pPr>
            <w:r>
              <w:rPr>
                <w:rFonts w:ascii="Times New Roman" w:hAnsi="Times New Roman"/>
              </w:rPr>
              <w:t>厂界</w:t>
            </w:r>
            <w:r>
              <w:rPr>
                <w:rFonts w:hint="eastAsia" w:ascii="Times New Roman" w:hAnsi="Times New Roman"/>
                <w:lang w:val="en-US" w:eastAsia="zh-CN"/>
              </w:rPr>
              <w:t>四周</w:t>
            </w:r>
          </w:p>
        </w:tc>
        <w:tc>
          <w:tcPr>
            <w:tcW w:w="2040" w:type="dxa"/>
            <w:tcBorders>
              <w:tl2br w:val="nil"/>
              <w:tr2bl w:val="nil"/>
            </w:tcBorders>
            <w:vAlign w:val="center"/>
          </w:tcPr>
          <w:p>
            <w:pPr>
              <w:spacing w:line="259" w:lineRule="auto"/>
              <w:ind w:right="72"/>
              <w:jc w:val="center"/>
              <w:rPr>
                <w:rFonts w:ascii="Times New Roman" w:hAnsi="Times New Roman"/>
              </w:rPr>
            </w:pPr>
            <w:r>
              <w:rPr>
                <w:rFonts w:ascii="Times New Roman" w:hAnsi="Times New Roman" w:eastAsia="Times New Roman" w:cs="Times New Roman"/>
              </w:rPr>
              <w:t>3</w:t>
            </w:r>
            <w:r>
              <w:rPr>
                <w:rFonts w:ascii="Times New Roman" w:hAnsi="Times New Roman"/>
              </w:rPr>
              <w:t>类</w:t>
            </w:r>
            <w:r>
              <w:rPr>
                <w:rFonts w:ascii="Times New Roman" w:hAnsi="Times New Roman" w:eastAsia="Times New Roman" w:cs="Times New Roman"/>
              </w:rPr>
              <w:t xml:space="preserve"> </w:t>
            </w:r>
          </w:p>
        </w:tc>
        <w:tc>
          <w:tcPr>
            <w:tcW w:w="2162" w:type="dxa"/>
            <w:tcBorders>
              <w:tl2br w:val="nil"/>
              <w:tr2bl w:val="nil"/>
            </w:tcBorders>
            <w:vAlign w:val="center"/>
          </w:tcPr>
          <w:p>
            <w:pPr>
              <w:spacing w:line="259" w:lineRule="auto"/>
              <w:ind w:right="71"/>
              <w:jc w:val="center"/>
              <w:rPr>
                <w:rFonts w:ascii="Times New Roman" w:hAnsi="Times New Roman"/>
              </w:rPr>
            </w:pPr>
            <w:r>
              <w:rPr>
                <w:rFonts w:ascii="Times New Roman" w:hAnsi="Times New Roman" w:eastAsia="Times New Roman" w:cs="Times New Roman"/>
              </w:rPr>
              <w:t xml:space="preserve">65 </w:t>
            </w:r>
          </w:p>
        </w:tc>
        <w:tc>
          <w:tcPr>
            <w:tcW w:w="2163" w:type="dxa"/>
            <w:tcBorders>
              <w:tl2br w:val="nil"/>
              <w:tr2bl w:val="nil"/>
            </w:tcBorders>
            <w:vAlign w:val="center"/>
          </w:tcPr>
          <w:p>
            <w:pPr>
              <w:spacing w:line="259" w:lineRule="auto"/>
              <w:ind w:right="73"/>
              <w:jc w:val="center"/>
              <w:rPr>
                <w:rFonts w:ascii="Times New Roman" w:hAnsi="Times New Roman"/>
              </w:rPr>
            </w:pPr>
            <w:r>
              <w:rPr>
                <w:rFonts w:ascii="Times New Roman" w:hAnsi="Times New Roman" w:eastAsia="Times New Roman" w:cs="Times New Roman"/>
              </w:rPr>
              <w:t xml:space="preserve">55 </w:t>
            </w:r>
          </w:p>
        </w:tc>
      </w:tr>
    </w:tbl>
    <w:p>
      <w:pPr>
        <w:pStyle w:val="5"/>
        <w:rPr>
          <w:rFonts w:eastAsia="宋体"/>
        </w:rPr>
      </w:pPr>
      <w:bookmarkStart w:id="60" w:name="_Toc31845"/>
      <w:r>
        <w:rPr>
          <w:rFonts w:hint="eastAsia" w:eastAsia="宋体"/>
        </w:rPr>
        <w:t>6</w:t>
      </w:r>
      <w:r>
        <w:rPr>
          <w:rFonts w:eastAsia="宋体"/>
        </w:rPr>
        <w:t>.</w:t>
      </w:r>
      <w:r>
        <w:rPr>
          <w:rFonts w:hint="eastAsia" w:eastAsia="宋体"/>
        </w:rPr>
        <w:t>4固废验收执行标准</w:t>
      </w:r>
      <w:bookmarkEnd w:id="60"/>
    </w:p>
    <w:p>
      <w:pPr>
        <w:pStyle w:val="117"/>
        <w:spacing w:line="360" w:lineRule="auto"/>
        <w:ind w:firstLine="480"/>
        <w:rPr>
          <w:rFonts w:ascii="Times New Roman" w:hAnsi="Times New Roman" w:cs="Times New Roman"/>
          <w:lang w:bidi="zh-CN"/>
        </w:rPr>
      </w:pPr>
      <w:r>
        <w:rPr>
          <w:rFonts w:ascii="Times New Roman" w:hAnsi="Times New Roman" w:cs="Times New Roman"/>
          <w:lang w:bidi="zh-CN"/>
        </w:rPr>
        <w:t>项目产生的固体废物的处理、处置均应满足《中华人民共和国固体废物污染环境防治法》中的有关规定要求。</w:t>
      </w:r>
      <w:r>
        <w:rPr>
          <w:rFonts w:hint="eastAsia" w:ascii="Times New Roman" w:hAnsi="Times New Roman" w:cs="Times New Roman"/>
          <w:lang w:bidi="zh-CN"/>
        </w:rPr>
        <w:t>危险废物暂存场所应按照《危险废物贮存污染控制标准》（GB</w:t>
      </w:r>
      <w:r>
        <w:rPr>
          <w:rFonts w:hint="eastAsia" w:ascii="Times New Roman" w:hAnsi="Times New Roman" w:cs="Times New Roman"/>
          <w:lang w:val="en-US" w:bidi="zh-CN"/>
        </w:rPr>
        <w:t xml:space="preserve"> </w:t>
      </w:r>
      <w:r>
        <w:rPr>
          <w:rFonts w:hint="eastAsia" w:ascii="Times New Roman" w:hAnsi="Times New Roman" w:cs="Times New Roman"/>
          <w:lang w:bidi="zh-CN"/>
        </w:rPr>
        <w:t>18597-2001）及修改单（公告2013年第36号）；一般固体废物执行《一般工业固体废物贮存、处置场污染控制标准》</w:t>
      </w:r>
      <w:r>
        <w:rPr>
          <w:rFonts w:hint="default" w:ascii="Times New Roman" w:hAnsi="Times New Roman" w:eastAsia="宋体" w:cs="Times New Roman"/>
          <w:kern w:val="0"/>
          <w:sz w:val="24"/>
          <w:szCs w:val="24"/>
          <w:lang w:bidi="zh-CN"/>
        </w:rPr>
        <w:t>(GB</w:t>
      </w:r>
      <w:r>
        <w:rPr>
          <w:rFonts w:hint="eastAsia" w:ascii="Times New Roman" w:hAnsi="Times New Roman" w:cs="Times New Roman"/>
          <w:kern w:val="0"/>
          <w:sz w:val="24"/>
          <w:szCs w:val="24"/>
          <w:lang w:val="en-US" w:bidi="zh-CN"/>
        </w:rPr>
        <w:t xml:space="preserve"> </w:t>
      </w:r>
      <w:r>
        <w:rPr>
          <w:rFonts w:hint="eastAsia" w:ascii="Times New Roman" w:hAnsi="Times New Roman" w:cs="Times New Roman"/>
          <w:kern w:val="0"/>
          <w:sz w:val="24"/>
          <w:szCs w:val="24"/>
          <w:lang w:bidi="zh-CN"/>
        </w:rPr>
        <w:t>18599-2020</w:t>
      </w:r>
      <w:r>
        <w:rPr>
          <w:rFonts w:hint="default" w:ascii="Times New Roman" w:hAnsi="Times New Roman" w:eastAsia="宋体" w:cs="Times New Roman"/>
          <w:kern w:val="0"/>
          <w:sz w:val="24"/>
          <w:szCs w:val="24"/>
          <w:lang w:bidi="zh-CN"/>
        </w:rPr>
        <w:t>)及其相应标准修改单</w:t>
      </w:r>
      <w:r>
        <w:rPr>
          <w:rFonts w:hint="eastAsia" w:ascii="Times New Roman" w:hAnsi="Times New Roman" w:cs="Times New Roman"/>
          <w:lang w:bidi="zh-CN"/>
        </w:rPr>
        <w:t>、《中华人民共和国固体废物污染环境防治法》中的有关规定；危险废物还应满足《关于发布&lt;一般工业固体废物贮存、处置场污染控制标准&gt;（GB 18599-2001）等 3 项国家污染物控制标准修改单的公告》中相关内容的要求。</w:t>
      </w:r>
    </w:p>
    <w:p>
      <w:pPr>
        <w:pStyle w:val="5"/>
        <w:rPr>
          <w:rFonts w:eastAsia="宋体"/>
        </w:rPr>
      </w:pPr>
      <w:bookmarkStart w:id="61" w:name="_Toc17591"/>
      <w:r>
        <w:rPr>
          <w:rFonts w:hint="eastAsia" w:eastAsia="宋体"/>
        </w:rPr>
        <w:t>6</w:t>
      </w:r>
      <w:r>
        <w:rPr>
          <w:rFonts w:eastAsia="宋体"/>
        </w:rPr>
        <w:t>.</w:t>
      </w:r>
      <w:r>
        <w:rPr>
          <w:rFonts w:hint="eastAsia" w:eastAsia="宋体"/>
        </w:rPr>
        <w:t>5主要污染物排放总量控制指标</w:t>
      </w:r>
      <w:bookmarkEnd w:id="61"/>
    </w:p>
    <w:p>
      <w:pPr>
        <w:pStyle w:val="60"/>
        <w:snapToGrid w:val="0"/>
        <w:spacing w:line="360" w:lineRule="auto"/>
        <w:ind w:firstLine="480"/>
        <w:rPr>
          <w:sz w:val="24"/>
          <w:szCs w:val="24"/>
          <w:lang w:bidi="en-US"/>
        </w:rPr>
      </w:pPr>
      <w:r>
        <w:rPr>
          <w:rFonts w:hint="eastAsia"/>
          <w:sz w:val="24"/>
          <w:szCs w:val="24"/>
          <w:lang w:eastAsia="zh-CN" w:bidi="en-US"/>
        </w:rPr>
        <w:t>浦江金理衣架有限公司年产1430万个衣架生产线建设项目</w:t>
      </w:r>
      <w:r>
        <w:rPr>
          <w:rFonts w:hint="eastAsia"/>
          <w:sz w:val="24"/>
          <w:szCs w:val="24"/>
        </w:rPr>
        <w:t>主要污染物排放总量控制执行</w:t>
      </w:r>
      <w:r>
        <w:rPr>
          <w:rFonts w:hint="eastAsia"/>
          <w:kern w:val="0"/>
          <w:sz w:val="24"/>
        </w:rPr>
        <w:t>《</w:t>
      </w:r>
      <w:r>
        <w:rPr>
          <w:rFonts w:hint="eastAsia"/>
          <w:kern w:val="0"/>
          <w:sz w:val="24"/>
          <w:lang w:eastAsia="zh-CN"/>
        </w:rPr>
        <w:t>关于浦江金理衣架有限公司年产1430万个衣架生产线建设项目环境影响报告表的</w:t>
      </w:r>
      <w:r>
        <w:rPr>
          <w:rFonts w:hint="eastAsia"/>
          <w:kern w:val="0"/>
          <w:sz w:val="24"/>
          <w:lang w:val="en-US" w:eastAsia="zh-CN"/>
        </w:rPr>
        <w:t>批复</w:t>
      </w:r>
      <w:r>
        <w:rPr>
          <w:rFonts w:hint="eastAsia"/>
          <w:kern w:val="0"/>
          <w:sz w:val="24"/>
        </w:rPr>
        <w:t>》（</w:t>
      </w:r>
      <w:r>
        <w:rPr>
          <w:rFonts w:hint="eastAsia"/>
          <w:kern w:val="0"/>
          <w:sz w:val="24"/>
          <w:lang w:eastAsia="zh-CN"/>
        </w:rPr>
        <w:t>金环建浦[2019]55号</w:t>
      </w:r>
      <w:r>
        <w:rPr>
          <w:rFonts w:hint="eastAsia"/>
          <w:kern w:val="0"/>
          <w:sz w:val="24"/>
        </w:rPr>
        <w:t>）中总量控制指标，详见</w:t>
      </w:r>
      <w:r>
        <w:rPr>
          <w:rFonts w:hint="eastAsia"/>
          <w:sz w:val="24"/>
          <w:szCs w:val="24"/>
        </w:rPr>
        <w:t>表6.5-1</w:t>
      </w:r>
      <w:r>
        <w:rPr>
          <w:rFonts w:hint="eastAsia"/>
          <w:sz w:val="24"/>
          <w:szCs w:val="24"/>
          <w:lang w:bidi="en-US"/>
        </w:rPr>
        <w:t>。</w:t>
      </w:r>
    </w:p>
    <w:p>
      <w:pPr>
        <w:spacing w:after="3" w:line="259" w:lineRule="auto"/>
        <w:ind w:left="369" w:right="614"/>
        <w:jc w:val="center"/>
        <w:rPr>
          <w:rFonts w:ascii="Times New Roman" w:hAnsi="Times New Roman" w:eastAsia="宋体" w:cs="Times New Roman"/>
          <w:b/>
        </w:rPr>
      </w:pPr>
      <w:r>
        <w:rPr>
          <w:rFonts w:ascii="Times New Roman" w:hAnsi="Times New Roman" w:eastAsia="宋体"/>
          <w:b/>
        </w:rPr>
        <w:t>表</w:t>
      </w:r>
      <w:r>
        <w:rPr>
          <w:rFonts w:hint="eastAsia" w:ascii="Times New Roman" w:hAnsi="Times New Roman" w:eastAsia="宋体"/>
          <w:b/>
        </w:rPr>
        <w:t>6.5</w:t>
      </w:r>
      <w:r>
        <w:rPr>
          <w:rFonts w:ascii="Times New Roman" w:hAnsi="Times New Roman" w:eastAsia="宋体" w:cs="Times New Roman"/>
          <w:b/>
        </w:rPr>
        <w:t xml:space="preserve">-1  </w:t>
      </w:r>
      <w:r>
        <w:rPr>
          <w:rFonts w:ascii="Times New Roman" w:hAnsi="Times New Roman" w:eastAsia="宋体"/>
          <w:b/>
        </w:rPr>
        <w:t>企业</w:t>
      </w:r>
      <w:r>
        <w:rPr>
          <w:rFonts w:hint="eastAsia" w:ascii="Times New Roman" w:hAnsi="Times New Roman" w:eastAsia="宋体"/>
          <w:b/>
        </w:rPr>
        <w:t>主要</w:t>
      </w:r>
      <w:r>
        <w:rPr>
          <w:rFonts w:ascii="Times New Roman" w:hAnsi="Times New Roman" w:eastAsia="宋体"/>
          <w:b/>
        </w:rPr>
        <w:t>污染物总量控制</w:t>
      </w:r>
      <w:r>
        <w:rPr>
          <w:rFonts w:hint="eastAsia" w:ascii="Times New Roman" w:hAnsi="Times New Roman" w:eastAsia="宋体"/>
          <w:b/>
        </w:rPr>
        <w:t>指标</w:t>
      </w:r>
      <w:r>
        <w:rPr>
          <w:rFonts w:ascii="Times New Roman" w:hAnsi="Times New Roman" w:eastAsia="宋体" w:cs="Times New Roman"/>
          <w:b/>
        </w:rPr>
        <w:t xml:space="preserve">  </w:t>
      </w:r>
      <w:r>
        <w:rPr>
          <w:rFonts w:ascii="Times New Roman" w:hAnsi="Times New Roman" w:eastAsia="宋体"/>
          <w:b/>
        </w:rPr>
        <w:t>单位：</w:t>
      </w:r>
      <w:r>
        <w:rPr>
          <w:rFonts w:ascii="Times New Roman" w:hAnsi="Times New Roman" w:eastAsia="宋体" w:cs="Times New Roman"/>
          <w:b/>
        </w:rPr>
        <w:t xml:space="preserve">t/a </w:t>
      </w:r>
    </w:p>
    <w:tbl>
      <w:tblPr>
        <w:tblStyle w:val="99"/>
        <w:tblW w:w="4943"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15" w:type="dxa"/>
          <w:bottom w:w="0" w:type="dxa"/>
          <w:right w:w="115" w:type="dxa"/>
        </w:tblCellMar>
      </w:tblPr>
      <w:tblGrid>
        <w:gridCol w:w="2030"/>
        <w:gridCol w:w="2629"/>
        <w:gridCol w:w="377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jc w:val="center"/>
        </w:trPr>
        <w:tc>
          <w:tcPr>
            <w:tcW w:w="2030" w:type="dxa"/>
            <w:vAlign w:val="center"/>
          </w:tcPr>
          <w:p>
            <w:pPr>
              <w:spacing w:line="259" w:lineRule="auto"/>
              <w:ind w:left="1"/>
              <w:jc w:val="center"/>
              <w:rPr>
                <w:rFonts w:ascii="Times New Roman" w:hAnsi="Times New Roman" w:eastAsia="宋体"/>
                <w:b/>
              </w:rPr>
            </w:pPr>
            <w:r>
              <w:rPr>
                <w:rFonts w:ascii="Times New Roman" w:hAnsi="Times New Roman" w:eastAsia="宋体"/>
                <w:b/>
              </w:rPr>
              <w:t>污染种类</w:t>
            </w:r>
            <w:r>
              <w:rPr>
                <w:rFonts w:ascii="Times New Roman" w:hAnsi="Times New Roman" w:eastAsia="宋体" w:cs="Times New Roman"/>
                <w:b/>
              </w:rPr>
              <w:t xml:space="preserve"> </w:t>
            </w:r>
          </w:p>
        </w:tc>
        <w:tc>
          <w:tcPr>
            <w:tcW w:w="2629" w:type="dxa"/>
            <w:vAlign w:val="center"/>
          </w:tcPr>
          <w:p>
            <w:pPr>
              <w:spacing w:line="259" w:lineRule="auto"/>
              <w:jc w:val="center"/>
              <w:rPr>
                <w:rFonts w:ascii="Times New Roman" w:hAnsi="Times New Roman" w:eastAsia="宋体"/>
                <w:b/>
              </w:rPr>
            </w:pPr>
            <w:r>
              <w:rPr>
                <w:rFonts w:ascii="Times New Roman" w:hAnsi="Times New Roman" w:eastAsia="宋体"/>
                <w:b/>
              </w:rPr>
              <w:t>污染物名称</w:t>
            </w:r>
            <w:r>
              <w:rPr>
                <w:rFonts w:ascii="Times New Roman" w:hAnsi="Times New Roman" w:eastAsia="宋体" w:cs="Times New Roman"/>
                <w:b/>
              </w:rPr>
              <w:t xml:space="preserve"> </w:t>
            </w:r>
          </w:p>
        </w:tc>
        <w:tc>
          <w:tcPr>
            <w:tcW w:w="3774" w:type="dxa"/>
            <w:vAlign w:val="center"/>
          </w:tcPr>
          <w:p>
            <w:pPr>
              <w:spacing w:line="259" w:lineRule="auto"/>
              <w:ind w:right="5"/>
              <w:jc w:val="center"/>
              <w:rPr>
                <w:rFonts w:ascii="Times New Roman" w:hAnsi="Times New Roman" w:eastAsia="宋体"/>
                <w:b/>
              </w:rPr>
            </w:pPr>
            <w:r>
              <w:rPr>
                <w:rFonts w:ascii="Times New Roman" w:hAnsi="Times New Roman" w:eastAsia="宋体"/>
                <w:b/>
              </w:rPr>
              <w:t>建设项目排放量</w:t>
            </w:r>
            <w:r>
              <w:rPr>
                <w:rFonts w:ascii="Times New Roman" w:hAnsi="Times New Roman" w:eastAsia="宋体" w:cs="Times New Roman"/>
                <w:b/>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jc w:val="center"/>
        </w:trPr>
        <w:tc>
          <w:tcPr>
            <w:tcW w:w="2030" w:type="dxa"/>
            <w:vMerge w:val="restart"/>
            <w:vAlign w:val="center"/>
          </w:tcPr>
          <w:p>
            <w:pPr>
              <w:spacing w:line="259" w:lineRule="auto"/>
              <w:ind w:left="3"/>
              <w:jc w:val="center"/>
              <w:rPr>
                <w:rFonts w:ascii="Times New Roman" w:hAnsi="Times New Roman" w:eastAsia="宋体"/>
              </w:rPr>
            </w:pPr>
            <w:r>
              <w:rPr>
                <w:rFonts w:hint="eastAsia" w:ascii="Times New Roman" w:hAnsi="Times New Roman" w:eastAsia="宋体"/>
                <w:lang w:val="en-US" w:eastAsia="zh-CN"/>
              </w:rPr>
              <w:t>废水</w:t>
            </w:r>
          </w:p>
        </w:tc>
        <w:tc>
          <w:tcPr>
            <w:tcW w:w="2629" w:type="dxa"/>
            <w:vAlign w:val="center"/>
          </w:tcPr>
          <w:p>
            <w:pPr>
              <w:spacing w:line="259" w:lineRule="auto"/>
              <w:ind w:left="3" w:leftChars="0"/>
              <w:jc w:val="center"/>
              <w:rPr>
                <w:rFonts w:hint="default" w:ascii="Times New Roman" w:hAnsi="Times New Roman" w:eastAsia="宋体"/>
                <w:lang w:val="en-US" w:eastAsia="zh-CN"/>
              </w:rPr>
            </w:pPr>
            <w:r>
              <w:rPr>
                <w:rFonts w:hint="eastAsia" w:ascii="Times New Roman" w:hAnsi="Times New Roman" w:eastAsia="宋体"/>
                <w:lang w:val="en-US" w:eastAsia="zh-CN"/>
              </w:rPr>
              <w:t>CODcr</w:t>
            </w:r>
          </w:p>
        </w:tc>
        <w:tc>
          <w:tcPr>
            <w:tcW w:w="3774" w:type="dxa"/>
            <w:vAlign w:val="center"/>
          </w:tcPr>
          <w:p>
            <w:pPr>
              <w:spacing w:line="259" w:lineRule="auto"/>
              <w:ind w:left="3" w:leftChars="0"/>
              <w:jc w:val="center"/>
              <w:rPr>
                <w:rFonts w:hint="default" w:ascii="Times New Roman" w:hAnsi="Times New Roman" w:eastAsia="宋体"/>
                <w:lang w:val="en-US" w:eastAsia="zh-CN"/>
              </w:rPr>
            </w:pPr>
            <w:r>
              <w:rPr>
                <w:rFonts w:hint="eastAsia" w:ascii="Times New Roman" w:hAnsi="Times New Roman" w:eastAsia="宋体"/>
                <w:lang w:val="en-US" w:eastAsia="zh-CN"/>
              </w:rPr>
              <w:t>0.047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jc w:val="center"/>
        </w:trPr>
        <w:tc>
          <w:tcPr>
            <w:tcW w:w="2030" w:type="dxa"/>
            <w:vMerge w:val="continue"/>
            <w:vAlign w:val="center"/>
          </w:tcPr>
          <w:p>
            <w:pPr>
              <w:spacing w:line="259" w:lineRule="auto"/>
              <w:ind w:left="3"/>
              <w:jc w:val="center"/>
              <w:rPr>
                <w:rFonts w:hint="eastAsia" w:ascii="Times New Roman" w:hAnsi="Times New Roman" w:eastAsia="宋体"/>
                <w:lang w:val="en-US" w:eastAsia="zh-CN"/>
              </w:rPr>
            </w:pPr>
          </w:p>
        </w:tc>
        <w:tc>
          <w:tcPr>
            <w:tcW w:w="2629" w:type="dxa"/>
            <w:vAlign w:val="center"/>
          </w:tcPr>
          <w:p>
            <w:pPr>
              <w:spacing w:line="259" w:lineRule="auto"/>
              <w:ind w:left="3" w:leftChars="0"/>
              <w:jc w:val="center"/>
              <w:rPr>
                <w:rFonts w:hint="default" w:ascii="Times New Roman" w:hAnsi="Times New Roman" w:eastAsia="宋体"/>
                <w:lang w:val="en-US" w:eastAsia="zh-CN"/>
              </w:rPr>
            </w:pPr>
            <w:r>
              <w:rPr>
                <w:rFonts w:hint="eastAsia" w:ascii="Times New Roman" w:hAnsi="Times New Roman" w:eastAsia="宋体"/>
                <w:lang w:val="en-US" w:eastAsia="zh-CN"/>
              </w:rPr>
              <w:t>氨氮</w:t>
            </w:r>
          </w:p>
        </w:tc>
        <w:tc>
          <w:tcPr>
            <w:tcW w:w="3774" w:type="dxa"/>
            <w:vAlign w:val="center"/>
          </w:tcPr>
          <w:p>
            <w:pPr>
              <w:spacing w:line="259" w:lineRule="auto"/>
              <w:ind w:left="3" w:leftChars="0"/>
              <w:jc w:val="center"/>
              <w:rPr>
                <w:rFonts w:hint="default" w:ascii="Times New Roman" w:hAnsi="Times New Roman" w:eastAsia="宋体"/>
                <w:lang w:val="en-US" w:eastAsia="zh-CN"/>
              </w:rPr>
            </w:pPr>
            <w:r>
              <w:rPr>
                <w:rFonts w:hint="eastAsia" w:ascii="Times New Roman" w:hAnsi="Times New Roman" w:eastAsia="宋体"/>
                <w:lang w:val="en-US" w:eastAsia="zh-CN"/>
              </w:rPr>
              <w:t>0.0047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jc w:val="center"/>
        </w:trPr>
        <w:tc>
          <w:tcPr>
            <w:tcW w:w="2030" w:type="dxa"/>
            <w:vAlign w:val="center"/>
          </w:tcPr>
          <w:p>
            <w:pPr>
              <w:spacing w:line="259" w:lineRule="auto"/>
              <w:ind w:left="3"/>
              <w:jc w:val="center"/>
              <w:rPr>
                <w:rFonts w:hint="default" w:ascii="Times New Roman" w:hAnsi="Times New Roman" w:eastAsia="宋体"/>
                <w:lang w:val="en-US" w:eastAsia="zh-CN"/>
              </w:rPr>
            </w:pPr>
            <w:r>
              <w:rPr>
                <w:rFonts w:hint="eastAsia" w:ascii="Times New Roman" w:hAnsi="Times New Roman" w:eastAsia="宋体"/>
                <w:lang w:val="en-US" w:eastAsia="zh-CN"/>
              </w:rPr>
              <w:t>废气</w:t>
            </w:r>
          </w:p>
        </w:tc>
        <w:tc>
          <w:tcPr>
            <w:tcW w:w="2629" w:type="dxa"/>
            <w:vAlign w:val="center"/>
          </w:tcPr>
          <w:p>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rPr>
              <w:t>V</w:t>
            </w:r>
            <w:r>
              <w:rPr>
                <w:rFonts w:ascii="Times New Roman" w:hAnsi="Times New Roman" w:eastAsia="宋体"/>
              </w:rPr>
              <w:t>OC</w:t>
            </w:r>
            <w:r>
              <w:rPr>
                <w:rFonts w:ascii="Times New Roman" w:hAnsi="Times New Roman" w:eastAsia="宋体"/>
                <w:vertAlign w:val="subscript"/>
              </w:rPr>
              <w:t>S</w:t>
            </w:r>
          </w:p>
        </w:tc>
        <w:tc>
          <w:tcPr>
            <w:tcW w:w="3774" w:type="dxa"/>
            <w:vAlign w:val="center"/>
          </w:tcPr>
          <w:p>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0.787</w:t>
            </w:r>
          </w:p>
        </w:tc>
      </w:tr>
    </w:tbl>
    <w:p>
      <w:pPr>
        <w:pStyle w:val="4"/>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pPr>
      <w:bookmarkStart w:id="62" w:name="_Toc30431"/>
      <w:r>
        <w:rPr>
          <w:rFonts w:hint="eastAsia"/>
        </w:rPr>
        <w:t>7验收监测内容</w:t>
      </w:r>
      <w:bookmarkEnd w:id="62"/>
    </w:p>
    <w:p>
      <w:pPr>
        <w:pStyle w:val="5"/>
        <w:rPr>
          <w:rFonts w:eastAsia="宋体"/>
        </w:rPr>
      </w:pPr>
      <w:bookmarkStart w:id="63" w:name="_Toc6775"/>
      <w:r>
        <w:rPr>
          <w:rFonts w:eastAsia="宋体"/>
        </w:rPr>
        <w:t>7.1环境保护设施调试运行效果</w:t>
      </w:r>
      <w:bookmarkEnd w:id="63"/>
    </w:p>
    <w:p>
      <w:pPr>
        <w:spacing w:line="360" w:lineRule="auto"/>
        <w:ind w:firstLine="480" w:firstLineChars="200"/>
        <w:rPr>
          <w:rFonts w:ascii="Times New Roman" w:hAnsi="Times New Roman" w:cs="宋体"/>
          <w:bCs/>
          <w:sz w:val="24"/>
        </w:rPr>
      </w:pPr>
      <w:r>
        <w:rPr>
          <w:rFonts w:hint="eastAsia" w:ascii="Times New Roman" w:hAnsi="Times New Roman" w:cs="宋体"/>
          <w:bCs/>
          <w:sz w:val="24"/>
        </w:rPr>
        <w:t>通过对各类污染物达标排放的监测，来说明环境保护设施调试效果，具体监测内容如下：</w:t>
      </w:r>
    </w:p>
    <w:p>
      <w:pPr>
        <w:pStyle w:val="6"/>
      </w:pPr>
      <w:bookmarkStart w:id="64" w:name="_Toc12081"/>
      <w:r>
        <w:rPr>
          <w:rFonts w:hint="eastAsia"/>
        </w:rPr>
        <w:t>7.1.1废水验收监测内容</w:t>
      </w:r>
      <w:bookmarkEnd w:id="64"/>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废水监测点位、频次及内容见表7.1-1：</w:t>
      </w:r>
    </w:p>
    <w:p>
      <w:pPr>
        <w:spacing w:line="360" w:lineRule="auto"/>
        <w:jc w:val="center"/>
        <w:rPr>
          <w:rFonts w:ascii="Times New Roman" w:hAnsi="Times New Roman"/>
          <w:b/>
          <w:bCs/>
          <w:szCs w:val="21"/>
        </w:rPr>
      </w:pPr>
      <w:r>
        <w:rPr>
          <w:rFonts w:hint="eastAsia" w:ascii="Times New Roman" w:hAnsi="Times New Roman"/>
          <w:b/>
          <w:bCs/>
          <w:szCs w:val="21"/>
        </w:rPr>
        <w:t>表7</w:t>
      </w:r>
      <w:r>
        <w:rPr>
          <w:rFonts w:ascii="Times New Roman" w:hAnsi="Times New Roman"/>
          <w:b/>
          <w:bCs/>
          <w:szCs w:val="21"/>
        </w:rPr>
        <w:t>.1</w:t>
      </w:r>
      <w:r>
        <w:rPr>
          <w:rFonts w:hint="eastAsia" w:ascii="Times New Roman" w:hAnsi="Times New Roman"/>
          <w:b/>
          <w:bCs/>
          <w:szCs w:val="21"/>
        </w:rPr>
        <w:t>-1 废水监测点位、频次及内容</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7"/>
        <w:gridCol w:w="2283"/>
        <w:gridCol w:w="4393"/>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283"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4393"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监测内容</w:t>
            </w:r>
          </w:p>
        </w:tc>
        <w:tc>
          <w:tcPr>
            <w:tcW w:w="1183"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pPr>
              <w:spacing w:line="28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w:t>
            </w:r>
          </w:p>
        </w:tc>
        <w:tc>
          <w:tcPr>
            <w:tcW w:w="22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生活污水排放口W1-2</w:t>
            </w:r>
          </w:p>
        </w:tc>
        <w:tc>
          <w:tcPr>
            <w:tcW w:w="43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pH、SS、COD</w:t>
            </w:r>
            <w:r>
              <w:rPr>
                <w:rFonts w:hint="default" w:ascii="Times New Roman" w:hAnsi="Times New Roman" w:cs="Times New Roman"/>
                <w:szCs w:val="21"/>
                <w:vertAlign w:val="subscript"/>
              </w:rPr>
              <w:t>Cr</w:t>
            </w:r>
            <w:r>
              <w:rPr>
                <w:rFonts w:hint="default" w:ascii="Times New Roman" w:hAnsi="Times New Roman" w:cs="Times New Roman"/>
                <w:szCs w:val="21"/>
              </w:rPr>
              <w:t>、氨氮、总磷</w:t>
            </w:r>
            <w:r>
              <w:rPr>
                <w:rFonts w:hint="eastAsia" w:ascii="Times New Roman" w:hAnsi="Times New Roman" w:cs="Times New Roman"/>
                <w:szCs w:val="21"/>
                <w:lang w:val="en-US" w:eastAsia="zh-CN"/>
              </w:rPr>
              <w:t>、动植物油</w:t>
            </w:r>
            <w:r>
              <w:rPr>
                <w:rFonts w:hint="default" w:ascii="Times New Roman" w:hAnsi="Times New Roman" w:cs="Times New Roman"/>
                <w:szCs w:val="21"/>
              </w:rPr>
              <w:t>类</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监测2天</w:t>
            </w:r>
          </w:p>
        </w:tc>
      </w:tr>
    </w:tbl>
    <w:p>
      <w:pPr>
        <w:pStyle w:val="6"/>
      </w:pPr>
      <w:bookmarkStart w:id="65" w:name="_Toc10608"/>
      <w:r>
        <w:rPr>
          <w:rFonts w:hint="eastAsia"/>
        </w:rPr>
        <w:t>7.1.2废气验收监测内容</w:t>
      </w:r>
      <w:bookmarkEnd w:id="65"/>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废气监测包括有组织排放与无组织排放，监测点位、频次及内容见表7</w:t>
      </w:r>
      <w:r>
        <w:rPr>
          <w:rFonts w:ascii="Times New Roman" w:hAnsi="Times New Roman"/>
          <w:sz w:val="24"/>
          <w:szCs w:val="24"/>
        </w:rPr>
        <w:t>.1</w:t>
      </w:r>
      <w:r>
        <w:rPr>
          <w:rFonts w:hint="eastAsia" w:ascii="Times New Roman" w:hAnsi="Times New Roman"/>
          <w:sz w:val="24"/>
          <w:szCs w:val="24"/>
        </w:rPr>
        <w:t>-2：</w:t>
      </w:r>
    </w:p>
    <w:p>
      <w:pPr>
        <w:spacing w:line="360" w:lineRule="auto"/>
        <w:jc w:val="center"/>
        <w:rPr>
          <w:rFonts w:ascii="Times New Roman" w:hAnsi="Times New Roman"/>
          <w:b/>
          <w:bCs/>
          <w:szCs w:val="21"/>
        </w:rPr>
      </w:pPr>
      <w:r>
        <w:rPr>
          <w:rFonts w:hint="eastAsia" w:ascii="Times New Roman" w:hAnsi="Times New Roman"/>
          <w:b/>
          <w:bCs/>
          <w:szCs w:val="21"/>
        </w:rPr>
        <w:t>表7</w:t>
      </w:r>
      <w:r>
        <w:rPr>
          <w:rFonts w:ascii="Times New Roman" w:hAnsi="Times New Roman"/>
          <w:b/>
          <w:bCs/>
          <w:szCs w:val="21"/>
        </w:rPr>
        <w:t>.1</w:t>
      </w:r>
      <w:r>
        <w:rPr>
          <w:rFonts w:hint="eastAsia" w:ascii="Times New Roman" w:hAnsi="Times New Roman"/>
          <w:b/>
          <w:bCs/>
          <w:szCs w:val="21"/>
        </w:rPr>
        <w:t>-2 废气监测点位、频次及内容</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273"/>
        <w:gridCol w:w="2533"/>
        <w:gridCol w:w="2850"/>
        <w:gridCol w:w="1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273"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2533"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2850"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监测内容</w:t>
            </w:r>
          </w:p>
        </w:tc>
        <w:tc>
          <w:tcPr>
            <w:tcW w:w="1183"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w:t>
            </w:r>
          </w:p>
        </w:tc>
        <w:tc>
          <w:tcPr>
            <w:tcW w:w="1273"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有组织废气</w:t>
            </w:r>
          </w:p>
        </w:tc>
        <w:tc>
          <w:tcPr>
            <w:tcW w:w="25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浸塑、固化废气处理设施进口G1-1</w:t>
            </w:r>
          </w:p>
        </w:tc>
        <w:tc>
          <w:tcPr>
            <w:tcW w:w="2850"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非甲烷总烃</w:t>
            </w:r>
          </w:p>
        </w:tc>
        <w:tc>
          <w:tcPr>
            <w:tcW w:w="118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3次/天，</w:t>
            </w:r>
          </w:p>
          <w:p>
            <w:pPr>
              <w:jc w:val="center"/>
              <w:rPr>
                <w:rFonts w:hint="default" w:ascii="Times New Roman" w:hAnsi="Times New Roman" w:cs="Times New Roman"/>
                <w:szCs w:val="21"/>
              </w:rPr>
            </w:pPr>
            <w:r>
              <w:rPr>
                <w:rFonts w:hint="default" w:ascii="Times New Roman" w:hAnsi="Times New Roman" w:cs="Times New Roman"/>
                <w:szCs w:val="21"/>
              </w:rPr>
              <w:t>监测2天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p>
        </w:tc>
        <w:tc>
          <w:tcPr>
            <w:tcW w:w="1273" w:type="dxa"/>
            <w:vMerge w:val="continue"/>
            <w:tcBorders>
              <w:tl2br w:val="nil"/>
              <w:tr2bl w:val="nil"/>
            </w:tcBorders>
            <w:vAlign w:val="center"/>
          </w:tcPr>
          <w:p>
            <w:pPr>
              <w:jc w:val="center"/>
              <w:rPr>
                <w:rFonts w:hint="default" w:ascii="Times New Roman" w:hAnsi="Times New Roman" w:cs="Times New Roman"/>
                <w:szCs w:val="21"/>
              </w:rPr>
            </w:pPr>
          </w:p>
        </w:tc>
        <w:tc>
          <w:tcPr>
            <w:tcW w:w="25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浸塑、固化废气处理设施出口G1-2</w:t>
            </w:r>
          </w:p>
        </w:tc>
        <w:tc>
          <w:tcPr>
            <w:tcW w:w="2850"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非甲烷总烃</w:t>
            </w:r>
          </w:p>
        </w:tc>
        <w:tc>
          <w:tcPr>
            <w:tcW w:w="118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3次/天，</w:t>
            </w:r>
          </w:p>
          <w:p>
            <w:pPr>
              <w:jc w:val="center"/>
              <w:rPr>
                <w:rFonts w:hint="default" w:ascii="Times New Roman" w:hAnsi="Times New Roman" w:cs="Times New Roman"/>
              </w:rPr>
            </w:pPr>
            <w:r>
              <w:rPr>
                <w:rFonts w:hint="default" w:ascii="Times New Roman" w:hAnsi="Times New Roman" w:cs="Times New Roman"/>
                <w:szCs w:val="21"/>
              </w:rPr>
              <w:t>监测2天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w:t>
            </w:r>
          </w:p>
        </w:tc>
        <w:tc>
          <w:tcPr>
            <w:tcW w:w="1273"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无组织废气</w:t>
            </w:r>
          </w:p>
        </w:tc>
        <w:tc>
          <w:tcPr>
            <w:tcW w:w="2533" w:type="dxa"/>
            <w:tcBorders>
              <w:tl2br w:val="nil"/>
              <w:tr2bl w:val="nil"/>
            </w:tcBorders>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上风向1个参照点(G0)，下风向3个监控点(G1</w:t>
            </w:r>
            <w:r>
              <w:rPr>
                <w:rFonts w:hint="default" w:ascii="Times New Roman" w:hAnsi="Times New Roman" w:eastAsia="仿宋_GB2312" w:cs="Times New Roman"/>
                <w:szCs w:val="21"/>
              </w:rPr>
              <w:t>~G3</w:t>
            </w:r>
            <w:r>
              <w:rPr>
                <w:rFonts w:hint="default" w:ascii="Times New Roman" w:hAnsi="Times New Roman" w:cs="Times New Roman"/>
                <w:szCs w:val="21"/>
              </w:rPr>
              <w:t>)</w:t>
            </w:r>
          </w:p>
        </w:tc>
        <w:tc>
          <w:tcPr>
            <w:tcW w:w="2850"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rPr>
              <w:t>颗粒物、</w:t>
            </w:r>
            <w:r>
              <w:rPr>
                <w:rFonts w:hint="eastAsia" w:ascii="Times New Roman" w:hAnsi="Times New Roman" w:cs="Times New Roman"/>
                <w:szCs w:val="21"/>
                <w:lang w:val="en-US" w:eastAsia="zh-CN"/>
              </w:rPr>
              <w:t>非甲烷总烃</w:t>
            </w:r>
          </w:p>
        </w:tc>
        <w:tc>
          <w:tcPr>
            <w:tcW w:w="1183" w:type="dxa"/>
            <w:vMerge w:val="restart"/>
            <w:tcBorders>
              <w:tl2br w:val="nil"/>
              <w:tr2bl w:val="nil"/>
            </w:tcBorders>
            <w:vAlign w:val="center"/>
          </w:tcPr>
          <w:p>
            <w:pPr>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次/天，</w:t>
            </w:r>
          </w:p>
          <w:p>
            <w:pPr>
              <w:jc w:val="center"/>
              <w:rPr>
                <w:rFonts w:hint="default" w:ascii="Times New Roman" w:hAnsi="Times New Roman" w:cs="Times New Roman"/>
                <w:szCs w:val="21"/>
              </w:rPr>
            </w:pPr>
            <w:r>
              <w:rPr>
                <w:rFonts w:hint="default" w:ascii="Times New Roman" w:hAnsi="Times New Roman" w:eastAsia="宋体" w:cs="Times New Roman"/>
                <w:kern w:val="0"/>
                <w:szCs w:val="21"/>
              </w:rPr>
              <w:t>监测2天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1273" w:type="dxa"/>
            <w:vMerge w:val="continue"/>
            <w:tcBorders>
              <w:tl2br w:val="nil"/>
              <w:tr2bl w:val="nil"/>
            </w:tcBorders>
            <w:vAlign w:val="center"/>
          </w:tcPr>
          <w:p>
            <w:pPr>
              <w:jc w:val="center"/>
              <w:rPr>
                <w:rFonts w:hint="default" w:ascii="Times New Roman" w:hAnsi="Times New Roman" w:cs="Times New Roman"/>
                <w:szCs w:val="21"/>
              </w:rPr>
            </w:pPr>
          </w:p>
        </w:tc>
        <w:tc>
          <w:tcPr>
            <w:tcW w:w="2533" w:type="dxa"/>
            <w:tcBorders>
              <w:tl2br w:val="nil"/>
              <w:tr2bl w:val="nil"/>
            </w:tcBorders>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浸塑、固化2F车间</w:t>
            </w:r>
            <w:r>
              <w:rPr>
                <w:rFonts w:hint="default" w:ascii="Times New Roman" w:hAnsi="Times New Roman" w:cs="Times New Roman"/>
                <w:szCs w:val="21"/>
              </w:rPr>
              <w:t>外（G</w:t>
            </w:r>
            <w:r>
              <w:rPr>
                <w:rFonts w:hint="eastAsia" w:ascii="Times New Roman" w:hAnsi="Times New Roman" w:cs="Times New Roman"/>
                <w:szCs w:val="21"/>
                <w:lang w:val="en-US" w:eastAsia="zh-CN"/>
              </w:rPr>
              <w:t>4</w:t>
            </w:r>
            <w:r>
              <w:rPr>
                <w:rFonts w:hint="default" w:ascii="Times New Roman" w:hAnsi="Times New Roman" w:cs="Times New Roman"/>
                <w:szCs w:val="21"/>
              </w:rPr>
              <w:t>）</w:t>
            </w:r>
          </w:p>
        </w:tc>
        <w:tc>
          <w:tcPr>
            <w:tcW w:w="2850" w:type="dxa"/>
            <w:tcBorders>
              <w:tl2br w:val="nil"/>
              <w:tr2bl w:val="nil"/>
            </w:tcBorders>
            <w:vAlign w:val="center"/>
          </w:tcPr>
          <w:p>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非甲烷总烃</w:t>
            </w:r>
          </w:p>
        </w:tc>
        <w:tc>
          <w:tcPr>
            <w:tcW w:w="1183" w:type="dxa"/>
            <w:vMerge w:val="continue"/>
            <w:tcBorders>
              <w:tl2br w:val="nil"/>
              <w:tr2bl w:val="nil"/>
            </w:tcBorders>
            <w:vAlign w:val="center"/>
          </w:tcPr>
          <w:p>
            <w:pPr>
              <w:jc w:val="center"/>
              <w:rPr>
                <w:rFonts w:hint="default" w:ascii="Times New Roman" w:hAnsi="Times New Roman" w:eastAsia="宋体" w:cs="Times New Roman"/>
                <w:kern w:val="0"/>
                <w:szCs w:val="21"/>
              </w:rPr>
            </w:pPr>
          </w:p>
        </w:tc>
      </w:tr>
    </w:tbl>
    <w:p>
      <w:pPr>
        <w:pStyle w:val="6"/>
      </w:pPr>
      <w:bookmarkStart w:id="66" w:name="_Toc11422"/>
      <w:r>
        <w:rPr>
          <w:rFonts w:hint="eastAsia"/>
        </w:rPr>
        <w:t>7.1.3厂界噪声监测</w:t>
      </w:r>
      <w:bookmarkEnd w:id="66"/>
    </w:p>
    <w:p>
      <w:pPr>
        <w:spacing w:line="360" w:lineRule="auto"/>
        <w:ind w:firstLine="480" w:firstLineChars="200"/>
        <w:jc w:val="left"/>
        <w:rPr>
          <w:rFonts w:hint="default" w:ascii="Times New Roman" w:hAnsi="Times New Roman" w:eastAsiaTheme="minorEastAsia"/>
          <w:sz w:val="24"/>
          <w:szCs w:val="24"/>
          <w:lang w:val="en-US" w:eastAsia="zh-CN"/>
        </w:rPr>
      </w:pPr>
      <w:r>
        <w:rPr>
          <w:rFonts w:ascii="Times New Roman" w:hAnsi="Times New Roman"/>
          <w:sz w:val="24"/>
          <w:szCs w:val="24"/>
        </w:rPr>
        <w:t>在项目</w:t>
      </w:r>
      <w:r>
        <w:rPr>
          <w:rFonts w:hint="eastAsia" w:ascii="Times New Roman" w:hAnsi="Times New Roman"/>
          <w:sz w:val="24"/>
          <w:szCs w:val="24"/>
          <w:lang w:val="en-US" w:eastAsia="zh-CN"/>
        </w:rPr>
        <w:t>厂界东外1m处（N1）、厂界西外1m处（N3）、厂界北外1m处（N4）</w:t>
      </w:r>
      <w:r>
        <w:rPr>
          <w:rFonts w:ascii="Times New Roman" w:hAnsi="Times New Roman"/>
          <w:sz w:val="24"/>
          <w:szCs w:val="24"/>
        </w:rPr>
        <w:t>，昼间</w:t>
      </w:r>
      <w:r>
        <w:rPr>
          <w:rFonts w:hint="eastAsia" w:ascii="Times New Roman" w:hAnsi="Times New Roman"/>
          <w:sz w:val="24"/>
          <w:szCs w:val="24"/>
          <w:lang w:val="en-US" w:eastAsia="zh-CN"/>
        </w:rPr>
        <w:t>各</w:t>
      </w:r>
      <w:r>
        <w:rPr>
          <w:rFonts w:ascii="Times New Roman" w:hAnsi="Times New Roman"/>
          <w:sz w:val="24"/>
          <w:szCs w:val="24"/>
        </w:rPr>
        <w:t>监测1次，连续监测2天。</w:t>
      </w:r>
      <w:r>
        <w:rPr>
          <w:rFonts w:hint="eastAsia" w:ascii="Times New Roman" w:hAnsi="Times New Roman"/>
          <w:sz w:val="24"/>
          <w:szCs w:val="24"/>
          <w:lang w:val="en-US" w:eastAsia="zh-CN"/>
        </w:rPr>
        <w:t>企业南侧</w:t>
      </w:r>
      <w:r>
        <w:rPr>
          <w:rFonts w:hint="eastAsia" w:ascii="Times New Roman" w:hAnsi="Times New Roman"/>
          <w:sz w:val="24"/>
          <w:szCs w:val="24"/>
          <w:highlight w:val="none"/>
          <w:lang w:val="en-US" w:eastAsia="zh-CN"/>
        </w:rPr>
        <w:t>厂界</w:t>
      </w:r>
      <w:r>
        <w:rPr>
          <w:rFonts w:hint="eastAsia" w:ascii="Times New Roman" w:hAnsi="Times New Roman"/>
          <w:sz w:val="24"/>
          <w:szCs w:val="24"/>
          <w:lang w:val="en-US" w:eastAsia="zh-CN"/>
        </w:rPr>
        <w:t>与邻厂共用墙体，厂界噪声不具备检测条件，故未进行检测；企业夜间不生产，故夜间噪声未进行检测。</w:t>
      </w:r>
    </w:p>
    <w:p>
      <w:pPr>
        <w:pStyle w:val="6"/>
      </w:pPr>
      <w:bookmarkStart w:id="67" w:name="_Toc15305"/>
      <w:r>
        <w:rPr>
          <w:rFonts w:hint="eastAsia"/>
        </w:rPr>
        <w:t>7.1.4采样点位布置图</w:t>
      </w:r>
      <w:bookmarkEnd w:id="67"/>
    </w:p>
    <w:tbl>
      <w:tblPr>
        <w:tblStyle w:val="33"/>
        <w:tblW w:w="82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8296" w:type="dxa"/>
          </w:tcPr>
          <w:p>
            <w:pPr>
              <w:jc w:val="center"/>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5124450" cy="4443730"/>
                  <wp:effectExtent l="0" t="0" r="0" b="13970"/>
                  <wp:docPr id="11" name="图片 11" descr="测点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测点布置图"/>
                          <pic:cNvPicPr>
                            <a:picLocks noChangeAspect="1"/>
                          </pic:cNvPicPr>
                        </pic:nvPicPr>
                        <pic:blipFill>
                          <a:blip r:embed="rId24"/>
                          <a:stretch>
                            <a:fillRect/>
                          </a:stretch>
                        </pic:blipFill>
                        <pic:spPr>
                          <a:xfrm>
                            <a:off x="0" y="0"/>
                            <a:ext cx="5124450" cy="4443730"/>
                          </a:xfrm>
                          <a:prstGeom prst="rect">
                            <a:avLst/>
                          </a:prstGeom>
                        </pic:spPr>
                      </pic:pic>
                    </a:graphicData>
                  </a:graphic>
                </wp:inline>
              </w:drawing>
            </w:r>
          </w:p>
          <w:p>
            <w:pPr>
              <w:rPr>
                <w:rFonts w:ascii="Times New Roman" w:hAnsi="Times New Roman"/>
              </w:rPr>
            </w:pPr>
            <w:r>
              <w:rPr>
                <w:rFonts w:hint="eastAsia" w:ascii="Times New Roman" w:hAnsi="Times New Roman"/>
              </w:rPr>
              <w:t>备注：★为废水监测点位；</w:t>
            </w:r>
          </w:p>
          <w:p>
            <w:pPr>
              <w:rPr>
                <w:rFonts w:ascii="Times New Roman" w:hAnsi="Times New Roman"/>
              </w:rPr>
            </w:pPr>
            <w:r>
              <w:rPr>
                <w:rFonts w:hint="eastAsia" w:ascii="Times New Roman" w:hAnsi="Times New Roman"/>
              </w:rPr>
              <w:t xml:space="preserve">      ▲为噪声监测点位； </w:t>
            </w:r>
            <w:r>
              <w:rPr>
                <w:rFonts w:ascii="Times New Roman" w:hAnsi="Times New Roman"/>
              </w:rPr>
              <w:t xml:space="preserve">        </w:t>
            </w:r>
          </w:p>
          <w:p>
            <w:pPr>
              <w:rPr>
                <w:rFonts w:ascii="Times New Roman" w:hAnsi="Times New Roman"/>
              </w:rPr>
            </w:pPr>
            <w:r>
              <w:rPr>
                <w:rFonts w:hint="eastAsia" w:ascii="Times New Roman" w:hAnsi="Times New Roman"/>
              </w:rPr>
              <w:t xml:space="preserve">      </w:t>
            </w:r>
            <w:r>
              <w:rPr>
                <w:rFonts w:hint="eastAsia" w:ascii="Times New Roman" w:hAnsi="Times New Roman" w:eastAsia="宋体" w:cs="宋体"/>
              </w:rPr>
              <w:t>◎为有组织废气监测点位；</w:t>
            </w:r>
          </w:p>
          <w:p>
            <w:pPr>
              <w:ind w:firstLine="630" w:firstLineChars="300"/>
              <w:rPr>
                <w:rFonts w:ascii="Times New Roman" w:hAnsi="Times New Roman"/>
              </w:rPr>
            </w:pPr>
            <w:r>
              <w:rPr>
                <w:rFonts w:hint="eastAsia" w:ascii="Times New Roman" w:hAnsi="Times New Roman"/>
              </w:rPr>
              <w:t>○</w:t>
            </w:r>
            <w:r>
              <w:rPr>
                <w:rFonts w:hint="eastAsia" w:ascii="Times New Roman" w:hAnsi="Times New Roman" w:eastAsia="宋体" w:cs="宋体"/>
              </w:rPr>
              <w:t>为无组织废气监测点位。</w:t>
            </w:r>
          </w:p>
        </w:tc>
      </w:tr>
    </w:tbl>
    <w:p>
      <w:pPr>
        <w:pStyle w:val="12"/>
        <w:snapToGrid w:val="0"/>
        <w:jc w:val="center"/>
        <w:rPr>
          <w:rFonts w:ascii="Times New Roman" w:hAnsi="Times New Roman"/>
          <w:b/>
          <w:bCs/>
          <w:szCs w:val="21"/>
        </w:rPr>
      </w:pPr>
    </w:p>
    <w:p>
      <w:pPr>
        <w:pStyle w:val="12"/>
        <w:snapToGrid w:val="0"/>
        <w:jc w:val="center"/>
        <w:rPr>
          <w:rFonts w:ascii="Times New Roman" w:hAnsi="Times New Roman"/>
          <w:b/>
          <w:bCs/>
          <w:szCs w:val="21"/>
        </w:rPr>
      </w:pPr>
      <w:r>
        <w:rPr>
          <w:rFonts w:ascii="Times New Roman" w:hAnsi="Times New Roman"/>
          <w:b/>
          <w:bCs/>
          <w:szCs w:val="21"/>
        </w:rPr>
        <w:t>图</w:t>
      </w:r>
      <w:r>
        <w:rPr>
          <w:rFonts w:hint="eastAsia" w:ascii="Times New Roman" w:hAnsi="Times New Roman"/>
          <w:b/>
          <w:bCs/>
          <w:szCs w:val="21"/>
        </w:rPr>
        <w:t>7</w:t>
      </w:r>
      <w:r>
        <w:rPr>
          <w:rFonts w:ascii="Times New Roman" w:hAnsi="Times New Roman"/>
          <w:b/>
          <w:bCs/>
          <w:szCs w:val="21"/>
        </w:rPr>
        <w:t>.1</w:t>
      </w:r>
      <w:r>
        <w:rPr>
          <w:rFonts w:hint="eastAsia" w:ascii="Times New Roman" w:hAnsi="Times New Roman"/>
          <w:b/>
          <w:bCs/>
          <w:szCs w:val="21"/>
        </w:rPr>
        <w:t>-1</w:t>
      </w:r>
      <w:r>
        <w:rPr>
          <w:rFonts w:ascii="Times New Roman" w:hAnsi="Times New Roman"/>
          <w:b/>
          <w:bCs/>
          <w:szCs w:val="21"/>
        </w:rPr>
        <w:t xml:space="preserve"> </w:t>
      </w:r>
      <w:r>
        <w:rPr>
          <w:rFonts w:hint="eastAsia" w:ascii="Times New Roman" w:hAnsi="Times New Roman"/>
          <w:b/>
          <w:bCs/>
          <w:szCs w:val="21"/>
        </w:rPr>
        <w:t>现场采样点位布置</w:t>
      </w:r>
      <w:r>
        <w:rPr>
          <w:rFonts w:ascii="Times New Roman" w:hAnsi="Times New Roman"/>
          <w:b/>
          <w:bCs/>
          <w:szCs w:val="21"/>
        </w:rPr>
        <w:t>图</w:t>
      </w:r>
    </w:p>
    <w:p>
      <w:pPr>
        <w:adjustRightInd w:val="0"/>
        <w:snapToGrid w:val="0"/>
        <w:spacing w:line="360" w:lineRule="auto"/>
        <w:rPr>
          <w:rFonts w:ascii="Times New Roman" w:hAnsi="Times New Roma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pPr>
      <w:bookmarkStart w:id="68" w:name="_Toc14550"/>
      <w:r>
        <w:rPr>
          <w:rFonts w:hint="eastAsia"/>
        </w:rPr>
        <w:t>8质量保证及质量控制</w:t>
      </w:r>
      <w:bookmarkEnd w:id="68"/>
    </w:p>
    <w:p>
      <w:pPr>
        <w:pStyle w:val="5"/>
        <w:rPr>
          <w:rFonts w:eastAsia="宋体"/>
        </w:rPr>
      </w:pPr>
      <w:bookmarkStart w:id="69" w:name="_Toc9200"/>
      <w:r>
        <w:rPr>
          <w:rFonts w:eastAsia="宋体"/>
        </w:rPr>
        <w:t>8.1监测分析方法</w:t>
      </w:r>
      <w:bookmarkEnd w:id="69"/>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监测分析方法见表8</w:t>
      </w:r>
      <w:r>
        <w:rPr>
          <w:rFonts w:ascii="Times New Roman" w:hAnsi="Times New Roman"/>
          <w:sz w:val="24"/>
          <w:szCs w:val="24"/>
        </w:rPr>
        <w:t>.1</w:t>
      </w:r>
      <w:r>
        <w:rPr>
          <w:rFonts w:hint="eastAsia" w:ascii="Times New Roman" w:hAnsi="Times New Roman"/>
          <w:sz w:val="24"/>
          <w:szCs w:val="24"/>
        </w:rPr>
        <w:t>-1：</w:t>
      </w:r>
    </w:p>
    <w:p>
      <w:pPr>
        <w:spacing w:line="360" w:lineRule="auto"/>
        <w:jc w:val="center"/>
        <w:rPr>
          <w:rFonts w:ascii="Times New Roman" w:hAnsi="Times New Roman"/>
          <w:b/>
          <w:bCs/>
          <w:szCs w:val="21"/>
        </w:rPr>
      </w:pPr>
      <w:r>
        <w:rPr>
          <w:rFonts w:hint="eastAsia" w:ascii="Times New Roman" w:hAnsi="Times New Roman"/>
          <w:b/>
          <w:bCs/>
          <w:szCs w:val="21"/>
        </w:rPr>
        <w:t>表8</w:t>
      </w:r>
      <w:r>
        <w:rPr>
          <w:rFonts w:ascii="Times New Roman" w:hAnsi="Times New Roman"/>
          <w:b/>
          <w:bCs/>
          <w:szCs w:val="21"/>
        </w:rPr>
        <w:t>.1</w:t>
      </w:r>
      <w:r>
        <w:rPr>
          <w:rFonts w:hint="eastAsia" w:ascii="Times New Roman" w:hAnsi="Times New Roman"/>
          <w:b/>
          <w:bCs/>
          <w:szCs w:val="21"/>
        </w:rPr>
        <w:t>-1 监测分析方法</w:t>
      </w:r>
    </w:p>
    <w:tbl>
      <w:tblPr>
        <w:tblStyle w:val="32"/>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1"/>
        <w:gridCol w:w="1187"/>
        <w:gridCol w:w="2483"/>
        <w:gridCol w:w="401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751"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类别</w:t>
            </w:r>
          </w:p>
        </w:tc>
        <w:tc>
          <w:tcPr>
            <w:tcW w:w="1187"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检测项目</w:t>
            </w:r>
          </w:p>
        </w:tc>
        <w:tc>
          <w:tcPr>
            <w:tcW w:w="2483"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主要检测设备名称</w:t>
            </w:r>
          </w:p>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及编号</w:t>
            </w:r>
          </w:p>
        </w:tc>
        <w:tc>
          <w:tcPr>
            <w:tcW w:w="4014"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检测依据</w:t>
            </w:r>
          </w:p>
        </w:tc>
        <w:tc>
          <w:tcPr>
            <w:tcW w:w="1190"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51" w:type="dxa"/>
            <w:vMerge w:val="restart"/>
            <w:vAlign w:val="center"/>
          </w:tcPr>
          <w:p>
            <w:pPr>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水和</w:t>
            </w:r>
          </w:p>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废水</w:t>
            </w:r>
          </w:p>
        </w:tc>
        <w:tc>
          <w:tcPr>
            <w:tcW w:w="1187"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pH</w:t>
            </w:r>
          </w:p>
        </w:tc>
        <w:tc>
          <w:tcPr>
            <w:tcW w:w="2483"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bCs/>
                <w:kern w:val="0"/>
                <w:szCs w:val="21"/>
              </w:rPr>
              <w:t>SX836便携式pH/电导率/溶解氧仪（GXZY21022）</w:t>
            </w:r>
          </w:p>
        </w:tc>
        <w:tc>
          <w:tcPr>
            <w:tcW w:w="401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《水质 pH值的测定 电极法》</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HJ 1147-2020</w:t>
            </w:r>
          </w:p>
        </w:tc>
        <w:tc>
          <w:tcPr>
            <w:tcW w:w="1190" w:type="dxa"/>
            <w:vAlign w:val="center"/>
          </w:tcPr>
          <w:p>
            <w:pPr>
              <w:jc w:val="center"/>
              <w:rPr>
                <w:rFonts w:hint="default" w:ascii="Times New Roman" w:hAnsi="Times New Roman" w:eastAsia="仿宋_GB2312" w:cs="Times New Roman"/>
                <w:b/>
                <w:kern w:val="2"/>
                <w:sz w:val="24"/>
                <w:szCs w:val="22"/>
                <w:lang w:val="en-US" w:eastAsia="zh-CN" w:bidi="ar-SA"/>
              </w:rPr>
            </w:pPr>
            <w:r>
              <w:rPr>
                <w:rFonts w:hint="default" w:ascii="Times New Roman" w:hAnsi="Times New Roman" w:eastAsia="仿宋_GB2312" w:cs="Times New Roman"/>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751" w:type="dxa"/>
            <w:vMerge w:val="continue"/>
            <w:vAlign w:val="center"/>
          </w:tcPr>
          <w:p>
            <w:pPr>
              <w:widowControl/>
              <w:adjustRightInd w:val="0"/>
              <w:snapToGrid w:val="0"/>
              <w:rPr>
                <w:rFonts w:hint="default" w:ascii="Times New Roman" w:hAnsi="Times New Roman" w:cs="Times New Roman"/>
                <w:bCs/>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悬浮物</w:t>
            </w:r>
          </w:p>
        </w:tc>
        <w:tc>
          <w:tcPr>
            <w:tcW w:w="2483"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PW125DZH电子分析天平</w:t>
            </w:r>
          </w:p>
          <w:p>
            <w:pPr>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（GXZY18059）</w:t>
            </w:r>
          </w:p>
        </w:tc>
        <w:tc>
          <w:tcPr>
            <w:tcW w:w="4014" w:type="dxa"/>
            <w:vAlign w:val="center"/>
          </w:tcPr>
          <w:p>
            <w:pPr>
              <w:jc w:val="center"/>
              <w:rPr>
                <w:rFonts w:hint="default" w:ascii="Times New Roman" w:hAnsi="Times New Roman" w:cs="Times New Roman"/>
                <w:bCs/>
                <w:kern w:val="0"/>
                <w:szCs w:val="21"/>
              </w:rPr>
            </w:pPr>
            <w:r>
              <w:rPr>
                <w:rFonts w:hint="default" w:ascii="Times New Roman" w:hAnsi="Times New Roman" w:cs="Times New Roman"/>
                <w:bCs/>
                <w:kern w:val="0"/>
                <w:szCs w:val="21"/>
              </w:rPr>
              <w:t>《水质 悬浮物的测定 重量法》</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bCs/>
                <w:kern w:val="0"/>
                <w:szCs w:val="21"/>
              </w:rPr>
              <w:t>GB 11901-1989</w:t>
            </w:r>
          </w:p>
        </w:tc>
        <w:tc>
          <w:tcPr>
            <w:tcW w:w="1190" w:type="dxa"/>
            <w:vAlign w:val="center"/>
          </w:tcPr>
          <w:p>
            <w:pPr>
              <w:jc w:val="center"/>
              <w:rPr>
                <w:rFonts w:hint="default" w:ascii="Times New Roman" w:hAnsi="Times New Roman" w:eastAsia="仿宋_GB2312" w:cs="Times New Roman"/>
                <w:kern w:val="2"/>
                <w:sz w:val="24"/>
                <w:szCs w:val="22"/>
                <w:lang w:val="en-US" w:eastAsia="zh-CN" w:bidi="ar-SA"/>
              </w:rPr>
            </w:pPr>
            <w:r>
              <w:rPr>
                <w:rFonts w:hint="default" w:ascii="Times New Roman" w:hAnsi="Times New Roman" w:cs="Times New Roman"/>
                <w:bCs/>
                <w:kern w:val="0"/>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751" w:type="dxa"/>
            <w:vMerge w:val="continue"/>
            <w:vAlign w:val="center"/>
          </w:tcPr>
          <w:p>
            <w:pPr>
              <w:widowControl/>
              <w:adjustRightInd w:val="0"/>
              <w:snapToGrid w:val="0"/>
              <w:rPr>
                <w:rFonts w:hint="default" w:ascii="Times New Roman" w:hAnsi="Times New Roman" w:cs="Times New Roman"/>
                <w:bCs/>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szCs w:val="21"/>
              </w:rPr>
              <w:t>化学需氧量</w:t>
            </w:r>
          </w:p>
        </w:tc>
        <w:tc>
          <w:tcPr>
            <w:tcW w:w="2483"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szCs w:val="21"/>
              </w:rPr>
              <w:t>/</w:t>
            </w:r>
          </w:p>
        </w:tc>
        <w:tc>
          <w:tcPr>
            <w:tcW w:w="401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《水质 化学需氧量的测定 重铬酸盐法》</w:t>
            </w:r>
          </w:p>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szCs w:val="21"/>
              </w:rPr>
              <w:t>HJ 828-2017</w:t>
            </w:r>
          </w:p>
        </w:tc>
        <w:tc>
          <w:tcPr>
            <w:tcW w:w="1190"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751" w:type="dxa"/>
            <w:vMerge w:val="continue"/>
            <w:vAlign w:val="center"/>
          </w:tcPr>
          <w:p>
            <w:pPr>
              <w:widowControl/>
              <w:adjustRightInd w:val="0"/>
              <w:snapToGrid w:val="0"/>
              <w:rPr>
                <w:rFonts w:hint="default" w:ascii="Times New Roman" w:hAnsi="Times New Roman" w:cs="Times New Roman"/>
                <w:bCs/>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氨氮</w:t>
            </w:r>
          </w:p>
        </w:tc>
        <w:tc>
          <w:tcPr>
            <w:tcW w:w="2483" w:type="dxa"/>
            <w:vMerge w:val="restart"/>
            <w:vAlign w:val="center"/>
          </w:tcPr>
          <w:p>
            <w:pPr>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SP-756P紫外可见分光光度计（GXZY18002）</w:t>
            </w:r>
          </w:p>
        </w:tc>
        <w:tc>
          <w:tcPr>
            <w:tcW w:w="4014" w:type="dxa"/>
            <w:vAlign w:val="center"/>
          </w:tcPr>
          <w:p>
            <w:pPr>
              <w:widowControl/>
              <w:adjustRightInd w:val="0"/>
              <w:snapToGrid w:val="0"/>
              <w:spacing w:line="320" w:lineRule="exact"/>
              <w:jc w:val="center"/>
              <w:rPr>
                <w:rFonts w:hint="default" w:ascii="Times New Roman" w:hAnsi="Times New Roman" w:cs="Times New Roman"/>
                <w:bCs/>
                <w:kern w:val="0"/>
                <w:szCs w:val="21"/>
              </w:rPr>
            </w:pPr>
            <w:r>
              <w:rPr>
                <w:rFonts w:hint="default" w:ascii="Times New Roman" w:hAnsi="Times New Roman" w:cs="Times New Roman"/>
                <w:bCs/>
                <w:kern w:val="0"/>
                <w:szCs w:val="21"/>
              </w:rPr>
              <w:t>《水质 氨氮的测定纳氏试剂分光光度法》</w:t>
            </w:r>
          </w:p>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HJ 535-2009</w:t>
            </w:r>
          </w:p>
        </w:tc>
        <w:tc>
          <w:tcPr>
            <w:tcW w:w="1190"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751" w:type="dxa"/>
            <w:vMerge w:val="continue"/>
            <w:vAlign w:val="center"/>
          </w:tcPr>
          <w:p>
            <w:pPr>
              <w:widowControl/>
              <w:adjustRightInd w:val="0"/>
              <w:snapToGrid w:val="0"/>
              <w:rPr>
                <w:rFonts w:hint="default" w:ascii="Times New Roman" w:hAnsi="Times New Roman" w:cs="Times New Roman"/>
                <w:bCs/>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总磷</w:t>
            </w:r>
          </w:p>
        </w:tc>
        <w:tc>
          <w:tcPr>
            <w:tcW w:w="2483" w:type="dxa"/>
            <w:vMerge w:val="continue"/>
            <w:vAlign w:val="center"/>
          </w:tcPr>
          <w:p>
            <w:pPr>
              <w:widowControl/>
              <w:adjustRightInd w:val="0"/>
              <w:snapToGrid w:val="0"/>
              <w:spacing w:line="320" w:lineRule="exact"/>
              <w:jc w:val="center"/>
              <w:rPr>
                <w:rFonts w:hint="default" w:ascii="Times New Roman" w:hAnsi="Times New Roman" w:cs="Times New Roman"/>
                <w:szCs w:val="21"/>
              </w:rPr>
            </w:pPr>
          </w:p>
        </w:tc>
        <w:tc>
          <w:tcPr>
            <w:tcW w:w="4014" w:type="dxa"/>
            <w:vAlign w:val="center"/>
          </w:tcPr>
          <w:p>
            <w:pPr>
              <w:widowControl/>
              <w:adjustRightInd w:val="0"/>
              <w:snapToGrid w:val="0"/>
              <w:spacing w:line="320" w:lineRule="exact"/>
              <w:jc w:val="center"/>
              <w:rPr>
                <w:rFonts w:hint="default" w:ascii="Times New Roman" w:hAnsi="Times New Roman" w:cs="Times New Roman"/>
                <w:bCs/>
                <w:kern w:val="0"/>
                <w:szCs w:val="21"/>
              </w:rPr>
            </w:pPr>
            <w:r>
              <w:rPr>
                <w:rFonts w:hint="default" w:ascii="Times New Roman" w:hAnsi="Times New Roman" w:cs="Times New Roman"/>
                <w:bCs/>
                <w:kern w:val="0"/>
                <w:szCs w:val="21"/>
              </w:rPr>
              <w:t xml:space="preserve">《水质 总磷的测定 钼酸铵分光光度法》 </w:t>
            </w:r>
          </w:p>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GB 11893-1989</w:t>
            </w:r>
          </w:p>
        </w:tc>
        <w:tc>
          <w:tcPr>
            <w:tcW w:w="1190"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751" w:type="dxa"/>
            <w:vMerge w:val="continue"/>
            <w:vAlign w:val="center"/>
          </w:tcPr>
          <w:p>
            <w:pPr>
              <w:widowControl/>
              <w:adjustRightInd w:val="0"/>
              <w:snapToGrid w:val="0"/>
              <w:rPr>
                <w:rFonts w:hint="default" w:ascii="Times New Roman" w:hAnsi="Times New Roman" w:cs="Times New Roman"/>
                <w:bCs/>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动植物油类</w:t>
            </w:r>
          </w:p>
        </w:tc>
        <w:tc>
          <w:tcPr>
            <w:tcW w:w="2483" w:type="dxa"/>
            <w:vAlign w:val="center"/>
          </w:tcPr>
          <w:p>
            <w:pPr>
              <w:widowControl/>
              <w:adjustRightInd w:val="0"/>
              <w:snapToGrid w:val="0"/>
              <w:spacing w:line="320" w:lineRule="exact"/>
              <w:jc w:val="center"/>
              <w:rPr>
                <w:rFonts w:hint="default" w:ascii="Times New Roman" w:hAnsi="Times New Roman" w:cs="Times New Roman"/>
                <w:bCs/>
                <w:kern w:val="0"/>
                <w:szCs w:val="21"/>
              </w:rPr>
            </w:pPr>
            <w:r>
              <w:rPr>
                <w:rFonts w:hint="default" w:ascii="Times New Roman" w:hAnsi="Times New Roman" w:cs="Times New Roman"/>
                <w:bCs/>
                <w:kern w:val="0"/>
                <w:szCs w:val="21"/>
              </w:rPr>
              <w:t>OIL-6红外分光测油仪</w:t>
            </w:r>
          </w:p>
          <w:p>
            <w:pPr>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（GXZY18027）</w:t>
            </w:r>
          </w:p>
        </w:tc>
        <w:tc>
          <w:tcPr>
            <w:tcW w:w="4014" w:type="dxa"/>
            <w:vAlign w:val="center"/>
          </w:tcPr>
          <w:p>
            <w:pPr>
              <w:widowControl/>
              <w:adjustRightInd w:val="0"/>
              <w:snapToGrid w:val="0"/>
              <w:spacing w:line="320" w:lineRule="exact"/>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《水质 石油类和动植物油类的测定 红外分光光度法》HJ 637-2018</w:t>
            </w:r>
          </w:p>
        </w:tc>
        <w:tc>
          <w:tcPr>
            <w:tcW w:w="1190" w:type="dxa"/>
            <w:vAlign w:val="center"/>
          </w:tcPr>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751" w:type="dxa"/>
            <w:vAlign w:val="center"/>
          </w:tcPr>
          <w:p>
            <w:pPr>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有组织废气</w:t>
            </w:r>
          </w:p>
        </w:tc>
        <w:tc>
          <w:tcPr>
            <w:tcW w:w="1187" w:type="dxa"/>
            <w:vAlign w:val="center"/>
          </w:tcPr>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非甲烷总烃</w:t>
            </w:r>
          </w:p>
        </w:tc>
        <w:tc>
          <w:tcPr>
            <w:tcW w:w="2483"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ZR-3520型真空箱气体袋采样器（GXZY19018）</w:t>
            </w:r>
          </w:p>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HF-900气相色谱仪</w:t>
            </w:r>
          </w:p>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（GXZY21012）</w:t>
            </w:r>
          </w:p>
        </w:tc>
        <w:tc>
          <w:tcPr>
            <w:tcW w:w="4014"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《固定污染源废气 总烃、甲烷和非甲烷总烃的测定 气相色谱法》</w:t>
            </w:r>
          </w:p>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HJ 38-2017</w:t>
            </w:r>
          </w:p>
        </w:tc>
        <w:tc>
          <w:tcPr>
            <w:tcW w:w="1190" w:type="dxa"/>
            <w:vAlign w:val="center"/>
          </w:tcPr>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0.07mg/m</w:t>
            </w:r>
            <w:r>
              <w:rPr>
                <w:rFonts w:hint="default" w:ascii="Times New Roman" w:hAnsi="Times New Roman" w:cs="Times New Roman"/>
                <w:bCs/>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751" w:type="dxa"/>
            <w:vMerge w:val="restart"/>
            <w:vAlign w:val="center"/>
          </w:tcPr>
          <w:p>
            <w:pPr>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无组织废气</w:t>
            </w:r>
          </w:p>
        </w:tc>
        <w:tc>
          <w:tcPr>
            <w:tcW w:w="1187" w:type="dxa"/>
            <w:tcBorders>
              <w:top w:val="single" w:color="auto" w:sz="4" w:space="0"/>
            </w:tcBorders>
            <w:vAlign w:val="center"/>
          </w:tcPr>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颗粒物</w:t>
            </w:r>
          </w:p>
        </w:tc>
        <w:tc>
          <w:tcPr>
            <w:tcW w:w="2483"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ZR-3922环境空气颗粒物综合采样器（GXZY18013、GXZY18039、GXZY18040、GXZY18041）</w:t>
            </w:r>
          </w:p>
          <w:p>
            <w:pPr>
              <w:widowControl/>
              <w:adjustRightInd w:val="0"/>
              <w:snapToGrid w:val="0"/>
              <w:spacing w:line="320" w:lineRule="exact"/>
              <w:jc w:val="center"/>
              <w:rPr>
                <w:rFonts w:hint="default" w:ascii="Times New Roman" w:hAnsi="Times New Roman" w:cs="Times New Roman"/>
                <w:bCs/>
                <w:kern w:val="0"/>
                <w:szCs w:val="21"/>
              </w:rPr>
            </w:pPr>
            <w:r>
              <w:rPr>
                <w:rFonts w:hint="default" w:ascii="Times New Roman" w:hAnsi="Times New Roman" w:cs="Times New Roman"/>
                <w:bCs/>
                <w:kern w:val="0"/>
                <w:szCs w:val="21"/>
              </w:rPr>
              <w:t>BT125D电子分析天平</w:t>
            </w:r>
          </w:p>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（LDZY11036）</w:t>
            </w:r>
          </w:p>
        </w:tc>
        <w:tc>
          <w:tcPr>
            <w:tcW w:w="4014" w:type="dxa"/>
            <w:tcBorders>
              <w:right w:val="single" w:color="auto" w:sz="4" w:space="0"/>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《环境空气 总悬浮颗粒物的测定 重量法》及修改单</w:t>
            </w:r>
          </w:p>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GB/T 15432-1995</w:t>
            </w:r>
          </w:p>
        </w:tc>
        <w:tc>
          <w:tcPr>
            <w:tcW w:w="1190"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bCs/>
                <w:kern w:val="0"/>
                <w:szCs w:val="21"/>
              </w:rPr>
              <w:t>0.001mg/m³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751" w:type="dxa"/>
            <w:vMerge w:val="continue"/>
            <w:vAlign w:val="center"/>
          </w:tcPr>
          <w:p>
            <w:pPr>
              <w:adjustRightInd w:val="0"/>
              <w:snapToGrid w:val="0"/>
              <w:jc w:val="center"/>
              <w:rPr>
                <w:rFonts w:hint="default" w:ascii="Times New Roman" w:hAnsi="Times New Roman" w:cs="Times New Roman"/>
                <w:bCs/>
                <w:kern w:val="0"/>
                <w:szCs w:val="21"/>
              </w:rPr>
            </w:pPr>
          </w:p>
        </w:tc>
        <w:tc>
          <w:tcPr>
            <w:tcW w:w="1187" w:type="dxa"/>
            <w:tcBorders>
              <w:top w:val="single" w:color="auto" w:sz="4" w:space="0"/>
            </w:tcBorders>
            <w:vAlign w:val="center"/>
          </w:tcPr>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非甲烷总烃</w:t>
            </w:r>
          </w:p>
        </w:tc>
        <w:tc>
          <w:tcPr>
            <w:tcW w:w="2483"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ZR-3520型真空箱气体袋采样器（GXZY19018）</w:t>
            </w:r>
          </w:p>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ZR-3731型恶臭气体采样器</w:t>
            </w:r>
          </w:p>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（GXZY21025）</w:t>
            </w:r>
          </w:p>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HF-900气相色谱仪</w:t>
            </w:r>
          </w:p>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（GXZY21012）</w:t>
            </w:r>
          </w:p>
        </w:tc>
        <w:tc>
          <w:tcPr>
            <w:tcW w:w="4014" w:type="dxa"/>
            <w:tcBorders>
              <w:right w:val="single" w:color="auto" w:sz="4" w:space="0"/>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《环境空气 总烃、甲烷和非甲烷总烃的测定 直接进样-气相色谱法》</w:t>
            </w:r>
          </w:p>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HJ 604-2017</w:t>
            </w:r>
          </w:p>
        </w:tc>
        <w:tc>
          <w:tcPr>
            <w:tcW w:w="1190"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0.07mg/m</w:t>
            </w:r>
            <w:r>
              <w:rPr>
                <w:rFonts w:hint="default" w:ascii="Times New Roman" w:hAnsi="Times New Roman" w:cs="Times New Roman"/>
                <w:bCs/>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751"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噪声</w:t>
            </w:r>
          </w:p>
        </w:tc>
        <w:tc>
          <w:tcPr>
            <w:tcW w:w="118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工业企业厂界环境噪声</w:t>
            </w:r>
          </w:p>
        </w:tc>
        <w:tc>
          <w:tcPr>
            <w:tcW w:w="2483"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HS6298B噪声频谱分析仪</w:t>
            </w:r>
          </w:p>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（LDZY11095）</w:t>
            </w:r>
          </w:p>
        </w:tc>
        <w:tc>
          <w:tcPr>
            <w:tcW w:w="40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《工业企业厂界环境噪声排放标准》</w:t>
            </w:r>
          </w:p>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GB 12348-2008</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751" w:type="dxa"/>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备注</w:t>
            </w:r>
          </w:p>
        </w:tc>
        <w:tc>
          <w:tcPr>
            <w:tcW w:w="8874" w:type="dxa"/>
            <w:gridSpan w:val="4"/>
            <w:vAlign w:val="center"/>
          </w:tcPr>
          <w:p>
            <w:pPr>
              <w:widowControl/>
              <w:adjustRightInd w:val="0"/>
              <w:snapToGrid w:val="0"/>
              <w:rPr>
                <w:rFonts w:hint="default" w:ascii="Times New Roman" w:hAnsi="Times New Roman" w:cs="Times New Roman"/>
                <w:bCs/>
                <w:kern w:val="0"/>
                <w:szCs w:val="21"/>
              </w:rPr>
            </w:pPr>
            <w:r>
              <w:rPr>
                <w:rFonts w:hint="default" w:ascii="Times New Roman" w:hAnsi="Times New Roman" w:cs="Times New Roman"/>
                <w:bCs/>
                <w:kern w:val="0"/>
                <w:szCs w:val="21"/>
              </w:rPr>
              <w:t>1、“---”表示方法无检出限；</w:t>
            </w:r>
          </w:p>
          <w:p>
            <w:pPr>
              <w:widowControl/>
              <w:adjustRightInd w:val="0"/>
              <w:snapToGrid w:val="0"/>
              <w:rPr>
                <w:rFonts w:hint="default" w:ascii="Times New Roman" w:hAnsi="Times New Roman" w:cs="Times New Roman"/>
                <w:bCs/>
                <w:kern w:val="0"/>
                <w:szCs w:val="21"/>
              </w:rPr>
            </w:pPr>
            <w:r>
              <w:rPr>
                <w:rFonts w:hint="default" w:ascii="Times New Roman" w:hAnsi="Times New Roman" w:cs="Times New Roman"/>
                <w:bCs/>
                <w:kern w:val="0"/>
                <w:szCs w:val="21"/>
              </w:rPr>
              <w:t>2、“/”表示不涉及检测仪器。</w:t>
            </w:r>
          </w:p>
        </w:tc>
      </w:tr>
    </w:tbl>
    <w:p>
      <w:pPr>
        <w:pStyle w:val="5"/>
        <w:rPr>
          <w:rFonts w:eastAsia="宋体"/>
        </w:rPr>
      </w:pPr>
      <w:bookmarkStart w:id="70" w:name="_Toc22033"/>
      <w:r>
        <w:rPr>
          <w:rFonts w:eastAsia="宋体"/>
        </w:rPr>
        <w:t>8.2监测仪器</w:t>
      </w:r>
      <w:bookmarkEnd w:id="70"/>
    </w:p>
    <w:p>
      <w:pPr>
        <w:adjustRightInd w:val="0"/>
        <w:snapToGri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公司配备有数量充足、技术指标符合相关监测方法要求的各类监测仪器设备、标准物质和实验试剂。监测仪器性能符合相应方法标准或技术规范要求，根据仪器性能实施自校准或者检定/ 校准、运行和维护、定期检查。</w:t>
      </w:r>
    </w:p>
    <w:p>
      <w:pPr>
        <w:adjustRightInd w:val="0"/>
        <w:snapToGri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标准物质、试剂、耗材的购买和使用情况建立台账有予以记录。</w:t>
      </w:r>
    </w:p>
    <w:p>
      <w:pPr>
        <w:spacing w:line="360" w:lineRule="auto"/>
        <w:jc w:val="center"/>
        <w:rPr>
          <w:rFonts w:ascii="Times New Roman" w:hAnsi="Times New Roman"/>
          <w:b/>
          <w:bCs/>
          <w:szCs w:val="21"/>
        </w:rPr>
      </w:pPr>
      <w:r>
        <w:rPr>
          <w:rFonts w:hint="eastAsia" w:ascii="Times New Roman" w:hAnsi="Times New Roman"/>
          <w:b/>
          <w:bCs/>
          <w:szCs w:val="21"/>
        </w:rPr>
        <w:t>表8</w:t>
      </w:r>
      <w:r>
        <w:rPr>
          <w:rFonts w:ascii="Times New Roman" w:hAnsi="Times New Roman"/>
          <w:b/>
          <w:bCs/>
          <w:szCs w:val="21"/>
        </w:rPr>
        <w:t>.2</w:t>
      </w:r>
      <w:r>
        <w:rPr>
          <w:rFonts w:hint="eastAsia" w:ascii="Times New Roman" w:hAnsi="Times New Roman"/>
          <w:b/>
          <w:bCs/>
          <w:szCs w:val="21"/>
        </w:rPr>
        <w:t>-</w:t>
      </w:r>
      <w:r>
        <w:rPr>
          <w:rFonts w:ascii="Times New Roman" w:hAnsi="Times New Roman"/>
          <w:b/>
          <w:bCs/>
          <w:szCs w:val="21"/>
        </w:rPr>
        <w:t>1</w:t>
      </w:r>
      <w:r>
        <w:rPr>
          <w:rFonts w:hint="eastAsia" w:ascii="Times New Roman" w:hAnsi="Times New Roman"/>
          <w:b/>
          <w:bCs/>
          <w:szCs w:val="21"/>
        </w:rPr>
        <w:t xml:space="preserve"> 监测仪器一览表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02"/>
        <w:gridCol w:w="1558"/>
        <w:gridCol w:w="1558"/>
        <w:gridCol w:w="1275"/>
        <w:gridCol w:w="10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2" w:type="dxa"/>
            <w:tcBorders>
              <w:tl2br w:val="nil"/>
              <w:tr2bl w:val="nil"/>
            </w:tcBorders>
            <w:vAlign w:val="center"/>
          </w:tcPr>
          <w:p>
            <w:pPr>
              <w:jc w:val="center"/>
              <w:rPr>
                <w:rFonts w:ascii="Times New Roman" w:hAnsi="Times New Roman"/>
                <w:szCs w:val="21"/>
              </w:rPr>
            </w:pPr>
            <w:r>
              <w:rPr>
                <w:rFonts w:ascii="Times New Roman" w:hAnsi="Times New Roman"/>
                <w:szCs w:val="21"/>
              </w:rPr>
              <w:t>仪器名称</w:t>
            </w:r>
          </w:p>
        </w:tc>
        <w:tc>
          <w:tcPr>
            <w:tcW w:w="1558" w:type="dxa"/>
            <w:tcBorders>
              <w:tl2br w:val="nil"/>
              <w:tr2bl w:val="nil"/>
            </w:tcBorders>
            <w:vAlign w:val="center"/>
          </w:tcPr>
          <w:p>
            <w:pPr>
              <w:jc w:val="center"/>
              <w:rPr>
                <w:rFonts w:ascii="Times New Roman" w:hAnsi="Times New Roman"/>
                <w:b/>
                <w:bCs/>
                <w:szCs w:val="21"/>
              </w:rPr>
            </w:pPr>
            <w:r>
              <w:rPr>
                <w:rFonts w:ascii="Times New Roman" w:hAnsi="Times New Roman"/>
                <w:b/>
                <w:bCs/>
                <w:szCs w:val="21"/>
              </w:rPr>
              <w:t>型号</w:t>
            </w:r>
          </w:p>
        </w:tc>
        <w:tc>
          <w:tcPr>
            <w:tcW w:w="1558" w:type="dxa"/>
            <w:tcBorders>
              <w:tl2br w:val="nil"/>
              <w:tr2bl w:val="nil"/>
            </w:tcBorders>
            <w:vAlign w:val="center"/>
          </w:tcPr>
          <w:p>
            <w:pPr>
              <w:jc w:val="center"/>
              <w:rPr>
                <w:rFonts w:ascii="Times New Roman" w:hAnsi="Times New Roman"/>
                <w:b/>
                <w:bCs/>
                <w:szCs w:val="21"/>
              </w:rPr>
            </w:pPr>
            <w:r>
              <w:rPr>
                <w:rFonts w:ascii="Times New Roman" w:hAnsi="Times New Roman"/>
                <w:b/>
                <w:bCs/>
                <w:szCs w:val="21"/>
              </w:rPr>
              <w:t>编号</w:t>
            </w:r>
          </w:p>
        </w:tc>
        <w:tc>
          <w:tcPr>
            <w:tcW w:w="1275" w:type="dxa"/>
            <w:tcBorders>
              <w:tl2br w:val="nil"/>
              <w:tr2bl w:val="nil"/>
            </w:tcBorders>
            <w:vAlign w:val="center"/>
          </w:tcPr>
          <w:p>
            <w:pPr>
              <w:jc w:val="center"/>
              <w:rPr>
                <w:rFonts w:ascii="Times New Roman" w:hAnsi="Times New Roman"/>
                <w:b/>
                <w:bCs/>
                <w:szCs w:val="21"/>
              </w:rPr>
            </w:pPr>
            <w:r>
              <w:rPr>
                <w:rFonts w:ascii="Times New Roman" w:hAnsi="Times New Roman"/>
                <w:b/>
                <w:bCs/>
                <w:szCs w:val="21"/>
              </w:rPr>
              <w:t>检定证书</w:t>
            </w:r>
            <w:r>
              <w:rPr>
                <w:rFonts w:hint="eastAsia" w:ascii="Times New Roman" w:hAnsi="Times New Roman"/>
                <w:b/>
                <w:bCs/>
                <w:szCs w:val="21"/>
              </w:rPr>
              <w:t>有效期至</w:t>
            </w:r>
          </w:p>
        </w:tc>
        <w:tc>
          <w:tcPr>
            <w:tcW w:w="1023" w:type="dxa"/>
            <w:tcBorders>
              <w:tl2br w:val="nil"/>
              <w:tr2bl w:val="nil"/>
            </w:tcBorders>
            <w:vAlign w:val="center"/>
          </w:tcPr>
          <w:p>
            <w:pPr>
              <w:jc w:val="center"/>
              <w:rPr>
                <w:rFonts w:ascii="Times New Roman" w:hAnsi="Times New Roman"/>
                <w:b/>
                <w:bCs/>
                <w:szCs w:val="21"/>
              </w:rPr>
            </w:pPr>
            <w:r>
              <w:rPr>
                <w:rFonts w:ascii="Times New Roman" w:hAnsi="Times New Roman"/>
                <w:b/>
                <w:bCs/>
                <w:szCs w:val="21"/>
              </w:rPr>
              <w:t>是否在有效期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便携式pH/电导率/溶解氧仪</w:t>
            </w:r>
          </w:p>
        </w:tc>
        <w:tc>
          <w:tcPr>
            <w:tcW w:w="15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SX836</w:t>
            </w:r>
          </w:p>
        </w:tc>
        <w:tc>
          <w:tcPr>
            <w:tcW w:w="1558"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GXZY210</w:t>
            </w:r>
            <w:r>
              <w:rPr>
                <w:rFonts w:hint="eastAsia" w:ascii="Times New Roman" w:hAnsi="Times New Roman" w:cs="Times New Roman"/>
                <w:szCs w:val="21"/>
                <w:lang w:val="en-US" w:eastAsia="zh-CN"/>
              </w:rPr>
              <w:t>22</w:t>
            </w:r>
          </w:p>
        </w:tc>
        <w:tc>
          <w:tcPr>
            <w:tcW w:w="1275"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lang w:val="en-US" w:eastAsia="zh-CN"/>
              </w:rPr>
              <w:t>3</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0</w:t>
            </w:r>
            <w:r>
              <w:rPr>
                <w:rFonts w:hint="default" w:ascii="Times New Roman" w:hAnsi="Times New Roman" w:cs="Times New Roman"/>
                <w:szCs w:val="21"/>
                <w:lang w:val="en-US" w:eastAsia="zh-CN"/>
              </w:rPr>
              <w:t>6.2</w:t>
            </w:r>
            <w:r>
              <w:rPr>
                <w:rFonts w:hint="eastAsia" w:ascii="Times New Roman" w:hAnsi="Times New Roman" w:cs="Times New Roman"/>
                <w:szCs w:val="21"/>
                <w:lang w:val="en-US" w:eastAsia="zh-CN"/>
              </w:rPr>
              <w:t>8</w:t>
            </w:r>
          </w:p>
        </w:tc>
        <w:tc>
          <w:tcPr>
            <w:tcW w:w="102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2"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rPr>
              <w:t>环境空气颗粒物综合采样器（F）</w:t>
            </w:r>
          </w:p>
        </w:tc>
        <w:tc>
          <w:tcPr>
            <w:tcW w:w="1558" w:type="dxa"/>
            <w:tcBorders>
              <w:tl2br w:val="nil"/>
              <w:tr2bl w:val="nil"/>
            </w:tcBorders>
            <w:vAlign w:val="center"/>
          </w:tcPr>
          <w:p>
            <w:pPr>
              <w:jc w:val="center"/>
              <w:rPr>
                <w:rFonts w:hint="eastAsia" w:ascii="Times New Roman" w:hAnsi="Times New Roman" w:cs="Times New Roman" w:eastAsiaTheme="minorEastAsia"/>
                <w:szCs w:val="21"/>
                <w:lang w:val="en-US" w:eastAsia="zh-CN"/>
              </w:rPr>
            </w:pPr>
            <w:r>
              <w:rPr>
                <w:rFonts w:hint="default" w:ascii="Times New Roman" w:hAnsi="Times New Roman" w:cs="Times New Roman"/>
                <w:szCs w:val="21"/>
              </w:rPr>
              <w:t>ZR-392</w:t>
            </w:r>
            <w:r>
              <w:rPr>
                <w:rFonts w:hint="eastAsia" w:ascii="Times New Roman" w:hAnsi="Times New Roman" w:cs="Times New Roman"/>
                <w:szCs w:val="21"/>
                <w:lang w:val="en-US" w:eastAsia="zh-CN"/>
              </w:rPr>
              <w:t>2</w:t>
            </w:r>
          </w:p>
        </w:tc>
        <w:tc>
          <w:tcPr>
            <w:tcW w:w="1558"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GXZY</w:t>
            </w:r>
            <w:r>
              <w:rPr>
                <w:rFonts w:hint="eastAsia" w:ascii="Times New Roman" w:hAnsi="Times New Roman" w:cs="Times New Roman"/>
                <w:szCs w:val="21"/>
                <w:lang w:val="en-US" w:eastAsia="zh-CN"/>
              </w:rPr>
              <w:t>18</w:t>
            </w:r>
            <w:r>
              <w:rPr>
                <w:rFonts w:hint="eastAsia" w:ascii="Times New Roman" w:hAnsi="Times New Roman" w:cs="Times New Roman"/>
                <w:szCs w:val="21"/>
              </w:rPr>
              <w:t>0</w:t>
            </w:r>
            <w:r>
              <w:rPr>
                <w:rFonts w:hint="eastAsia" w:ascii="Times New Roman" w:hAnsi="Times New Roman" w:cs="Times New Roman"/>
                <w:szCs w:val="21"/>
                <w:lang w:val="en-US" w:eastAsia="zh-CN"/>
              </w:rPr>
              <w:t>13</w:t>
            </w:r>
          </w:p>
        </w:tc>
        <w:tc>
          <w:tcPr>
            <w:tcW w:w="127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2023.03.01</w:t>
            </w:r>
          </w:p>
        </w:tc>
        <w:tc>
          <w:tcPr>
            <w:tcW w:w="102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2"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rPr>
              <w:t>环境空气颗粒物综合采样器（F）</w:t>
            </w:r>
          </w:p>
        </w:tc>
        <w:tc>
          <w:tcPr>
            <w:tcW w:w="1558" w:type="dxa"/>
            <w:tcBorders>
              <w:tl2br w:val="nil"/>
              <w:tr2bl w:val="nil"/>
            </w:tcBorders>
            <w:vAlign w:val="center"/>
          </w:tcPr>
          <w:p>
            <w:pPr>
              <w:jc w:val="center"/>
              <w:rPr>
                <w:rFonts w:hint="eastAsia" w:ascii="Times New Roman" w:hAnsi="Times New Roman" w:cs="Times New Roman" w:eastAsiaTheme="minorEastAsia"/>
                <w:szCs w:val="21"/>
                <w:lang w:val="en-US" w:eastAsia="zh-CN"/>
              </w:rPr>
            </w:pPr>
            <w:r>
              <w:rPr>
                <w:rFonts w:hint="default" w:ascii="Times New Roman" w:hAnsi="Times New Roman" w:cs="Times New Roman"/>
                <w:szCs w:val="21"/>
              </w:rPr>
              <w:t>ZR-392</w:t>
            </w:r>
            <w:r>
              <w:rPr>
                <w:rFonts w:hint="eastAsia" w:ascii="Times New Roman" w:hAnsi="Times New Roman" w:cs="Times New Roman"/>
                <w:szCs w:val="21"/>
                <w:lang w:val="en-US" w:eastAsia="zh-CN"/>
              </w:rPr>
              <w:t>2</w:t>
            </w:r>
          </w:p>
        </w:tc>
        <w:tc>
          <w:tcPr>
            <w:tcW w:w="1558" w:type="dxa"/>
            <w:tcBorders>
              <w:tl2br w:val="nil"/>
              <w:tr2bl w:val="nil"/>
            </w:tcBorders>
            <w:vAlign w:val="center"/>
          </w:tcPr>
          <w:p>
            <w:pPr>
              <w:jc w:val="center"/>
              <w:rPr>
                <w:rFonts w:hint="default" w:ascii="Times New Roman" w:hAnsi="Times New Roman" w:cs="Times New Roman"/>
                <w:szCs w:val="21"/>
                <w:lang w:val="en-US"/>
              </w:rPr>
            </w:pPr>
            <w:r>
              <w:rPr>
                <w:rFonts w:hint="eastAsia" w:ascii="Times New Roman" w:hAnsi="Times New Roman" w:cs="Times New Roman"/>
                <w:szCs w:val="21"/>
              </w:rPr>
              <w:t>GXZY</w:t>
            </w:r>
            <w:r>
              <w:rPr>
                <w:rFonts w:hint="eastAsia" w:ascii="Times New Roman" w:hAnsi="Times New Roman" w:cs="Times New Roman"/>
                <w:szCs w:val="21"/>
                <w:lang w:val="en-US" w:eastAsia="zh-CN"/>
              </w:rPr>
              <w:t>18</w:t>
            </w:r>
            <w:r>
              <w:rPr>
                <w:rFonts w:hint="eastAsia" w:ascii="Times New Roman" w:hAnsi="Times New Roman" w:cs="Times New Roman"/>
                <w:szCs w:val="21"/>
              </w:rPr>
              <w:t>0</w:t>
            </w:r>
            <w:r>
              <w:rPr>
                <w:rFonts w:hint="eastAsia" w:ascii="Times New Roman" w:hAnsi="Times New Roman" w:cs="Times New Roman"/>
                <w:szCs w:val="21"/>
                <w:lang w:val="en-US" w:eastAsia="zh-CN"/>
              </w:rPr>
              <w:t>39</w:t>
            </w:r>
          </w:p>
        </w:tc>
        <w:tc>
          <w:tcPr>
            <w:tcW w:w="127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2023.05.31</w:t>
            </w:r>
          </w:p>
        </w:tc>
        <w:tc>
          <w:tcPr>
            <w:tcW w:w="102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环境空气颗粒物综合采样器（F）</w:t>
            </w:r>
          </w:p>
        </w:tc>
        <w:tc>
          <w:tcPr>
            <w:tcW w:w="1558" w:type="dxa"/>
            <w:tcBorders>
              <w:tl2br w:val="nil"/>
              <w:tr2bl w:val="nil"/>
            </w:tcBorders>
            <w:vAlign w:val="center"/>
          </w:tcPr>
          <w:p>
            <w:pPr>
              <w:jc w:val="center"/>
              <w:rPr>
                <w:rFonts w:hint="eastAsia" w:ascii="Times New Roman" w:hAnsi="Times New Roman" w:cs="Times New Roman" w:eastAsiaTheme="minorEastAsia"/>
                <w:szCs w:val="21"/>
                <w:lang w:val="en-US" w:eastAsia="zh-CN"/>
              </w:rPr>
            </w:pPr>
            <w:r>
              <w:rPr>
                <w:rFonts w:hint="default" w:ascii="Times New Roman" w:hAnsi="Times New Roman" w:cs="Times New Roman"/>
                <w:szCs w:val="21"/>
              </w:rPr>
              <w:t>ZR-392</w:t>
            </w:r>
            <w:r>
              <w:rPr>
                <w:rFonts w:hint="eastAsia" w:ascii="Times New Roman" w:hAnsi="Times New Roman" w:cs="Times New Roman"/>
                <w:szCs w:val="21"/>
                <w:lang w:val="en-US" w:eastAsia="zh-CN"/>
              </w:rPr>
              <w:t>2</w:t>
            </w:r>
          </w:p>
        </w:tc>
        <w:tc>
          <w:tcPr>
            <w:tcW w:w="1558" w:type="dxa"/>
            <w:tcBorders>
              <w:tl2br w:val="nil"/>
              <w:tr2bl w:val="nil"/>
            </w:tcBorders>
            <w:vAlign w:val="center"/>
          </w:tcPr>
          <w:p>
            <w:pPr>
              <w:jc w:val="center"/>
              <w:rPr>
                <w:rFonts w:hint="default" w:ascii="Times New Roman" w:hAnsi="Times New Roman" w:cs="Times New Roman"/>
                <w:szCs w:val="21"/>
                <w:lang w:val="en-US"/>
              </w:rPr>
            </w:pPr>
            <w:r>
              <w:rPr>
                <w:rFonts w:hint="eastAsia" w:ascii="Times New Roman" w:hAnsi="Times New Roman" w:cs="Times New Roman"/>
                <w:szCs w:val="21"/>
              </w:rPr>
              <w:t>GXZY</w:t>
            </w:r>
            <w:r>
              <w:rPr>
                <w:rFonts w:hint="eastAsia" w:ascii="Times New Roman" w:hAnsi="Times New Roman" w:cs="Times New Roman"/>
                <w:szCs w:val="21"/>
                <w:lang w:val="en-US" w:eastAsia="zh-CN"/>
              </w:rPr>
              <w:t>18</w:t>
            </w:r>
            <w:r>
              <w:rPr>
                <w:rFonts w:hint="eastAsia" w:ascii="Times New Roman" w:hAnsi="Times New Roman" w:cs="Times New Roman"/>
                <w:szCs w:val="21"/>
              </w:rPr>
              <w:t>0</w:t>
            </w:r>
            <w:r>
              <w:rPr>
                <w:rFonts w:hint="eastAsia" w:ascii="Times New Roman" w:hAnsi="Times New Roman" w:cs="Times New Roman"/>
                <w:szCs w:val="21"/>
                <w:lang w:val="en-US" w:eastAsia="zh-CN"/>
              </w:rPr>
              <w:t>40</w:t>
            </w:r>
          </w:p>
        </w:tc>
        <w:tc>
          <w:tcPr>
            <w:tcW w:w="1275" w:type="dxa"/>
            <w:tcBorders>
              <w:tl2br w:val="nil"/>
              <w:tr2bl w:val="nil"/>
            </w:tcBorders>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2023.05.31</w:t>
            </w:r>
          </w:p>
        </w:tc>
        <w:tc>
          <w:tcPr>
            <w:tcW w:w="102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环境空气颗粒物综合采样器（F）</w:t>
            </w:r>
          </w:p>
        </w:tc>
        <w:tc>
          <w:tcPr>
            <w:tcW w:w="1558" w:type="dxa"/>
            <w:tcBorders>
              <w:tl2br w:val="nil"/>
              <w:tr2bl w:val="nil"/>
            </w:tcBorders>
            <w:vAlign w:val="center"/>
          </w:tcPr>
          <w:p>
            <w:pPr>
              <w:jc w:val="center"/>
              <w:rPr>
                <w:rFonts w:hint="eastAsia" w:ascii="Times New Roman" w:hAnsi="Times New Roman" w:cs="Times New Roman" w:eastAsiaTheme="minorEastAsia"/>
                <w:szCs w:val="21"/>
                <w:lang w:val="en-US" w:eastAsia="zh-CN"/>
              </w:rPr>
            </w:pPr>
            <w:r>
              <w:rPr>
                <w:rFonts w:hint="default" w:ascii="Times New Roman" w:hAnsi="Times New Roman" w:cs="Times New Roman"/>
                <w:szCs w:val="21"/>
              </w:rPr>
              <w:t>ZR-392</w:t>
            </w:r>
            <w:r>
              <w:rPr>
                <w:rFonts w:hint="eastAsia" w:ascii="Times New Roman" w:hAnsi="Times New Roman" w:cs="Times New Roman"/>
                <w:szCs w:val="21"/>
                <w:lang w:val="en-US" w:eastAsia="zh-CN"/>
              </w:rPr>
              <w:t>2</w:t>
            </w:r>
          </w:p>
        </w:tc>
        <w:tc>
          <w:tcPr>
            <w:tcW w:w="1558" w:type="dxa"/>
            <w:tcBorders>
              <w:tl2br w:val="nil"/>
              <w:tr2bl w:val="nil"/>
            </w:tcBorders>
            <w:vAlign w:val="center"/>
          </w:tcPr>
          <w:p>
            <w:pPr>
              <w:jc w:val="center"/>
              <w:rPr>
                <w:rFonts w:hint="default" w:ascii="Times New Roman" w:hAnsi="Times New Roman" w:cs="Times New Roman"/>
                <w:szCs w:val="21"/>
                <w:lang w:val="en-US"/>
              </w:rPr>
            </w:pPr>
            <w:r>
              <w:rPr>
                <w:rFonts w:hint="eastAsia" w:ascii="Times New Roman" w:hAnsi="Times New Roman" w:cs="Times New Roman"/>
                <w:szCs w:val="21"/>
              </w:rPr>
              <w:t>GXZY</w:t>
            </w:r>
            <w:r>
              <w:rPr>
                <w:rFonts w:hint="eastAsia" w:ascii="Times New Roman" w:hAnsi="Times New Roman" w:cs="Times New Roman"/>
                <w:szCs w:val="21"/>
                <w:lang w:val="en-US" w:eastAsia="zh-CN"/>
              </w:rPr>
              <w:t>18</w:t>
            </w:r>
            <w:r>
              <w:rPr>
                <w:rFonts w:hint="eastAsia" w:ascii="Times New Roman" w:hAnsi="Times New Roman" w:cs="Times New Roman"/>
                <w:szCs w:val="21"/>
              </w:rPr>
              <w:t>0</w:t>
            </w:r>
            <w:r>
              <w:rPr>
                <w:rFonts w:hint="eastAsia" w:ascii="Times New Roman" w:hAnsi="Times New Roman" w:cs="Times New Roman"/>
                <w:szCs w:val="21"/>
                <w:lang w:val="en-US" w:eastAsia="zh-CN"/>
              </w:rPr>
              <w:t>41</w:t>
            </w:r>
          </w:p>
        </w:tc>
        <w:tc>
          <w:tcPr>
            <w:tcW w:w="1275" w:type="dxa"/>
            <w:tcBorders>
              <w:tl2br w:val="nil"/>
              <w:tr2bl w:val="nil"/>
            </w:tcBorders>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2023.05.31</w:t>
            </w:r>
          </w:p>
        </w:tc>
        <w:tc>
          <w:tcPr>
            <w:tcW w:w="102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噪声频谱分析仪</w:t>
            </w:r>
          </w:p>
        </w:tc>
        <w:tc>
          <w:tcPr>
            <w:tcW w:w="15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HS6298B</w:t>
            </w:r>
          </w:p>
        </w:tc>
        <w:tc>
          <w:tcPr>
            <w:tcW w:w="1558"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LDZY11095</w:t>
            </w:r>
          </w:p>
        </w:tc>
        <w:tc>
          <w:tcPr>
            <w:tcW w:w="1275"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202</w:t>
            </w:r>
            <w:r>
              <w:rPr>
                <w:rFonts w:hint="eastAsia" w:ascii="Times New Roman" w:hAnsi="Times New Roman" w:cs="Times New Roman"/>
                <w:szCs w:val="21"/>
                <w:lang w:val="en-US" w:eastAsia="zh-CN"/>
              </w:rPr>
              <w:t>3.07.14</w:t>
            </w:r>
          </w:p>
        </w:tc>
        <w:tc>
          <w:tcPr>
            <w:tcW w:w="102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是</w:t>
            </w:r>
          </w:p>
        </w:tc>
      </w:tr>
    </w:tbl>
    <w:p>
      <w:pPr>
        <w:pStyle w:val="5"/>
        <w:rPr>
          <w:rFonts w:eastAsia="宋体"/>
        </w:rPr>
      </w:pPr>
      <w:bookmarkStart w:id="71" w:name="_Toc22228"/>
      <w:r>
        <w:rPr>
          <w:rFonts w:eastAsia="宋体"/>
        </w:rPr>
        <w:t>8.3人员能力</w:t>
      </w:r>
      <w:bookmarkEnd w:id="71"/>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公司技术人员配备数量充足，技术水平满足工作要求，监测人员录用、培训教育和能力确认/考核等活动规范，建立有人员档案，并对监测人员实施监督和管理，规避人员因素对监测数据正确性和可靠性的影响。</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按国家有关规定、监测技术规范和有关质量控制手册进行。参加环保设施竣工验收监测采样和测试的人员，按国家有关规定持证上岗。</w:t>
      </w:r>
    </w:p>
    <w:p>
      <w:pPr>
        <w:pStyle w:val="5"/>
        <w:rPr>
          <w:rFonts w:eastAsia="宋体"/>
        </w:rPr>
      </w:pPr>
      <w:bookmarkStart w:id="72" w:name="_Toc31430"/>
      <w:r>
        <w:rPr>
          <w:rFonts w:eastAsia="宋体"/>
        </w:rPr>
        <w:t>8.4水质监测分析过程中的质量保证和质量控制</w:t>
      </w:r>
      <w:bookmarkEnd w:id="72"/>
    </w:p>
    <w:p>
      <w:pPr>
        <w:adjustRightIn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采样过程中采集不少于10%的平行样；实验室分析过程加不少于10%的平行样；对可以得到标准样品的或质量控制样品的项目，在分析的同时做10%质控样品分析；对无标准样品或质量控制样品的项目，且可以加标回收测试的，应在分析的同时做10%加标回收样品分析。废水的采样、保存和分析按照《浙江省环境监测质量保证技术规定》（第三版 试行）的要求进行。</w:t>
      </w:r>
    </w:p>
    <w:p>
      <w:pPr>
        <w:jc w:val="center"/>
        <w:rPr>
          <w:b/>
        </w:rPr>
      </w:pPr>
      <w:r>
        <w:rPr>
          <w:b/>
        </w:rPr>
        <w:t>表8.</w:t>
      </w:r>
      <w:r>
        <w:rPr>
          <w:rFonts w:hint="eastAsia"/>
          <w:b/>
        </w:rPr>
        <w:t>4</w:t>
      </w:r>
      <w:r>
        <w:rPr>
          <w:b/>
        </w:rPr>
        <w:t>-1 标准样品测定结果</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6"/>
        <w:gridCol w:w="1796"/>
        <w:gridCol w:w="1976"/>
        <w:gridCol w:w="1875"/>
        <w:gridCol w:w="11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6" w:type="dxa"/>
            <w:vAlign w:val="center"/>
          </w:tcPr>
          <w:p>
            <w:pPr>
              <w:autoSpaceDE w:val="0"/>
              <w:autoSpaceDN w:val="0"/>
              <w:jc w:val="center"/>
              <w:rPr>
                <w:rFonts w:hint="default" w:ascii="Times New Roman" w:hAnsi="Times New Roman" w:cs="Times New Roman"/>
                <w:b/>
                <w:szCs w:val="21"/>
              </w:rPr>
            </w:pPr>
            <w:r>
              <w:rPr>
                <w:rFonts w:hint="default" w:ascii="Times New Roman" w:hAnsi="Times New Roman" w:cs="Times New Roman"/>
                <w:b/>
                <w:szCs w:val="21"/>
              </w:rPr>
              <w:t>项目名称</w:t>
            </w:r>
          </w:p>
        </w:tc>
        <w:tc>
          <w:tcPr>
            <w:tcW w:w="1796" w:type="dxa"/>
            <w:vAlign w:val="center"/>
          </w:tcPr>
          <w:p>
            <w:pPr>
              <w:autoSpaceDE w:val="0"/>
              <w:autoSpaceDN w:val="0"/>
              <w:jc w:val="center"/>
              <w:rPr>
                <w:rFonts w:hint="default" w:ascii="Times New Roman" w:hAnsi="Times New Roman" w:cs="Times New Roman"/>
                <w:b/>
                <w:szCs w:val="21"/>
              </w:rPr>
            </w:pPr>
            <w:r>
              <w:rPr>
                <w:rFonts w:hint="default" w:ascii="Times New Roman" w:hAnsi="Times New Roman" w:cs="Times New Roman"/>
                <w:b/>
                <w:szCs w:val="21"/>
              </w:rPr>
              <w:t>测定值（mg/L）</w:t>
            </w:r>
          </w:p>
        </w:tc>
        <w:tc>
          <w:tcPr>
            <w:tcW w:w="1976" w:type="dxa"/>
            <w:vAlign w:val="center"/>
          </w:tcPr>
          <w:p>
            <w:pPr>
              <w:autoSpaceDE w:val="0"/>
              <w:autoSpaceDN w:val="0"/>
              <w:jc w:val="center"/>
              <w:rPr>
                <w:rFonts w:hint="default" w:ascii="Times New Roman" w:hAnsi="Times New Roman" w:cs="Times New Roman"/>
                <w:b/>
                <w:szCs w:val="21"/>
              </w:rPr>
            </w:pPr>
            <w:r>
              <w:rPr>
                <w:rFonts w:hint="default" w:ascii="Times New Roman" w:hAnsi="Times New Roman" w:cs="Times New Roman"/>
                <w:b/>
                <w:szCs w:val="21"/>
              </w:rPr>
              <w:t>标样编号</w:t>
            </w:r>
          </w:p>
        </w:tc>
        <w:tc>
          <w:tcPr>
            <w:tcW w:w="1875" w:type="dxa"/>
            <w:vAlign w:val="center"/>
          </w:tcPr>
          <w:p>
            <w:pPr>
              <w:autoSpaceDE w:val="0"/>
              <w:autoSpaceDN w:val="0"/>
              <w:jc w:val="center"/>
              <w:rPr>
                <w:rFonts w:hint="default" w:ascii="Times New Roman" w:hAnsi="Times New Roman" w:cs="Times New Roman"/>
                <w:b/>
                <w:szCs w:val="21"/>
              </w:rPr>
            </w:pPr>
            <w:r>
              <w:rPr>
                <w:rFonts w:hint="default" w:ascii="Times New Roman" w:hAnsi="Times New Roman" w:cs="Times New Roman"/>
                <w:b/>
                <w:szCs w:val="21"/>
              </w:rPr>
              <w:t>标准值（mg/L）</w:t>
            </w:r>
          </w:p>
        </w:tc>
        <w:tc>
          <w:tcPr>
            <w:tcW w:w="1173" w:type="dxa"/>
            <w:vAlign w:val="center"/>
          </w:tcPr>
          <w:p>
            <w:pPr>
              <w:autoSpaceDE w:val="0"/>
              <w:autoSpaceDN w:val="0"/>
              <w:jc w:val="center"/>
              <w:rPr>
                <w:rFonts w:hint="default" w:ascii="Times New Roman" w:hAnsi="Times New Roman" w:cs="Times New Roman"/>
                <w:b/>
                <w:szCs w:val="21"/>
              </w:rPr>
            </w:pPr>
            <w:r>
              <w:rPr>
                <w:rFonts w:hint="default" w:ascii="Times New Roman" w:hAnsi="Times New Roman" w:cs="Times New Roman"/>
                <w:b/>
                <w:szCs w:val="21"/>
              </w:rPr>
              <w:t>是否合格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96" w:type="dxa"/>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化学需氧量</w:t>
            </w:r>
          </w:p>
        </w:tc>
        <w:tc>
          <w:tcPr>
            <w:tcW w:w="1796" w:type="dxa"/>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167</w:t>
            </w:r>
          </w:p>
        </w:tc>
        <w:tc>
          <w:tcPr>
            <w:tcW w:w="1976" w:type="dxa"/>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BY-H-210011-37</w:t>
            </w:r>
          </w:p>
        </w:tc>
        <w:tc>
          <w:tcPr>
            <w:tcW w:w="1875" w:type="dxa"/>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174±10</w:t>
            </w:r>
          </w:p>
        </w:tc>
        <w:tc>
          <w:tcPr>
            <w:tcW w:w="1173" w:type="dxa"/>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0" w:type="auto"/>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总磷</w:t>
            </w:r>
          </w:p>
        </w:tc>
        <w:tc>
          <w:tcPr>
            <w:tcW w:w="0" w:type="auto"/>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0.156</w:t>
            </w:r>
          </w:p>
        </w:tc>
        <w:tc>
          <w:tcPr>
            <w:tcW w:w="1976" w:type="dxa"/>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BY-H-210002-2-</w:t>
            </w:r>
            <w:r>
              <w:rPr>
                <w:rFonts w:hint="default" w:ascii="Times New Roman" w:hAnsi="Times New Roman" w:cs="Times New Roman"/>
                <w:bCs/>
                <w:sz w:val="21"/>
                <w:szCs w:val="21"/>
                <w:highlight w:val="none"/>
              </w:rPr>
              <w:t>34</w:t>
            </w:r>
          </w:p>
        </w:tc>
        <w:tc>
          <w:tcPr>
            <w:tcW w:w="1875" w:type="dxa"/>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0.157±0.008</w:t>
            </w:r>
          </w:p>
        </w:tc>
        <w:tc>
          <w:tcPr>
            <w:tcW w:w="1173" w:type="dxa"/>
            <w:vAlign w:val="center"/>
          </w:tcPr>
          <w:p>
            <w:pPr>
              <w:autoSpaceDE w:val="0"/>
              <w:autoSpaceDN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合格</w:t>
            </w:r>
          </w:p>
        </w:tc>
      </w:tr>
    </w:tbl>
    <w:p>
      <w:pPr>
        <w:pStyle w:val="5"/>
        <w:rPr>
          <w:rFonts w:eastAsia="宋体"/>
        </w:rPr>
      </w:pPr>
      <w:bookmarkStart w:id="73" w:name="_Toc6449"/>
      <w:r>
        <w:rPr>
          <w:rFonts w:eastAsia="宋体"/>
        </w:rPr>
        <w:t>8.5气体监测分析过程中的质量保证和质量控制</w:t>
      </w:r>
      <w:bookmarkEnd w:id="73"/>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时使用经计量部门检定、并在有效期内的仪器。采样器在进现场前对气体分析仪、采样流量计等进行校核。气样的采集、运输、保存、实验室分析和数据计算的全过程均按照《浙江省环境监测质量保证技术规定》（第三版 试行）的要求进行。</w:t>
      </w:r>
    </w:p>
    <w:p>
      <w:pPr>
        <w:pStyle w:val="5"/>
        <w:rPr>
          <w:rFonts w:eastAsia="宋体"/>
        </w:rPr>
      </w:pPr>
      <w:bookmarkStart w:id="74" w:name="_Toc26717"/>
      <w:r>
        <w:rPr>
          <w:rFonts w:eastAsia="宋体"/>
        </w:rPr>
        <w:t>8.6噪声监测分析过程中的质量保证和质量控制</w:t>
      </w:r>
      <w:bookmarkEnd w:id="74"/>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监测时使用经计量部门检定、并在有效使用期内的声级计。噪声仪在使用前后用声校准器校准，校准读数偏差不大于0.5分贝。测量在无雨雪、无雷电天气、风速5m/s以下时进行。</w:t>
      </w:r>
    </w:p>
    <w:p>
      <w:pPr>
        <w:pStyle w:val="5"/>
        <w:rPr>
          <w:rFonts w:eastAsia="宋体"/>
        </w:rPr>
      </w:pPr>
      <w:bookmarkStart w:id="75" w:name="_Toc24576"/>
      <w:r>
        <w:rPr>
          <w:rFonts w:eastAsia="宋体"/>
        </w:rPr>
        <w:t>8.7</w:t>
      </w:r>
      <w:r>
        <w:rPr>
          <w:rFonts w:hint="eastAsia" w:eastAsia="宋体"/>
        </w:rPr>
        <w:t>采样记录及分析结果</w:t>
      </w:r>
      <w:bookmarkEnd w:id="75"/>
    </w:p>
    <w:p>
      <w:pPr>
        <w:spacing w:line="360" w:lineRule="auto"/>
        <w:ind w:firstLine="480" w:firstLineChars="200"/>
        <w:jc w:val="left"/>
        <w:rPr>
          <w:rFonts w:ascii="Times New Roman" w:hAnsi="Times New Roman"/>
          <w:sz w:val="24"/>
          <w:szCs w:val="24"/>
        </w:rPr>
      </w:pPr>
      <w:r>
        <w:rPr>
          <w:rFonts w:hint="eastAsia" w:ascii="Times New Roman" w:hAnsi="Times New Roman" w:cs="宋体"/>
          <w:sz w:val="24"/>
        </w:rPr>
        <w:t>验收监测的采样记录及分析测试结果，按国家标准和监测技术规范有关要求进行数据处理和填报，并按有关规定和要求进行三级审核，</w:t>
      </w:r>
      <w:r>
        <w:rPr>
          <w:rFonts w:hint="eastAsia" w:ascii="Times New Roman" w:hAnsi="Times New Roman"/>
          <w:sz w:val="24"/>
          <w:szCs w:val="24"/>
        </w:rPr>
        <w:t>经过校对、校核，最后由技术负责人审定。</w:t>
      </w:r>
    </w:p>
    <w:p>
      <w:pPr>
        <w:spacing w:line="360" w:lineRule="auto"/>
        <w:ind w:firstLine="480" w:firstLineChars="200"/>
        <w:jc w:val="left"/>
        <w:rPr>
          <w:rFonts w:ascii="Times New Roman" w:hAnsi="Times New Roman"/>
          <w:sz w:val="24"/>
          <w:szCs w:val="24"/>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pPr>
      <w:bookmarkStart w:id="76" w:name="_Toc23640"/>
      <w:r>
        <w:rPr>
          <w:rFonts w:hint="eastAsia"/>
        </w:rPr>
        <w:t>9验收监测结果</w:t>
      </w:r>
      <w:bookmarkEnd w:id="76"/>
    </w:p>
    <w:p>
      <w:pPr>
        <w:pStyle w:val="5"/>
        <w:rPr>
          <w:rFonts w:eastAsia="宋体"/>
        </w:rPr>
      </w:pPr>
      <w:bookmarkStart w:id="77" w:name="_Toc17788"/>
      <w:r>
        <w:rPr>
          <w:rFonts w:eastAsia="宋体"/>
        </w:rPr>
        <w:t>9.1生产工况</w:t>
      </w:r>
      <w:bookmarkEnd w:id="77"/>
    </w:p>
    <w:p>
      <w:pPr>
        <w:spacing w:line="360" w:lineRule="auto"/>
        <w:ind w:firstLine="480" w:firstLineChars="200"/>
        <w:jc w:val="left"/>
        <w:rPr>
          <w:rFonts w:ascii="Times New Roman" w:hAnsi="Times New Roman"/>
          <w:sz w:val="24"/>
          <w:szCs w:val="24"/>
          <w:highlight w:val="none"/>
        </w:rPr>
      </w:pPr>
      <w:r>
        <w:rPr>
          <w:rFonts w:hint="eastAsia" w:ascii="Times New Roman" w:hAnsi="Times New Roman"/>
          <w:sz w:val="24"/>
          <w:szCs w:val="24"/>
          <w:highlight w:val="none"/>
        </w:rPr>
        <w:t>根据企业提供的监测期间工况证明，</w:t>
      </w:r>
      <w:r>
        <w:rPr>
          <w:rFonts w:ascii="Times New Roman" w:hAnsi="Times New Roman"/>
          <w:sz w:val="24"/>
          <w:szCs w:val="24"/>
          <w:highlight w:val="none"/>
        </w:rPr>
        <w:t>在验收监测期间，该公司生产负荷</w:t>
      </w:r>
      <w:r>
        <w:rPr>
          <w:rFonts w:hint="eastAsia" w:ascii="Times New Roman" w:hAnsi="Times New Roman"/>
          <w:sz w:val="24"/>
          <w:szCs w:val="24"/>
          <w:highlight w:val="none"/>
        </w:rPr>
        <w:t>最低</w:t>
      </w:r>
      <w:r>
        <w:rPr>
          <w:rFonts w:hint="eastAsia" w:ascii="Times New Roman" w:hAnsi="Times New Roman"/>
          <w:sz w:val="24"/>
          <w:szCs w:val="24"/>
          <w:highlight w:val="none"/>
          <w:lang w:val="en-US" w:eastAsia="zh-CN"/>
        </w:rPr>
        <w:t>89.7</w:t>
      </w:r>
      <w:r>
        <w:rPr>
          <w:rFonts w:hint="eastAsia" w:ascii="Times New Roman" w:hAnsi="Times New Roman"/>
          <w:sz w:val="24"/>
          <w:szCs w:val="24"/>
          <w:highlight w:val="none"/>
        </w:rPr>
        <w:t>%</w:t>
      </w:r>
      <w:r>
        <w:rPr>
          <w:rFonts w:ascii="Times New Roman" w:hAnsi="Times New Roman"/>
          <w:sz w:val="24"/>
          <w:szCs w:val="24"/>
          <w:highlight w:val="none"/>
        </w:rPr>
        <w:t>，满足国家环保总局《建设项目竣工环境保护验收管理办法》中要求设计能力75%以上的负荷要求</w:t>
      </w:r>
      <w:r>
        <w:rPr>
          <w:rFonts w:hint="eastAsia" w:ascii="Times New Roman" w:hAnsi="Times New Roman"/>
          <w:sz w:val="24"/>
          <w:szCs w:val="24"/>
          <w:highlight w:val="none"/>
        </w:rPr>
        <w:t>。项目验收期间生产工况见表9</w:t>
      </w:r>
      <w:r>
        <w:rPr>
          <w:rFonts w:ascii="Times New Roman" w:hAnsi="Times New Roman"/>
          <w:sz w:val="24"/>
          <w:szCs w:val="24"/>
          <w:highlight w:val="none"/>
        </w:rPr>
        <w:t>.1</w:t>
      </w:r>
      <w:r>
        <w:rPr>
          <w:rFonts w:hint="eastAsia" w:ascii="Times New Roman" w:hAnsi="Times New Roman"/>
          <w:sz w:val="24"/>
          <w:szCs w:val="24"/>
          <w:highlight w:val="none"/>
        </w:rPr>
        <w:t>-1。</w:t>
      </w:r>
    </w:p>
    <w:p>
      <w:pPr>
        <w:spacing w:line="360" w:lineRule="auto"/>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表9</w:t>
      </w:r>
      <w:r>
        <w:rPr>
          <w:rFonts w:ascii="Times New Roman" w:hAnsi="Times New Roman" w:eastAsia="宋体" w:cs="Times New Roman"/>
          <w:b/>
          <w:szCs w:val="21"/>
          <w:highlight w:val="none"/>
        </w:rPr>
        <w:t>.1</w:t>
      </w:r>
      <w:r>
        <w:rPr>
          <w:rFonts w:hint="eastAsia" w:ascii="Times New Roman" w:hAnsi="Times New Roman" w:eastAsia="宋体" w:cs="Times New Roman"/>
          <w:b/>
          <w:szCs w:val="21"/>
          <w:highlight w:val="none"/>
        </w:rPr>
        <w:t>-1 建设项目竣工验收监测期间生产工况</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033"/>
        <w:gridCol w:w="2143"/>
        <w:gridCol w:w="2219"/>
        <w:gridCol w:w="1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tcBorders>
              <w:tl2br w:val="nil"/>
              <w:tr2bl w:val="nil"/>
            </w:tcBorders>
            <w:vAlign w:val="center"/>
          </w:tcPr>
          <w:p>
            <w:pPr>
              <w:spacing w:line="360" w:lineRule="auto"/>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日期</w:t>
            </w:r>
          </w:p>
        </w:tc>
        <w:tc>
          <w:tcPr>
            <w:tcW w:w="3176" w:type="dxa"/>
            <w:gridSpan w:val="2"/>
            <w:tcBorders>
              <w:tl2br w:val="nil"/>
              <w:tr2bl w:val="nil"/>
            </w:tcBorders>
            <w:vAlign w:val="center"/>
          </w:tcPr>
          <w:p>
            <w:pPr>
              <w:jc w:val="center"/>
              <w:rPr>
                <w:rFonts w:ascii="Times New Roman" w:hAnsi="Times New Roman"/>
                <w:b/>
                <w:bCs/>
                <w:highlight w:val="none"/>
              </w:rPr>
            </w:pPr>
            <w:r>
              <w:rPr>
                <w:rFonts w:hint="eastAsia" w:ascii="Times New Roman" w:hAnsi="Times New Roman"/>
                <w:b/>
                <w:bCs/>
                <w:highlight w:val="none"/>
              </w:rPr>
              <w:t>环评批复生产能力</w:t>
            </w:r>
          </w:p>
        </w:tc>
        <w:tc>
          <w:tcPr>
            <w:tcW w:w="2219" w:type="dxa"/>
            <w:tcBorders>
              <w:tl2br w:val="nil"/>
              <w:tr2bl w:val="nil"/>
            </w:tcBorders>
            <w:vAlign w:val="center"/>
          </w:tcPr>
          <w:p>
            <w:pPr>
              <w:jc w:val="center"/>
              <w:rPr>
                <w:rFonts w:ascii="Times New Roman" w:hAnsi="Times New Roman"/>
                <w:b/>
                <w:bCs/>
                <w:highlight w:val="none"/>
              </w:rPr>
            </w:pPr>
            <w:r>
              <w:rPr>
                <w:rFonts w:hint="eastAsia" w:ascii="Times New Roman" w:hAnsi="Times New Roman"/>
                <w:b/>
                <w:bCs/>
                <w:highlight w:val="none"/>
              </w:rPr>
              <w:t>监测期间日均生产量</w:t>
            </w:r>
          </w:p>
        </w:tc>
        <w:tc>
          <w:tcPr>
            <w:tcW w:w="1750" w:type="dxa"/>
            <w:tcBorders>
              <w:tl2br w:val="nil"/>
              <w:tr2bl w:val="nil"/>
            </w:tcBorders>
            <w:vAlign w:val="center"/>
          </w:tcPr>
          <w:p>
            <w:pPr>
              <w:jc w:val="center"/>
              <w:rPr>
                <w:rFonts w:ascii="Times New Roman" w:hAnsi="Times New Roman"/>
                <w:b/>
                <w:bCs/>
                <w:highlight w:val="none"/>
              </w:rPr>
            </w:pPr>
            <w:r>
              <w:rPr>
                <w:rFonts w:hint="eastAsia" w:ascii="Times New Roman" w:hAnsi="Times New Roman"/>
                <w:b/>
                <w:bCs/>
                <w:highlight w:val="none"/>
              </w:rPr>
              <w:t>生产负荷（%）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371" w:type="dxa"/>
            <w:vMerge w:val="restart"/>
            <w:tcBorders>
              <w:tl2br w:val="nil"/>
              <w:tr2bl w:val="nil"/>
            </w:tcBorders>
            <w:vAlign w:val="center"/>
          </w:tcPr>
          <w:p>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eastAsia="zh-CN"/>
              </w:rPr>
              <w:t>2022.10.09</w:t>
            </w:r>
          </w:p>
        </w:tc>
        <w:tc>
          <w:tcPr>
            <w:tcW w:w="1033" w:type="dxa"/>
            <w:vMerge w:val="restart"/>
            <w:tcBorders>
              <w:tl2br w:val="nil"/>
              <w:tr2bl w:val="nil"/>
            </w:tcBorders>
            <w:vAlign w:val="center"/>
          </w:tcPr>
          <w:p>
            <w:pPr>
              <w:jc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年产1430万个衣架</w:t>
            </w:r>
          </w:p>
        </w:tc>
        <w:tc>
          <w:tcPr>
            <w:tcW w:w="2143" w:type="dxa"/>
            <w:tcBorders>
              <w:tl2br w:val="nil"/>
              <w:tr2bl w:val="nil"/>
            </w:tcBorders>
            <w:vAlign w:val="center"/>
          </w:tcPr>
          <w:p>
            <w:pPr>
              <w:ind w:right="48" w:rightChars="0"/>
              <w:jc w:val="center"/>
              <w:rPr>
                <w:rFonts w:hint="eastAsia"/>
                <w:lang w:val="en-US" w:eastAsia="zh-CN"/>
              </w:rPr>
            </w:pPr>
            <w:r>
              <w:rPr>
                <w:rFonts w:hint="eastAsia"/>
                <w:lang w:val="en-US" w:eastAsia="zh-CN"/>
              </w:rPr>
              <w:t>毛巾架（铁）：</w:t>
            </w:r>
          </w:p>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615万个/年</w:t>
            </w:r>
          </w:p>
        </w:tc>
        <w:tc>
          <w:tcPr>
            <w:tcW w:w="2219"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color w:val="auto"/>
                <w:kern w:val="0"/>
                <w:sz w:val="21"/>
                <w:szCs w:val="21"/>
                <w:lang w:val="en-US" w:eastAsia="zh-CN"/>
              </w:rPr>
              <w:t>1.84万个/年</w:t>
            </w:r>
          </w:p>
        </w:tc>
        <w:tc>
          <w:tcPr>
            <w:tcW w:w="1750" w:type="dxa"/>
            <w:vMerge w:val="restart"/>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89.7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tl2br w:val="nil"/>
              <w:tr2bl w:val="nil"/>
            </w:tcBorders>
            <w:vAlign w:val="center"/>
          </w:tcPr>
          <w:p>
            <w:pPr>
              <w:jc w:val="center"/>
              <w:rPr>
                <w:rFonts w:hint="default" w:ascii="Times New Roman" w:hAnsi="Times New Roman" w:eastAsiaTheme="minorEastAsia" w:cstheme="minorBidi"/>
                <w:kern w:val="2"/>
                <w:sz w:val="21"/>
                <w:szCs w:val="21"/>
                <w:lang w:val="en-US" w:eastAsia="zh-CN" w:bidi="ar-SA"/>
              </w:rPr>
            </w:pPr>
          </w:p>
        </w:tc>
        <w:tc>
          <w:tcPr>
            <w:tcW w:w="1033" w:type="dxa"/>
            <w:vMerge w:val="continue"/>
            <w:tcBorders>
              <w:tl2br w:val="nil"/>
              <w:tr2bl w:val="nil"/>
            </w:tcBorders>
            <w:vAlign w:val="center"/>
          </w:tcPr>
          <w:p>
            <w:pPr>
              <w:jc w:val="center"/>
              <w:rPr>
                <w:rFonts w:hint="eastAsia" w:ascii="Times New Roman" w:hAnsi="Times New Roman" w:cs="Times New Roman" w:eastAsiaTheme="minorEastAsia"/>
                <w:kern w:val="2"/>
                <w:sz w:val="21"/>
                <w:szCs w:val="21"/>
                <w:highlight w:val="none"/>
                <w:lang w:val="en-US" w:eastAsia="zh-CN" w:bidi="ar-SA"/>
              </w:rPr>
            </w:pPr>
          </w:p>
        </w:tc>
        <w:tc>
          <w:tcPr>
            <w:tcW w:w="2143"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铁丝衣架（铁）：</w:t>
            </w:r>
          </w:p>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307万个/年</w:t>
            </w:r>
          </w:p>
        </w:tc>
        <w:tc>
          <w:tcPr>
            <w:tcW w:w="2219"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0.92</w:t>
            </w:r>
            <w:r>
              <w:rPr>
                <w:rFonts w:hint="eastAsia" w:ascii="Times New Roman" w:hAnsi="Times New Roman" w:eastAsia="宋体" w:cs="Times New Roman"/>
                <w:color w:val="auto"/>
                <w:kern w:val="0"/>
                <w:sz w:val="21"/>
                <w:szCs w:val="21"/>
                <w:lang w:val="en-US" w:eastAsia="zh-CN"/>
              </w:rPr>
              <w:t>万个/年</w:t>
            </w:r>
          </w:p>
        </w:tc>
        <w:tc>
          <w:tcPr>
            <w:tcW w:w="1750" w:type="dxa"/>
            <w:vMerge w:val="continue"/>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tl2br w:val="nil"/>
              <w:tr2bl w:val="nil"/>
            </w:tcBorders>
            <w:vAlign w:val="center"/>
          </w:tcPr>
          <w:p>
            <w:pPr>
              <w:jc w:val="center"/>
              <w:rPr>
                <w:rFonts w:hint="eastAsia" w:ascii="Times New Roman" w:hAnsi="Times New Roman"/>
                <w:szCs w:val="21"/>
                <w:lang w:eastAsia="zh-CN"/>
              </w:rPr>
            </w:pPr>
          </w:p>
        </w:tc>
        <w:tc>
          <w:tcPr>
            <w:tcW w:w="1033" w:type="dxa"/>
            <w:vMerge w:val="continue"/>
            <w:tcBorders>
              <w:tl2br w:val="nil"/>
              <w:tr2bl w:val="nil"/>
            </w:tcBorders>
            <w:vAlign w:val="center"/>
          </w:tcPr>
          <w:p>
            <w:pPr>
              <w:jc w:val="center"/>
              <w:rPr>
                <w:rFonts w:hint="eastAsia" w:ascii="Times New Roman" w:hAnsi="Times New Roman" w:cs="Times New Roman" w:eastAsiaTheme="minorEastAsia"/>
                <w:kern w:val="2"/>
                <w:sz w:val="21"/>
                <w:szCs w:val="21"/>
                <w:highlight w:val="none"/>
                <w:lang w:val="en-US" w:eastAsia="zh-CN" w:bidi="ar-SA"/>
              </w:rPr>
            </w:pPr>
          </w:p>
        </w:tc>
        <w:tc>
          <w:tcPr>
            <w:tcW w:w="2143"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浸塑铁丝衣架（铁）：</w:t>
            </w:r>
            <w:r>
              <w:rPr>
                <w:rFonts w:hint="eastAsia" w:ascii="Times New Roman" w:hAnsi="Times New Roman" w:eastAsia="宋体" w:cs="Times New Roman"/>
                <w:color w:val="auto"/>
                <w:kern w:val="0"/>
                <w:sz w:val="21"/>
                <w:szCs w:val="21"/>
                <w:lang w:val="en-US" w:eastAsia="zh-CN"/>
              </w:rPr>
              <w:t>308万个/年</w:t>
            </w:r>
          </w:p>
        </w:tc>
        <w:tc>
          <w:tcPr>
            <w:tcW w:w="2219" w:type="dxa"/>
            <w:tcBorders>
              <w:tl2br w:val="nil"/>
              <w:tr2bl w:val="nil"/>
            </w:tcBorders>
            <w:vAlign w:val="center"/>
          </w:tcPr>
          <w:p>
            <w:pPr>
              <w:ind w:right="48"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0.92</w:t>
            </w:r>
            <w:r>
              <w:rPr>
                <w:rFonts w:hint="eastAsia" w:ascii="Times New Roman" w:hAnsi="Times New Roman" w:eastAsia="宋体" w:cs="Times New Roman"/>
                <w:color w:val="auto"/>
                <w:kern w:val="0"/>
                <w:sz w:val="21"/>
                <w:szCs w:val="21"/>
                <w:lang w:val="en-US" w:eastAsia="zh-CN"/>
              </w:rPr>
              <w:t>万个/年</w:t>
            </w:r>
          </w:p>
        </w:tc>
        <w:tc>
          <w:tcPr>
            <w:tcW w:w="1750" w:type="dxa"/>
            <w:vMerge w:val="continue"/>
            <w:tcBorders>
              <w:tl2br w:val="nil"/>
              <w:tr2bl w:val="nil"/>
            </w:tcBorders>
            <w:vAlign w:val="center"/>
          </w:tcPr>
          <w:p>
            <w:pPr>
              <w:ind w:right="48" w:rightChars="0"/>
              <w:jc w:val="center"/>
              <w:rPr>
                <w:rFonts w:hint="eastAsia"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tl2br w:val="nil"/>
              <w:tr2bl w:val="nil"/>
            </w:tcBorders>
            <w:vAlign w:val="center"/>
          </w:tcPr>
          <w:p>
            <w:pPr>
              <w:jc w:val="center"/>
              <w:rPr>
                <w:rFonts w:hint="eastAsia" w:ascii="Times New Roman" w:hAnsi="Times New Roman"/>
                <w:szCs w:val="21"/>
                <w:lang w:eastAsia="zh-CN"/>
              </w:rPr>
            </w:pPr>
          </w:p>
        </w:tc>
        <w:tc>
          <w:tcPr>
            <w:tcW w:w="1033" w:type="dxa"/>
            <w:vMerge w:val="continue"/>
            <w:tcBorders>
              <w:tl2br w:val="nil"/>
              <w:tr2bl w:val="nil"/>
            </w:tcBorders>
            <w:vAlign w:val="center"/>
          </w:tcPr>
          <w:p>
            <w:pPr>
              <w:jc w:val="center"/>
              <w:rPr>
                <w:rFonts w:hint="eastAsia" w:ascii="Times New Roman" w:hAnsi="Times New Roman" w:cs="Times New Roman" w:eastAsiaTheme="minorEastAsia"/>
                <w:kern w:val="2"/>
                <w:sz w:val="21"/>
                <w:szCs w:val="21"/>
                <w:highlight w:val="none"/>
                <w:lang w:val="en-US" w:eastAsia="zh-CN" w:bidi="ar-SA"/>
              </w:rPr>
            </w:pPr>
          </w:p>
        </w:tc>
        <w:tc>
          <w:tcPr>
            <w:tcW w:w="2143"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木衣架：</w:t>
            </w:r>
            <w:r>
              <w:rPr>
                <w:rFonts w:hint="eastAsia" w:ascii="Times New Roman" w:hAnsi="Times New Roman" w:eastAsia="宋体" w:cs="Times New Roman"/>
                <w:color w:val="auto"/>
                <w:kern w:val="0"/>
                <w:sz w:val="21"/>
                <w:szCs w:val="21"/>
                <w:lang w:val="en-US" w:eastAsia="zh-CN"/>
              </w:rPr>
              <w:t>200万个/年</w:t>
            </w:r>
          </w:p>
        </w:tc>
        <w:tc>
          <w:tcPr>
            <w:tcW w:w="2219" w:type="dxa"/>
            <w:tcBorders>
              <w:tl2br w:val="nil"/>
              <w:tr2bl w:val="nil"/>
            </w:tcBorders>
            <w:vAlign w:val="center"/>
          </w:tcPr>
          <w:p>
            <w:pPr>
              <w:ind w:right="48"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不生产</w:t>
            </w:r>
          </w:p>
        </w:tc>
        <w:tc>
          <w:tcPr>
            <w:tcW w:w="1750" w:type="dxa"/>
            <w:vMerge w:val="continue"/>
            <w:tcBorders>
              <w:tl2br w:val="nil"/>
              <w:tr2bl w:val="nil"/>
            </w:tcBorders>
            <w:vAlign w:val="center"/>
          </w:tcPr>
          <w:p>
            <w:pPr>
              <w:ind w:right="48" w:rightChars="0"/>
              <w:jc w:val="center"/>
              <w:rPr>
                <w:rFonts w:hint="eastAsia"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restart"/>
            <w:tcBorders>
              <w:tl2br w:val="nil"/>
              <w:tr2bl w:val="nil"/>
            </w:tcBorders>
            <w:vAlign w:val="center"/>
          </w:tcPr>
          <w:p>
            <w:pPr>
              <w:jc w:val="center"/>
              <w:rPr>
                <w:rFonts w:hint="eastAsia" w:ascii="Times New Roman" w:hAnsi="Times New Roman"/>
                <w:szCs w:val="21"/>
                <w:lang w:eastAsia="zh-CN"/>
              </w:rPr>
            </w:pPr>
            <w:r>
              <w:rPr>
                <w:rFonts w:hint="eastAsia" w:ascii="Times New Roman" w:hAnsi="Times New Roman"/>
                <w:szCs w:val="21"/>
                <w:lang w:eastAsia="zh-CN"/>
              </w:rPr>
              <w:t>2022.10.10</w:t>
            </w:r>
          </w:p>
        </w:tc>
        <w:tc>
          <w:tcPr>
            <w:tcW w:w="1033" w:type="dxa"/>
            <w:vMerge w:val="restart"/>
            <w:tcBorders>
              <w:tl2br w:val="nil"/>
              <w:tr2bl w:val="nil"/>
            </w:tcBorders>
            <w:vAlign w:val="center"/>
          </w:tcPr>
          <w:p>
            <w:pPr>
              <w:jc w:val="center"/>
              <w:rPr>
                <w:rFonts w:hint="eastAsia"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年产1430万个衣架</w:t>
            </w:r>
          </w:p>
        </w:tc>
        <w:tc>
          <w:tcPr>
            <w:tcW w:w="2143" w:type="dxa"/>
            <w:tcBorders>
              <w:tl2br w:val="nil"/>
              <w:tr2bl w:val="nil"/>
            </w:tcBorders>
            <w:vAlign w:val="center"/>
          </w:tcPr>
          <w:p>
            <w:pPr>
              <w:ind w:right="48" w:rightChars="0"/>
              <w:jc w:val="center"/>
              <w:rPr>
                <w:rFonts w:hint="eastAsia"/>
                <w:lang w:val="en-US" w:eastAsia="zh-CN"/>
              </w:rPr>
            </w:pPr>
            <w:r>
              <w:rPr>
                <w:rFonts w:hint="eastAsia"/>
                <w:lang w:val="en-US" w:eastAsia="zh-CN"/>
              </w:rPr>
              <w:t>毛巾架（铁）：</w:t>
            </w:r>
          </w:p>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615万个/年</w:t>
            </w:r>
          </w:p>
        </w:tc>
        <w:tc>
          <w:tcPr>
            <w:tcW w:w="2219"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color w:val="auto"/>
                <w:kern w:val="0"/>
                <w:sz w:val="21"/>
                <w:szCs w:val="21"/>
                <w:lang w:val="en-US" w:eastAsia="zh-CN"/>
              </w:rPr>
              <w:t>1.9万个/年</w:t>
            </w:r>
          </w:p>
        </w:tc>
        <w:tc>
          <w:tcPr>
            <w:tcW w:w="1750" w:type="dxa"/>
            <w:vMerge w:val="restart"/>
            <w:tcBorders>
              <w:tl2br w:val="nil"/>
              <w:tr2bl w:val="nil"/>
            </w:tcBorders>
            <w:vAlign w:val="center"/>
          </w:tcPr>
          <w:p>
            <w:pPr>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91.0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tl2br w:val="nil"/>
              <w:tr2bl w:val="nil"/>
            </w:tcBorders>
            <w:vAlign w:val="center"/>
          </w:tcPr>
          <w:p>
            <w:pPr>
              <w:jc w:val="center"/>
              <w:rPr>
                <w:rFonts w:hint="eastAsia" w:ascii="Times New Roman" w:hAnsi="Times New Roman"/>
                <w:szCs w:val="21"/>
                <w:lang w:eastAsia="zh-CN"/>
              </w:rPr>
            </w:pPr>
          </w:p>
        </w:tc>
        <w:tc>
          <w:tcPr>
            <w:tcW w:w="1033" w:type="dxa"/>
            <w:vMerge w:val="continue"/>
            <w:tcBorders>
              <w:tl2br w:val="nil"/>
              <w:tr2bl w:val="nil"/>
            </w:tcBorders>
            <w:vAlign w:val="center"/>
          </w:tcPr>
          <w:p>
            <w:pPr>
              <w:jc w:val="center"/>
              <w:rPr>
                <w:rFonts w:hint="eastAsia" w:ascii="Times New Roman" w:hAnsi="Times New Roman" w:cs="Times New Roman" w:eastAsiaTheme="minorEastAsia"/>
                <w:kern w:val="2"/>
                <w:sz w:val="21"/>
                <w:szCs w:val="21"/>
                <w:highlight w:val="none"/>
                <w:lang w:val="en-US" w:eastAsia="zh-CN" w:bidi="ar-SA"/>
              </w:rPr>
            </w:pPr>
          </w:p>
        </w:tc>
        <w:tc>
          <w:tcPr>
            <w:tcW w:w="2143"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铁丝衣架（铁）：</w:t>
            </w:r>
          </w:p>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307万个/年</w:t>
            </w:r>
          </w:p>
        </w:tc>
        <w:tc>
          <w:tcPr>
            <w:tcW w:w="2219"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0.92</w:t>
            </w:r>
            <w:r>
              <w:rPr>
                <w:rFonts w:hint="eastAsia" w:ascii="Times New Roman" w:hAnsi="Times New Roman" w:eastAsia="宋体" w:cs="Times New Roman"/>
                <w:color w:val="auto"/>
                <w:kern w:val="0"/>
                <w:sz w:val="21"/>
                <w:szCs w:val="21"/>
                <w:lang w:val="en-US" w:eastAsia="zh-CN"/>
              </w:rPr>
              <w:t>万个/年</w:t>
            </w:r>
          </w:p>
        </w:tc>
        <w:tc>
          <w:tcPr>
            <w:tcW w:w="1750" w:type="dxa"/>
            <w:vMerge w:val="continue"/>
            <w:tcBorders>
              <w:tl2br w:val="nil"/>
              <w:tr2bl w:val="nil"/>
            </w:tcBorders>
            <w:vAlign w:val="center"/>
          </w:tcPr>
          <w:p>
            <w:pPr>
              <w:jc w:val="center"/>
              <w:rPr>
                <w:rFonts w:hint="eastAsia" w:ascii="Times New Roman" w:hAnsi="Times New Roman"/>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tl2br w:val="nil"/>
              <w:tr2bl w:val="nil"/>
            </w:tcBorders>
            <w:vAlign w:val="center"/>
          </w:tcPr>
          <w:p>
            <w:pPr>
              <w:jc w:val="center"/>
              <w:rPr>
                <w:rFonts w:hint="eastAsia" w:ascii="Times New Roman" w:hAnsi="Times New Roman"/>
                <w:szCs w:val="21"/>
                <w:lang w:eastAsia="zh-CN"/>
              </w:rPr>
            </w:pPr>
          </w:p>
        </w:tc>
        <w:tc>
          <w:tcPr>
            <w:tcW w:w="1033" w:type="dxa"/>
            <w:vMerge w:val="continue"/>
            <w:tcBorders>
              <w:tl2br w:val="nil"/>
              <w:tr2bl w:val="nil"/>
            </w:tcBorders>
            <w:vAlign w:val="center"/>
          </w:tcPr>
          <w:p>
            <w:pPr>
              <w:jc w:val="center"/>
              <w:rPr>
                <w:rFonts w:hint="eastAsia" w:ascii="Times New Roman" w:hAnsi="Times New Roman" w:cs="Times New Roman" w:eastAsiaTheme="minorEastAsia"/>
                <w:kern w:val="2"/>
                <w:sz w:val="21"/>
                <w:szCs w:val="21"/>
                <w:highlight w:val="none"/>
                <w:lang w:val="en-US" w:eastAsia="zh-CN" w:bidi="ar-SA"/>
              </w:rPr>
            </w:pPr>
          </w:p>
        </w:tc>
        <w:tc>
          <w:tcPr>
            <w:tcW w:w="2143"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浸塑铁丝衣架（铁）：</w:t>
            </w:r>
            <w:r>
              <w:rPr>
                <w:rFonts w:hint="eastAsia" w:ascii="Times New Roman" w:hAnsi="Times New Roman" w:eastAsia="宋体" w:cs="Times New Roman"/>
                <w:color w:val="auto"/>
                <w:kern w:val="0"/>
                <w:sz w:val="21"/>
                <w:szCs w:val="21"/>
                <w:lang w:val="en-US" w:eastAsia="zh-CN"/>
              </w:rPr>
              <w:t>308万个/年</w:t>
            </w:r>
          </w:p>
        </w:tc>
        <w:tc>
          <w:tcPr>
            <w:tcW w:w="2219" w:type="dxa"/>
            <w:tcBorders>
              <w:tl2br w:val="nil"/>
              <w:tr2bl w:val="nil"/>
            </w:tcBorders>
            <w:vAlign w:val="center"/>
          </w:tcPr>
          <w:p>
            <w:pPr>
              <w:ind w:right="48"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0.93</w:t>
            </w:r>
            <w:r>
              <w:rPr>
                <w:rFonts w:hint="eastAsia" w:ascii="Times New Roman" w:hAnsi="Times New Roman" w:eastAsia="宋体" w:cs="Times New Roman"/>
                <w:color w:val="auto"/>
                <w:kern w:val="0"/>
                <w:sz w:val="21"/>
                <w:szCs w:val="21"/>
                <w:lang w:val="en-US" w:eastAsia="zh-CN"/>
              </w:rPr>
              <w:t>万个/年</w:t>
            </w:r>
          </w:p>
        </w:tc>
        <w:tc>
          <w:tcPr>
            <w:tcW w:w="1750" w:type="dxa"/>
            <w:vMerge w:val="continue"/>
            <w:tcBorders>
              <w:tl2br w:val="nil"/>
              <w:tr2bl w:val="nil"/>
            </w:tcBorders>
            <w:vAlign w:val="center"/>
          </w:tcPr>
          <w:p>
            <w:pPr>
              <w:jc w:val="center"/>
              <w:rPr>
                <w:rFonts w:hint="eastAsia" w:ascii="Times New Roman" w:hAnsi="Times New Roman"/>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tl2br w:val="nil"/>
              <w:tr2bl w:val="nil"/>
            </w:tcBorders>
            <w:vAlign w:val="center"/>
          </w:tcPr>
          <w:p>
            <w:pPr>
              <w:jc w:val="center"/>
              <w:rPr>
                <w:rFonts w:hint="eastAsia" w:ascii="Times New Roman" w:hAnsi="Times New Roman"/>
                <w:szCs w:val="21"/>
                <w:lang w:eastAsia="zh-CN"/>
              </w:rPr>
            </w:pPr>
          </w:p>
        </w:tc>
        <w:tc>
          <w:tcPr>
            <w:tcW w:w="1033" w:type="dxa"/>
            <w:vMerge w:val="continue"/>
            <w:tcBorders>
              <w:tl2br w:val="nil"/>
              <w:tr2bl w:val="nil"/>
            </w:tcBorders>
            <w:vAlign w:val="center"/>
          </w:tcPr>
          <w:p>
            <w:pPr>
              <w:jc w:val="center"/>
              <w:rPr>
                <w:rFonts w:hint="eastAsia" w:ascii="Times New Roman" w:hAnsi="Times New Roman" w:cs="Times New Roman" w:eastAsiaTheme="minorEastAsia"/>
                <w:kern w:val="2"/>
                <w:sz w:val="21"/>
                <w:szCs w:val="21"/>
                <w:highlight w:val="none"/>
                <w:lang w:val="en-US" w:eastAsia="zh-CN" w:bidi="ar-SA"/>
              </w:rPr>
            </w:pPr>
          </w:p>
        </w:tc>
        <w:tc>
          <w:tcPr>
            <w:tcW w:w="2143" w:type="dxa"/>
            <w:tcBorders>
              <w:tl2br w:val="nil"/>
              <w:tr2bl w:val="nil"/>
            </w:tcBorders>
            <w:vAlign w:val="center"/>
          </w:tcPr>
          <w:p>
            <w:pPr>
              <w:ind w:right="48"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木衣架：</w:t>
            </w:r>
            <w:r>
              <w:rPr>
                <w:rFonts w:hint="eastAsia" w:ascii="Times New Roman" w:hAnsi="Times New Roman" w:eastAsia="宋体" w:cs="Times New Roman"/>
                <w:color w:val="auto"/>
                <w:kern w:val="0"/>
                <w:sz w:val="21"/>
                <w:szCs w:val="21"/>
                <w:lang w:val="en-US" w:eastAsia="zh-CN"/>
              </w:rPr>
              <w:t>200万个/年</w:t>
            </w:r>
          </w:p>
        </w:tc>
        <w:tc>
          <w:tcPr>
            <w:tcW w:w="2219" w:type="dxa"/>
            <w:tcBorders>
              <w:tl2br w:val="nil"/>
              <w:tr2bl w:val="nil"/>
            </w:tcBorders>
            <w:vAlign w:val="center"/>
          </w:tcPr>
          <w:p>
            <w:pPr>
              <w:ind w:right="48"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不生产</w:t>
            </w:r>
          </w:p>
        </w:tc>
        <w:tc>
          <w:tcPr>
            <w:tcW w:w="1750" w:type="dxa"/>
            <w:vMerge w:val="continue"/>
            <w:tcBorders>
              <w:tl2br w:val="nil"/>
              <w:tr2bl w:val="nil"/>
            </w:tcBorders>
            <w:vAlign w:val="center"/>
          </w:tcPr>
          <w:p>
            <w:pPr>
              <w:jc w:val="center"/>
              <w:rPr>
                <w:rFonts w:hint="eastAsia" w:ascii="Times New Roman" w:hAnsi="Times New Roman"/>
                <w:color w:val="000000" w:themeColor="text1"/>
                <w:szCs w:val="21"/>
                <w:lang w:val="en-US" w:eastAsia="zh-CN"/>
                <w14:textFill>
                  <w14:solidFill>
                    <w14:schemeClr w14:val="tx1"/>
                  </w14:solidFill>
                </w14:textFill>
              </w:rPr>
            </w:pPr>
          </w:p>
        </w:tc>
      </w:tr>
    </w:tbl>
    <w:p>
      <w:pPr>
        <w:pStyle w:val="5"/>
      </w:pPr>
      <w:bookmarkStart w:id="78" w:name="_Toc6075"/>
      <w:r>
        <w:rPr>
          <w:rFonts w:eastAsia="宋体"/>
        </w:rPr>
        <w:t>9.2</w:t>
      </w:r>
      <w:r>
        <w:rPr>
          <w:rFonts w:hint="eastAsia"/>
        </w:rPr>
        <w:t>污染物排放监测</w:t>
      </w:r>
      <w:r>
        <w:t>及</w:t>
      </w:r>
      <w:r>
        <w:rPr>
          <w:rFonts w:hint="eastAsia"/>
        </w:rPr>
        <w:t>环保设施处理效率结果</w:t>
      </w:r>
      <w:bookmarkEnd w:id="78"/>
    </w:p>
    <w:p>
      <w:pPr>
        <w:pStyle w:val="6"/>
        <w:rPr>
          <w:kern w:val="22"/>
        </w:rPr>
      </w:pPr>
      <w:bookmarkStart w:id="79" w:name="_Toc16235"/>
      <w:r>
        <w:rPr>
          <w:rFonts w:hint="eastAsia"/>
          <w:kern w:val="22"/>
        </w:rPr>
        <w:t>9.2.1废水监测结果及评价</w:t>
      </w:r>
      <w:bookmarkEnd w:id="79"/>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废水监测结果见表9.2.1</w:t>
      </w:r>
      <w:r>
        <w:rPr>
          <w:rFonts w:ascii="Times New Roman" w:hAnsi="Times New Roman"/>
          <w:sz w:val="24"/>
          <w:szCs w:val="24"/>
        </w:rPr>
        <w:t>-1</w:t>
      </w:r>
      <w:r>
        <w:rPr>
          <w:rFonts w:hint="eastAsia" w:ascii="Times New Roman" w:hAnsi="Times New Roman"/>
          <w:sz w:val="24"/>
          <w:szCs w:val="24"/>
          <w:lang w:eastAsia="zh-CN"/>
        </w:rPr>
        <w:t>、</w:t>
      </w:r>
      <w:r>
        <w:rPr>
          <w:rFonts w:hint="eastAsia" w:ascii="Times New Roman" w:hAnsi="Times New Roman"/>
          <w:sz w:val="24"/>
          <w:szCs w:val="24"/>
        </w:rPr>
        <w:t>9.2.1</w:t>
      </w:r>
      <w:r>
        <w:rPr>
          <w:rFonts w:ascii="Times New Roman" w:hAnsi="Times New Roman"/>
          <w:sz w:val="24"/>
          <w:szCs w:val="24"/>
        </w:rPr>
        <w:t>-</w:t>
      </w:r>
      <w:r>
        <w:rPr>
          <w:rFonts w:hint="eastAsia" w:ascii="Times New Roman" w:hAnsi="Times New Roman"/>
          <w:sz w:val="24"/>
          <w:szCs w:val="24"/>
          <w:lang w:val="en-US" w:eastAsia="zh-CN"/>
        </w:rPr>
        <w:t>2</w:t>
      </w:r>
      <w:r>
        <w:rPr>
          <w:rFonts w:hint="eastAsia" w:ascii="Times New Roman" w:hAnsi="Times New Roman"/>
          <w:sz w:val="24"/>
          <w:szCs w:val="24"/>
        </w:rPr>
        <w:t>。</w:t>
      </w:r>
    </w:p>
    <w:p>
      <w:pPr>
        <w:snapToGrid w:val="0"/>
        <w:spacing w:before="163" w:beforeLines="50"/>
        <w:jc w:val="center"/>
        <w:rPr>
          <w:rFonts w:ascii="Times New Roman" w:hAnsi="Times New Roman"/>
          <w:b/>
          <w:bCs/>
          <w:szCs w:val="21"/>
        </w:rPr>
        <w:sectPr>
          <w:footerReference r:id="rId9" w:type="default"/>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2"/>
        <w:keepNext w:val="0"/>
        <w:keepLines w:val="0"/>
        <w:pageBreakBefore w:val="0"/>
        <w:widowControl/>
        <w:kinsoku/>
        <w:wordWrap/>
        <w:overflowPunct/>
        <w:topLinePunct w:val="0"/>
        <w:autoSpaceDE/>
        <w:autoSpaceDN/>
        <w:bidi w:val="0"/>
        <w:adjustRightInd/>
        <w:snapToGrid/>
        <w:spacing w:beforeAutospacing="0" w:afterAutospacing="0" w:line="160" w:lineRule="exact"/>
        <w:textAlignment w:val="auto"/>
        <w:rPr>
          <w:rFonts w:hint="default" w:ascii="Times New Roman" w:hAnsi="Times New Roman" w:cs="Times New Roman"/>
          <w:sz w:val="10"/>
          <w:szCs w:val="10"/>
        </w:rPr>
      </w:pPr>
    </w:p>
    <w:p>
      <w:pPr>
        <w:snapToGrid w:val="0"/>
        <w:spacing w:before="163" w:beforeLines="50"/>
        <w:jc w:val="center"/>
        <w:rPr>
          <w:rFonts w:ascii="Times New Roman" w:hAnsi="Times New Roman"/>
          <w:b/>
          <w:bCs/>
          <w:szCs w:val="21"/>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1</w:t>
      </w:r>
      <w:r>
        <w:rPr>
          <w:rFonts w:hint="eastAsia" w:ascii="Times New Roman" w:hAnsi="Times New Roman"/>
          <w:b/>
          <w:bCs/>
          <w:szCs w:val="21"/>
        </w:rPr>
        <w:t>废水监测结果（</w:t>
      </w:r>
      <w:r>
        <w:rPr>
          <w:rFonts w:hint="eastAsia" w:ascii="Times New Roman" w:hAnsi="Times New Roman"/>
          <w:b/>
          <w:bCs/>
          <w:szCs w:val="21"/>
          <w:lang w:val="en-US" w:eastAsia="zh-CN"/>
        </w:rPr>
        <w:t>1</w:t>
      </w:r>
      <w:r>
        <w:rPr>
          <w:rFonts w:hint="eastAsia" w:ascii="Times New Roman" w:hAnsi="Times New Roman"/>
          <w:b/>
          <w:bCs/>
          <w:szCs w:val="21"/>
        </w:rPr>
        <w:t>）</w:t>
      </w:r>
    </w:p>
    <w:tbl>
      <w:tblPr>
        <w:tblStyle w:val="32"/>
        <w:tblW w:w="10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73"/>
        <w:gridCol w:w="1240"/>
        <w:gridCol w:w="1240"/>
        <w:gridCol w:w="1240"/>
        <w:gridCol w:w="1240"/>
        <w:gridCol w:w="694"/>
        <w:gridCol w:w="1771"/>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采样日期</w:t>
            </w:r>
          </w:p>
        </w:tc>
        <w:tc>
          <w:tcPr>
            <w:tcW w:w="7947" w:type="dxa"/>
            <w:gridSpan w:val="7"/>
            <w:noWrap w:val="0"/>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检测日期</w:t>
            </w:r>
          </w:p>
        </w:tc>
        <w:tc>
          <w:tcPr>
            <w:tcW w:w="7947" w:type="dxa"/>
            <w:gridSpan w:val="7"/>
            <w:noWrap w:val="0"/>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2022年10月9日-12日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采样点位</w:t>
            </w:r>
          </w:p>
        </w:tc>
        <w:tc>
          <w:tcPr>
            <w:tcW w:w="7947" w:type="dxa"/>
            <w:gridSpan w:val="7"/>
            <w:noWrap w:val="0"/>
            <w:vAlign w:val="center"/>
          </w:tcPr>
          <w:p>
            <w:pP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生活污水排放口W1-2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173" w:type="dxa"/>
            <w:vMerge w:val="restart"/>
            <w:noWrap w:val="0"/>
            <w:vAlign w:val="center"/>
          </w:tcPr>
          <w:p>
            <w:pPr>
              <w:widowControl/>
              <w:adjustRightInd w:val="0"/>
              <w:snapToGrid w:val="0"/>
              <w:jc w:val="center"/>
              <w:rPr>
                <w:rFonts w:hint="default" w:ascii="Times New Roman" w:hAnsi="Times New Roman" w:cs="Times New Roman"/>
                <w:sz w:val="18"/>
                <w:highlight w:val="none"/>
              </w:rPr>
            </w:pPr>
            <w:r>
              <w:rPr>
                <w:rFonts w:hint="default" w:ascii="Times New Roman" w:hAnsi="Times New Roman" w:cs="Times New Roman"/>
                <w:bCs/>
                <w:kern w:val="0"/>
                <w:sz w:val="18"/>
                <w:szCs w:val="18"/>
                <w:highlight w:val="none"/>
                <w:lang w:val="zh-CN"/>
              </w:rPr>
              <mc:AlternateContent>
                <mc:Choice Requires="wps">
                  <w:drawing>
                    <wp:anchor distT="0" distB="0" distL="114300" distR="114300" simplePos="0" relativeHeight="251667456" behindDoc="0" locked="0" layoutInCell="1" allowOverlap="1">
                      <wp:simplePos x="0" y="0"/>
                      <wp:positionH relativeFrom="column">
                        <wp:posOffset>-15875</wp:posOffset>
                      </wp:positionH>
                      <wp:positionV relativeFrom="paragraph">
                        <wp:posOffset>10795</wp:posOffset>
                      </wp:positionV>
                      <wp:extent cx="1387475" cy="376555"/>
                      <wp:effectExtent l="1270" t="4445" r="1905" b="19050"/>
                      <wp:wrapNone/>
                      <wp:docPr id="22" name="直接连接符 22"/>
                      <wp:cNvGraphicFramePr/>
                      <a:graphic xmlns:a="http://schemas.openxmlformats.org/drawingml/2006/main">
                        <a:graphicData uri="http://schemas.microsoft.com/office/word/2010/wordprocessingShape">
                          <wps:wsp>
                            <wps:cNvCnPr/>
                            <wps:spPr>
                              <a:xfrm>
                                <a:off x="0" y="0"/>
                                <a:ext cx="1387475" cy="3765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pt;margin-top:0.85pt;height:29.65pt;width:109.25pt;z-index:251667456;mso-width-relative:page;mso-height-relative:page;" filled="f" stroked="t" coordsize="21600,21600" o:gfxdata="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mg7T1QAAAAcBAAAPAAAAAAAAAAEAIAAAACIAAABkcnMvZG93bnJldi54bWxQ&#10;SwECFAAUAAAACACHTuJA6G+or/oBAADrAwAADgAAAAAAAAABACAAAAAk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b/>
                <w:bCs/>
                <w:kern w:val="0"/>
                <w:szCs w:val="21"/>
                <w:highlight w:val="none"/>
              </w:rPr>
              <mc:AlternateContent>
                <mc:Choice Requires="wps">
                  <w:drawing>
                    <wp:anchor distT="0" distB="0" distL="114300" distR="114300" simplePos="0" relativeHeight="251662336" behindDoc="0" locked="0" layoutInCell="1" allowOverlap="1">
                      <wp:simplePos x="0" y="0"/>
                      <wp:positionH relativeFrom="column">
                        <wp:posOffset>707390</wp:posOffset>
                      </wp:positionH>
                      <wp:positionV relativeFrom="paragraph">
                        <wp:posOffset>-4445</wp:posOffset>
                      </wp:positionV>
                      <wp:extent cx="792480" cy="304165"/>
                      <wp:effectExtent l="0" t="0" r="0" b="0"/>
                      <wp:wrapNone/>
                      <wp:docPr id="23" name="矩形 23"/>
                      <wp:cNvGraphicFramePr/>
                      <a:graphic xmlns:a="http://schemas.openxmlformats.org/drawingml/2006/main">
                        <a:graphicData uri="http://schemas.microsoft.com/office/word/2010/wordprocessingShape">
                          <wps:wsp>
                            <wps:cNvSpPr/>
                            <wps:spPr>
                              <a:xfrm>
                                <a:off x="0" y="0"/>
                                <a:ext cx="792480" cy="304165"/>
                              </a:xfrm>
                              <a:prstGeom prst="rect">
                                <a:avLst/>
                              </a:prstGeom>
                              <a:noFill/>
                              <a:ln>
                                <a:noFill/>
                              </a:ln>
                            </wps:spPr>
                            <wps:txbx>
                              <w:txbxContent>
                                <w:p>
                                  <w:pPr>
                                    <w:rPr>
                                      <w:bCs/>
                                      <w:kern w:val="0"/>
                                      <w:sz w:val="18"/>
                                      <w:szCs w:val="18"/>
                                    </w:rPr>
                                  </w:pPr>
                                  <w:r>
                                    <w:rPr>
                                      <w:rFonts w:hint="eastAsia"/>
                                      <w:bCs/>
                                      <w:kern w:val="0"/>
                                      <w:sz w:val="18"/>
                                      <w:szCs w:val="18"/>
                                    </w:rPr>
                                    <w:t>样品编号</w:t>
                                  </w:r>
                                </w:p>
                              </w:txbxContent>
                            </wps:txbx>
                            <wps:bodyPr upright="1"/>
                          </wps:wsp>
                        </a:graphicData>
                      </a:graphic>
                    </wp:anchor>
                  </w:drawing>
                </mc:Choice>
                <mc:Fallback>
                  <w:pict>
                    <v:rect id="_x0000_s1026" o:spid="_x0000_s1026" o:spt="1" style="position:absolute;left:0pt;margin-left:55.7pt;margin-top:-0.35pt;height:23.95pt;width:62.4pt;z-index:251662336;mso-width-relative:page;mso-height-relative:page;" filled="f" stroked="f" coordsize="21600,21600" o:gfxdata="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TvBdkAAAAIAQAADwAA&#10;AAAAAAABACAAAAAiAAAAZHJzL2Rvd25yZXYueG1sUEsBAhQAFAAAAAgAh07iQO/k8CijAQAAQgMA&#10;AA4AAAAAAAAAAQAgAAAAKA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样品编号</w:t>
                            </w:r>
                          </w:p>
                        </w:txbxContent>
                      </v:textbox>
                    </v:rect>
                  </w:pict>
                </mc:Fallback>
              </mc:AlternateContent>
            </w:r>
            <w:r>
              <w:rPr>
                <w:rFonts w:hint="default" w:ascii="Times New Roman" w:hAnsi="Times New Roman" w:cs="Times New Roman"/>
                <w:sz w:val="18"/>
                <w:highlight w:val="none"/>
              </w:rPr>
              <mc:AlternateContent>
                <mc:Choice Requires="wps">
                  <w:drawing>
                    <wp:anchor distT="0" distB="0" distL="114300" distR="114300" simplePos="0" relativeHeight="251665408" behindDoc="0" locked="0" layoutInCell="1" allowOverlap="1">
                      <wp:simplePos x="0" y="0"/>
                      <wp:positionH relativeFrom="column">
                        <wp:posOffset>-14605</wp:posOffset>
                      </wp:positionH>
                      <wp:positionV relativeFrom="paragraph">
                        <wp:posOffset>5080</wp:posOffset>
                      </wp:positionV>
                      <wp:extent cx="1386205" cy="777875"/>
                      <wp:effectExtent l="2540" t="4445" r="1905" b="17780"/>
                      <wp:wrapNone/>
                      <wp:docPr id="29" name="直接连接符 29"/>
                      <wp:cNvGraphicFramePr/>
                      <a:graphic xmlns:a="http://schemas.openxmlformats.org/drawingml/2006/main">
                        <a:graphicData uri="http://schemas.microsoft.com/office/word/2010/wordprocessingShape">
                          <wps:wsp>
                            <wps:cNvCnPr/>
                            <wps:spPr>
                              <a:xfrm>
                                <a:off x="0" y="0"/>
                                <a:ext cx="1386205" cy="7778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5pt;margin-top:0.4pt;height:61.25pt;width:109.15pt;z-index:251665408;mso-width-relative:page;mso-height-relative:page;" filled="f" stroked="t" coordsize="21600,21600" o:gfxdata="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M3f4nUAAAABwEAAA8AAAAAAAAAAQAgAAAAIgAAAGRycy9kb3ducmV2LnhtbFBL&#10;AQIUABQAAAAIAIdO4kCLvdBC+gEAAOsDAAAOAAAAAAAAAAEAIAAAACMBAABkcnMvZTJvRG9jLnht&#10;bFBLBQYAAAAABgAGAFkBAACPBQAAAAA=&#10;">
                      <v:fill on="f" focussize="0,0"/>
                      <v:stroke color="#000000" joinstyle="round"/>
                      <v:imagedata o:title=""/>
                      <o:lock v:ext="edit" aspectratio="f"/>
                    </v:line>
                  </w:pict>
                </mc:Fallback>
              </mc:AlternateContent>
            </w:r>
            <w:r>
              <w:rPr>
                <w:rFonts w:hint="default" w:ascii="Times New Roman" w:hAnsi="Times New Roman" w:cs="Times New Roman"/>
                <w:sz w:val="18"/>
                <w:highlight w:val="none"/>
              </w:rPr>
              <mc:AlternateContent>
                <mc:Choice Requires="wps">
                  <w:drawing>
                    <wp:anchor distT="0" distB="0" distL="114300" distR="114300" simplePos="0" relativeHeight="251666432" behindDoc="0" locked="0" layoutInCell="1" allowOverlap="1">
                      <wp:simplePos x="0" y="0"/>
                      <wp:positionH relativeFrom="column">
                        <wp:posOffset>-15875</wp:posOffset>
                      </wp:positionH>
                      <wp:positionV relativeFrom="paragraph">
                        <wp:posOffset>1270</wp:posOffset>
                      </wp:positionV>
                      <wp:extent cx="723265" cy="786765"/>
                      <wp:effectExtent l="3810" t="3175" r="15875" b="10160"/>
                      <wp:wrapNone/>
                      <wp:docPr id="24" name="直接连接符 24"/>
                      <wp:cNvGraphicFramePr/>
                      <a:graphic xmlns:a="http://schemas.openxmlformats.org/drawingml/2006/main">
                        <a:graphicData uri="http://schemas.microsoft.com/office/word/2010/wordprocessingShape">
                          <wps:wsp>
                            <wps:cNvCnPr/>
                            <wps:spPr>
                              <a:xfrm>
                                <a:off x="0" y="0"/>
                                <a:ext cx="723265" cy="7867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pt;margin-top:0.1pt;height:61.95pt;width:56.95pt;z-index:251666432;mso-width-relative:page;mso-height-relative:page;" filled="f" stroked="t" coordsize="21600,21600" o:gfxdata="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5ji01AAAAAcBAAAPAAAAAAAAAAEAIAAAACIAAABkcnMvZG93bnJldi54bWxQSwEC&#10;FAAUAAAACACHTuJAOK/NYvgBAADqAwAADgAAAAAAAAABACAAAAAjAQAAZHJzL2Uyb0RvYy54bWxQ&#10;SwUGAAAAAAYABgBZAQAAjQUAAAAA&#10;">
                      <v:fill on="f" focussize="0,0"/>
                      <v:stroke color="#000000" joinstyle="round"/>
                      <v:imagedata o:title=""/>
                      <o:lock v:ext="edit" aspectratio="f"/>
                    </v:line>
                  </w:pict>
                </mc:Fallback>
              </mc:AlternateContent>
            </w:r>
            <w:r>
              <w:rPr>
                <w:rFonts w:hint="default" w:ascii="Times New Roman" w:hAnsi="Times New Roman" w:cs="Times New Roman"/>
                <w:bCs/>
                <w:kern w:val="0"/>
                <w:sz w:val="18"/>
                <w:szCs w:val="18"/>
                <w:highlight w:val="none"/>
              </w:rPr>
              <w:t xml:space="preserve">               </w:t>
            </w:r>
          </w:p>
          <w:p>
            <w:pPr>
              <w:widowControl/>
              <w:adjustRightInd w:val="0"/>
              <w:snapToGrid w:val="0"/>
              <w:jc w:val="center"/>
              <w:rPr>
                <w:rFonts w:hint="default" w:ascii="Times New Roman" w:hAnsi="Times New Roman" w:cs="Times New Roman"/>
                <w:bCs/>
                <w:kern w:val="0"/>
                <w:sz w:val="18"/>
                <w:szCs w:val="18"/>
                <w:highlight w:val="none"/>
              </w:rPr>
            </w:pPr>
          </w:p>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
                <w:bCs/>
                <w:kern w:val="0"/>
                <w:szCs w:val="21"/>
                <w:highlight w:val="none"/>
              </w:rPr>
              <mc:AlternateContent>
                <mc:Choice Requires="wps">
                  <w:drawing>
                    <wp:anchor distT="0" distB="0" distL="114300" distR="114300" simplePos="0" relativeHeight="251664384" behindDoc="0" locked="0" layoutInCell="1" allowOverlap="1">
                      <wp:simplePos x="0" y="0"/>
                      <wp:positionH relativeFrom="column">
                        <wp:posOffset>679450</wp:posOffset>
                      </wp:positionH>
                      <wp:positionV relativeFrom="paragraph">
                        <wp:posOffset>11430</wp:posOffset>
                      </wp:positionV>
                      <wp:extent cx="792480" cy="304165"/>
                      <wp:effectExtent l="0" t="0" r="0" b="0"/>
                      <wp:wrapNone/>
                      <wp:docPr id="26" name="矩形 26"/>
                      <wp:cNvGraphicFramePr/>
                      <a:graphic xmlns:a="http://schemas.openxmlformats.org/drawingml/2006/main">
                        <a:graphicData uri="http://schemas.microsoft.com/office/word/2010/wordprocessingShape">
                          <wps:wsp>
                            <wps:cNvSpPr/>
                            <wps:spPr>
                              <a:xfrm>
                                <a:off x="0" y="0"/>
                                <a:ext cx="792480" cy="304165"/>
                              </a:xfrm>
                              <a:prstGeom prst="rect">
                                <a:avLst/>
                              </a:prstGeom>
                              <a:noFill/>
                              <a:ln>
                                <a:noFill/>
                              </a:ln>
                            </wps:spPr>
                            <wps:txbx>
                              <w:txbxContent>
                                <w:p>
                                  <w:pPr>
                                    <w:rPr>
                                      <w:bCs/>
                                      <w:kern w:val="0"/>
                                      <w:sz w:val="18"/>
                                      <w:szCs w:val="18"/>
                                    </w:rPr>
                                  </w:pPr>
                                  <w:r>
                                    <w:rPr>
                                      <w:rFonts w:hint="eastAsia"/>
                                      <w:bCs/>
                                      <w:kern w:val="0"/>
                                      <w:sz w:val="18"/>
                                      <w:szCs w:val="18"/>
                                    </w:rPr>
                                    <w:t>样品性状</w:t>
                                  </w:r>
                                </w:p>
                              </w:txbxContent>
                            </wps:txbx>
                            <wps:bodyPr upright="1"/>
                          </wps:wsp>
                        </a:graphicData>
                      </a:graphic>
                    </wp:anchor>
                  </w:drawing>
                </mc:Choice>
                <mc:Fallback>
                  <w:pict>
                    <v:rect id="_x0000_s1026" o:spid="_x0000_s1026" o:spt="1" style="position:absolute;left:0pt;margin-left:53.5pt;margin-top:0.9pt;height:23.95pt;width:62.4pt;z-index:251664384;mso-width-relative:page;mso-height-relative:page;" filled="f" stroked="f" coordsize="21600,21600" o:gfxdata="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5gj13YAAAACAEAAA8AAAAA&#10;AAAAAQAgAAAAIgAAAGRycy9kb3ducmV2LnhtbFBLAQIUABQAAAAIAIdO4kCy70CwogEAAEIDAAAO&#10;AAAAAAAAAAEAIAAAACcBAABkcnMvZTJvRG9jLnhtbFBLBQYAAAAABgAGAFkBAAA7BQAAAAA=&#10;">
                      <v:fill on="f" focussize="0,0"/>
                      <v:stroke on="f"/>
                      <v:imagedata o:title=""/>
                      <o:lock v:ext="edit" aspectratio="f"/>
                      <v:textbox>
                        <w:txbxContent>
                          <w:p>
                            <w:pPr>
                              <w:rPr>
                                <w:bCs/>
                                <w:kern w:val="0"/>
                                <w:sz w:val="18"/>
                                <w:szCs w:val="18"/>
                              </w:rPr>
                            </w:pPr>
                            <w:r>
                              <w:rPr>
                                <w:rFonts w:hint="eastAsia"/>
                                <w:bCs/>
                                <w:kern w:val="0"/>
                                <w:sz w:val="18"/>
                                <w:szCs w:val="18"/>
                              </w:rPr>
                              <w:t>样品性状</w:t>
                            </w:r>
                          </w:p>
                        </w:txbxContent>
                      </v:textbox>
                    </v:rect>
                  </w:pict>
                </mc:Fallback>
              </mc:AlternateContent>
            </w:r>
            <w:r>
              <w:rPr>
                <w:rFonts w:hint="default" w:ascii="Times New Roman" w:hAnsi="Times New Roman" w:cs="Times New Roman"/>
                <w:bCs/>
                <w:kern w:val="0"/>
                <w:sz w:val="18"/>
                <w:szCs w:val="18"/>
                <w:highlight w:val="none"/>
              </w:rPr>
              <w:t xml:space="preserve">               </w:t>
            </w:r>
          </w:p>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eastAsia="仿宋_GB2312" w:cs="Times New Roman"/>
                <w:b/>
                <w:sz w:val="24"/>
                <w:highlight w:val="none"/>
                <w:lang w:val="zh-CN"/>
              </w:rPr>
              <mc:AlternateContent>
                <mc:Choice Requires="wps">
                  <w:drawing>
                    <wp:anchor distT="0" distB="0" distL="114300" distR="114300" simplePos="0" relativeHeight="251674624" behindDoc="0" locked="0" layoutInCell="1" allowOverlap="1">
                      <wp:simplePos x="0" y="0"/>
                      <wp:positionH relativeFrom="column">
                        <wp:posOffset>-78740</wp:posOffset>
                      </wp:positionH>
                      <wp:positionV relativeFrom="paragraph">
                        <wp:posOffset>104775</wp:posOffset>
                      </wp:positionV>
                      <wp:extent cx="792480" cy="304165"/>
                      <wp:effectExtent l="0" t="0" r="0" b="0"/>
                      <wp:wrapNone/>
                      <wp:docPr id="56" name="矩形 56"/>
                      <wp:cNvGraphicFramePr/>
                      <a:graphic xmlns:a="http://schemas.openxmlformats.org/drawingml/2006/main">
                        <a:graphicData uri="http://schemas.microsoft.com/office/word/2010/wordprocessingShape">
                          <wps:wsp>
                            <wps:cNvSpPr/>
                            <wps:spPr>
                              <a:xfrm>
                                <a:off x="0" y="0"/>
                                <a:ext cx="792480" cy="304165"/>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upright="1"/>
                          </wps:wsp>
                        </a:graphicData>
                      </a:graphic>
                    </wp:anchor>
                  </w:drawing>
                </mc:Choice>
                <mc:Fallback>
                  <w:pict>
                    <v:rect id="_x0000_s1026" o:spid="_x0000_s1026" o:spt="1" style="position:absolute;left:0pt;margin-left:-6.2pt;margin-top:8.25pt;height:23.95pt;width:62.4pt;z-index:251674624;mso-width-relative:page;mso-height-relative:page;" filled="f" stroked="f" coordsize="21600,21600" o:gfxdata="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XFvEnYAAAACQEAAA8AAAAA&#10;AAAAAQAgAAAAIgAAAGRycy9kb3ducmV2LnhtbFBLAQIUABQAAAAIAIdO4kAkf4OtogEAAEIDAAAO&#10;AAAAAAAAAAEAIAAAACcBAABkcnMvZTJvRG9jLnhtbFBLBQYAAAAABgAGAFkBAAA7BQ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
                <w:bCs/>
                <w:kern w:val="0"/>
                <w:szCs w:val="21"/>
                <w:highlight w:val="none"/>
              </w:rPr>
              <mc:AlternateContent>
                <mc:Choice Requires="wps">
                  <w:drawing>
                    <wp:anchor distT="0" distB="0" distL="114300" distR="114300" simplePos="0" relativeHeight="251663360" behindDoc="0" locked="0" layoutInCell="1" allowOverlap="1">
                      <wp:simplePos x="0" y="0"/>
                      <wp:positionH relativeFrom="column">
                        <wp:posOffset>454025</wp:posOffset>
                      </wp:positionH>
                      <wp:positionV relativeFrom="paragraph">
                        <wp:posOffset>76835</wp:posOffset>
                      </wp:positionV>
                      <wp:extent cx="792480" cy="304165"/>
                      <wp:effectExtent l="0" t="0" r="0" b="0"/>
                      <wp:wrapNone/>
                      <wp:docPr id="27" name="矩形 27"/>
                      <wp:cNvGraphicFramePr/>
                      <a:graphic xmlns:a="http://schemas.openxmlformats.org/drawingml/2006/main">
                        <a:graphicData uri="http://schemas.microsoft.com/office/word/2010/wordprocessingShape">
                          <wps:wsp>
                            <wps:cNvSpPr/>
                            <wps:spPr>
                              <a:xfrm>
                                <a:off x="0" y="0"/>
                                <a:ext cx="792480" cy="304165"/>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upright="1"/>
                          </wps:wsp>
                        </a:graphicData>
                      </a:graphic>
                    </wp:anchor>
                  </w:drawing>
                </mc:Choice>
                <mc:Fallback>
                  <w:pict>
                    <v:rect id="_x0000_s1026" o:spid="_x0000_s1026" o:spt="1" style="position:absolute;left:0pt;margin-left:35.75pt;margin-top:6.05pt;height:23.95pt;width:62.4pt;z-index:251663360;mso-width-relative:page;mso-height-relative:page;" filled="f" stroked="f" coordsize="21600,21600" o:gfxdata="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FJ2PQ2QAAAAgBAAAPAAAA&#10;AAAAAAEAIAAAACIAAABkcnMvZG93bnJldi54bWxQSwECFAAUAAAACACHTuJANBDgK6IBAABCAwAA&#10;DgAAAAAAAAABACAAAAAoAQAAZHJzL2Uyb0RvYy54bWxQSwUGAAAAAAYABgBZAQAAPAU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w:hAnsi="Times New Roman" w:cs="Times New Roman"/>
                <w:bCs/>
                <w:kern w:val="0"/>
                <w:sz w:val="18"/>
                <w:szCs w:val="18"/>
                <w:highlight w:val="none"/>
              </w:rPr>
              <w:t xml:space="preserve">       </w:t>
            </w:r>
          </w:p>
          <w:p>
            <w:pPr>
              <w:widowControl/>
              <w:adjustRightInd w:val="0"/>
              <w:snapToGrid w:val="0"/>
              <w:ind w:firstLine="180" w:firstLineChars="100"/>
              <w:rPr>
                <w:rFonts w:hint="default" w:ascii="Times New Roman" w:hAnsi="Times New Roman" w:cs="Times New Roman"/>
                <w:bCs/>
                <w:kern w:val="0"/>
                <w:sz w:val="18"/>
                <w:szCs w:val="18"/>
                <w:highlight w:val="none"/>
              </w:rPr>
            </w:pPr>
          </w:p>
        </w:tc>
        <w:tc>
          <w:tcPr>
            <w:tcW w:w="1240"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20220902a</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W1-2-01</w:t>
            </w:r>
          </w:p>
        </w:tc>
        <w:tc>
          <w:tcPr>
            <w:tcW w:w="1240"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20220902a</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W1-2-02</w:t>
            </w:r>
          </w:p>
        </w:tc>
        <w:tc>
          <w:tcPr>
            <w:tcW w:w="1240"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20220902a</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W1-2-03</w:t>
            </w:r>
          </w:p>
        </w:tc>
        <w:tc>
          <w:tcPr>
            <w:tcW w:w="1240"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20220902a</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W1-2-04</w:t>
            </w:r>
          </w:p>
        </w:tc>
        <w:tc>
          <w:tcPr>
            <w:tcW w:w="694" w:type="dxa"/>
            <w:vMerge w:val="restart"/>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平均值</w:t>
            </w:r>
          </w:p>
        </w:tc>
        <w:tc>
          <w:tcPr>
            <w:tcW w:w="1771" w:type="dxa"/>
            <w:vMerge w:val="restart"/>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《污水综合排放标准》</w:t>
            </w:r>
          </w:p>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（GB 8978-1996）</w:t>
            </w:r>
          </w:p>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表4 三级</w:t>
            </w:r>
          </w:p>
        </w:tc>
        <w:tc>
          <w:tcPr>
            <w:tcW w:w="522" w:type="dxa"/>
            <w:vMerge w:val="restart"/>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173" w:type="dxa"/>
            <w:vMerge w:val="continue"/>
            <w:noWrap w:val="0"/>
            <w:vAlign w:val="center"/>
          </w:tcPr>
          <w:p>
            <w:pPr>
              <w:widowControl/>
              <w:adjustRightInd w:val="0"/>
              <w:snapToGrid w:val="0"/>
              <w:jc w:val="center"/>
              <w:rPr>
                <w:rFonts w:hint="default" w:ascii="Times New Roman" w:hAnsi="Times New Roman" w:cs="Times New Roman"/>
                <w:sz w:val="18"/>
                <w:highlight w:val="none"/>
              </w:rPr>
            </w:pP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浅黄、微浊</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浅黄、微浊</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浅黄、微浊</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浅黄、微浊</w:t>
            </w:r>
          </w:p>
        </w:tc>
        <w:tc>
          <w:tcPr>
            <w:tcW w:w="694" w:type="dxa"/>
            <w:vMerge w:val="continue"/>
            <w:noWrap w:val="0"/>
            <w:vAlign w:val="center"/>
          </w:tcPr>
          <w:p>
            <w:pPr>
              <w:widowControl/>
              <w:adjustRightInd w:val="0"/>
              <w:snapToGrid w:val="0"/>
              <w:jc w:val="center"/>
              <w:rPr>
                <w:rFonts w:hint="default" w:ascii="Times New Roman" w:hAnsi="Times New Roman" w:cs="Times New Roman"/>
                <w:bCs/>
                <w:kern w:val="0"/>
                <w:sz w:val="18"/>
                <w:szCs w:val="18"/>
                <w:highlight w:val="none"/>
              </w:rPr>
            </w:pPr>
          </w:p>
        </w:tc>
        <w:tc>
          <w:tcPr>
            <w:tcW w:w="1771" w:type="dxa"/>
            <w:vMerge w:val="continue"/>
            <w:noWrap w:val="0"/>
            <w:vAlign w:val="center"/>
          </w:tcPr>
          <w:p>
            <w:pPr>
              <w:widowControl/>
              <w:adjustRightInd w:val="0"/>
              <w:snapToGrid w:val="0"/>
              <w:jc w:val="center"/>
              <w:rPr>
                <w:rFonts w:hint="default" w:ascii="Times New Roman" w:hAnsi="Times New Roman" w:cs="Times New Roman"/>
                <w:bCs/>
                <w:kern w:val="0"/>
                <w:sz w:val="18"/>
                <w:szCs w:val="18"/>
                <w:highlight w:val="none"/>
              </w:rPr>
            </w:pPr>
          </w:p>
        </w:tc>
        <w:tc>
          <w:tcPr>
            <w:tcW w:w="522" w:type="dxa"/>
            <w:vMerge w:val="continue"/>
            <w:noWrap w:val="0"/>
            <w:vAlign w:val="center"/>
          </w:tcPr>
          <w:p>
            <w:pPr>
              <w:widowControl/>
              <w:adjustRightInd w:val="0"/>
              <w:snapToGrid w:val="0"/>
              <w:jc w:val="center"/>
              <w:rPr>
                <w:rFonts w:hint="default" w:ascii="Times New Roman" w:hAnsi="Times New Roman" w:cs="Times New Roman"/>
                <w:bCs/>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pH（无量纲）</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8.0（16.5℃）</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8.1（16.4℃）</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8.1（16.6℃）</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8.1（16.8℃）</w:t>
            </w:r>
          </w:p>
        </w:tc>
        <w:tc>
          <w:tcPr>
            <w:tcW w:w="69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8.0-8.1</w:t>
            </w:r>
          </w:p>
        </w:tc>
        <w:tc>
          <w:tcPr>
            <w:tcW w:w="17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6-9</w:t>
            </w:r>
          </w:p>
        </w:tc>
        <w:tc>
          <w:tcPr>
            <w:tcW w:w="52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悬浮物（mg/L）</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59</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55</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64</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57</w:t>
            </w:r>
          </w:p>
        </w:tc>
        <w:tc>
          <w:tcPr>
            <w:tcW w:w="69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59 </w:t>
            </w:r>
          </w:p>
        </w:tc>
        <w:tc>
          <w:tcPr>
            <w:tcW w:w="17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400</w:t>
            </w:r>
          </w:p>
        </w:tc>
        <w:tc>
          <w:tcPr>
            <w:tcW w:w="52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化学需氧量（mg/L）</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156</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156</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149</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161</w:t>
            </w:r>
          </w:p>
        </w:tc>
        <w:tc>
          <w:tcPr>
            <w:tcW w:w="69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156 </w:t>
            </w:r>
          </w:p>
        </w:tc>
        <w:tc>
          <w:tcPr>
            <w:tcW w:w="17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500</w:t>
            </w:r>
          </w:p>
        </w:tc>
        <w:tc>
          <w:tcPr>
            <w:tcW w:w="52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氨氮（mg/L）</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13.4</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13.0</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13.5</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13.3</w:t>
            </w:r>
          </w:p>
        </w:tc>
        <w:tc>
          <w:tcPr>
            <w:tcW w:w="69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13.3 </w:t>
            </w:r>
          </w:p>
        </w:tc>
        <w:tc>
          <w:tcPr>
            <w:tcW w:w="17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35*</w:t>
            </w:r>
            <w:r>
              <w:rPr>
                <w:rFonts w:hint="default" w:ascii="Times New Roman" w:hAnsi="Times New Roman" w:cs="Times New Roman"/>
                <w:bCs/>
                <w:kern w:val="0"/>
                <w:sz w:val="18"/>
                <w:szCs w:val="18"/>
                <w:vertAlign w:val="superscript"/>
              </w:rPr>
              <w:t>1</w:t>
            </w:r>
          </w:p>
        </w:tc>
        <w:tc>
          <w:tcPr>
            <w:tcW w:w="52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总磷（mg/L）</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1.87</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1.77</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1.81</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1.87</w:t>
            </w:r>
          </w:p>
        </w:tc>
        <w:tc>
          <w:tcPr>
            <w:tcW w:w="69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1.83 </w:t>
            </w:r>
          </w:p>
        </w:tc>
        <w:tc>
          <w:tcPr>
            <w:tcW w:w="17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w:t>
            </w:r>
            <w:r>
              <w:rPr>
                <w:rFonts w:hint="default" w:ascii="Times New Roman" w:hAnsi="Times New Roman" w:cs="Times New Roman"/>
                <w:bCs/>
                <w:kern w:val="0"/>
                <w:sz w:val="18"/>
                <w:szCs w:val="18"/>
                <w:vertAlign w:val="superscript"/>
              </w:rPr>
              <w:t>1</w:t>
            </w:r>
          </w:p>
        </w:tc>
        <w:tc>
          <w:tcPr>
            <w:tcW w:w="522"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动植物油类（mg/L）</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0.85</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0.51</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0.65</w:t>
            </w:r>
          </w:p>
        </w:tc>
        <w:tc>
          <w:tcPr>
            <w:tcW w:w="1240"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0.74</w:t>
            </w:r>
          </w:p>
        </w:tc>
        <w:tc>
          <w:tcPr>
            <w:tcW w:w="69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0.69 </w:t>
            </w:r>
          </w:p>
        </w:tc>
        <w:tc>
          <w:tcPr>
            <w:tcW w:w="17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100</w:t>
            </w:r>
          </w:p>
        </w:tc>
        <w:tc>
          <w:tcPr>
            <w:tcW w:w="522"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备注</w:t>
            </w:r>
          </w:p>
        </w:tc>
        <w:tc>
          <w:tcPr>
            <w:tcW w:w="7947" w:type="dxa"/>
            <w:gridSpan w:val="7"/>
            <w:noWrap w:val="0"/>
            <w:vAlign w:val="center"/>
          </w:tcPr>
          <w:p>
            <w:pPr>
              <w:widowControl/>
              <w:adjustRightInd w:val="0"/>
              <w:snapToGrid w:val="0"/>
              <w:jc w:val="left"/>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rPr>
              <w:t>1、“*</w:t>
            </w:r>
            <w:r>
              <w:rPr>
                <w:rFonts w:hint="default" w:ascii="Times New Roman" w:hAnsi="Times New Roman" w:cs="Times New Roman"/>
                <w:bCs/>
                <w:kern w:val="0"/>
                <w:sz w:val="18"/>
                <w:szCs w:val="18"/>
                <w:vertAlign w:val="superscript"/>
              </w:rPr>
              <w:t>1</w:t>
            </w:r>
            <w:r>
              <w:rPr>
                <w:rFonts w:hint="default" w:ascii="Times New Roman" w:hAnsi="Times New Roman" w:cs="Times New Roman"/>
                <w:bCs/>
                <w:kern w:val="0"/>
                <w:sz w:val="18"/>
                <w:szCs w:val="18"/>
              </w:rPr>
              <w:t>”表示氨氮、总磷纳管执行《工业企业废水氮、磷污染物间接排放限值》（DB 33/887-2013）表 1 中其他企业的排放限值。</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
          <w:bCs/>
          <w:sz w:val="10"/>
          <w:szCs w:val="10"/>
        </w:rPr>
      </w:pPr>
    </w:p>
    <w:p>
      <w:pPr>
        <w:snapToGrid w:val="0"/>
        <w:spacing w:before="163" w:beforeLines="50"/>
        <w:jc w:val="center"/>
        <w:rPr>
          <w:rFonts w:hint="eastAsia" w:ascii="Times New Roman" w:hAnsi="Times New Roman"/>
          <w:b/>
          <w:sz w:val="24"/>
          <w:szCs w:val="24"/>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2</w:t>
      </w:r>
      <w:r>
        <w:rPr>
          <w:rFonts w:hint="eastAsia" w:ascii="Times New Roman" w:hAnsi="Times New Roman"/>
          <w:b/>
          <w:bCs/>
          <w:szCs w:val="21"/>
        </w:rPr>
        <w:t>废水监测结果（</w:t>
      </w:r>
      <w:r>
        <w:rPr>
          <w:rFonts w:hint="eastAsia" w:ascii="Times New Roman" w:hAnsi="Times New Roman"/>
          <w:b/>
          <w:bCs/>
          <w:szCs w:val="21"/>
          <w:lang w:val="en-US" w:eastAsia="zh-CN"/>
        </w:rPr>
        <w:t>2</w:t>
      </w:r>
      <w:r>
        <w:rPr>
          <w:rFonts w:hint="eastAsia" w:ascii="Times New Roman" w:hAnsi="Times New Roman"/>
          <w:b/>
          <w:bCs/>
          <w:szCs w:val="21"/>
        </w:rPr>
        <w:t>）</w:t>
      </w:r>
    </w:p>
    <w:tbl>
      <w:tblPr>
        <w:tblStyle w:val="32"/>
        <w:tblW w:w="10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73"/>
        <w:gridCol w:w="1237"/>
        <w:gridCol w:w="1237"/>
        <w:gridCol w:w="1237"/>
        <w:gridCol w:w="1239"/>
        <w:gridCol w:w="704"/>
        <w:gridCol w:w="1781"/>
        <w:gridCol w:w="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采样日期</w:t>
            </w:r>
          </w:p>
        </w:tc>
        <w:tc>
          <w:tcPr>
            <w:tcW w:w="7947" w:type="dxa"/>
            <w:gridSpan w:val="7"/>
            <w:noWrap w:val="0"/>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检测日期</w:t>
            </w:r>
          </w:p>
        </w:tc>
        <w:tc>
          <w:tcPr>
            <w:tcW w:w="7947" w:type="dxa"/>
            <w:gridSpan w:val="7"/>
            <w:noWrap w:val="0"/>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2022年10月10日-12日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采样点位</w:t>
            </w:r>
          </w:p>
        </w:tc>
        <w:tc>
          <w:tcPr>
            <w:tcW w:w="7947" w:type="dxa"/>
            <w:gridSpan w:val="7"/>
            <w:noWrap w:val="0"/>
            <w:vAlign w:val="center"/>
          </w:tcPr>
          <w:p>
            <w:pP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生活污水排放口W1-2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173" w:type="dxa"/>
            <w:vMerge w:val="restart"/>
            <w:noWrap w:val="0"/>
            <w:vAlign w:val="center"/>
          </w:tcPr>
          <w:p>
            <w:pPr>
              <w:widowControl/>
              <w:adjustRightInd w:val="0"/>
              <w:snapToGrid w:val="0"/>
              <w:jc w:val="center"/>
              <w:rPr>
                <w:rFonts w:hint="default" w:ascii="Times New Roman" w:hAnsi="Times New Roman" w:cs="Times New Roman"/>
                <w:sz w:val="18"/>
                <w:highlight w:val="none"/>
              </w:rPr>
            </w:pPr>
            <w:r>
              <w:rPr>
                <w:rFonts w:hint="default" w:ascii="Times New Roman" w:hAnsi="Times New Roman" w:cs="Times New Roman"/>
                <w:bCs/>
                <w:kern w:val="0"/>
                <w:sz w:val="18"/>
                <w:szCs w:val="18"/>
                <w:highlight w:val="none"/>
                <w:lang w:val="zh-CN"/>
              </w:rPr>
              <mc:AlternateContent>
                <mc:Choice Requires="wps">
                  <w:drawing>
                    <wp:anchor distT="0" distB="0" distL="114300" distR="114300" simplePos="0" relativeHeight="251673600" behindDoc="0" locked="0" layoutInCell="1" allowOverlap="1">
                      <wp:simplePos x="0" y="0"/>
                      <wp:positionH relativeFrom="column">
                        <wp:posOffset>-15875</wp:posOffset>
                      </wp:positionH>
                      <wp:positionV relativeFrom="paragraph">
                        <wp:posOffset>10795</wp:posOffset>
                      </wp:positionV>
                      <wp:extent cx="1387475" cy="376555"/>
                      <wp:effectExtent l="1270" t="4445" r="1905" b="19050"/>
                      <wp:wrapNone/>
                      <wp:docPr id="32" name="直接连接符 32"/>
                      <wp:cNvGraphicFramePr/>
                      <a:graphic xmlns:a="http://schemas.openxmlformats.org/drawingml/2006/main">
                        <a:graphicData uri="http://schemas.microsoft.com/office/word/2010/wordprocessingShape">
                          <wps:wsp>
                            <wps:cNvCnPr/>
                            <wps:spPr>
                              <a:xfrm>
                                <a:off x="0" y="0"/>
                                <a:ext cx="1387475" cy="3765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pt;margin-top:0.85pt;height:29.65pt;width:109.25pt;z-index:251673600;mso-width-relative:page;mso-height-relative:page;" filled="f" stroked="t" coordsize="21600,21600" o:gfxdata="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mg7T1QAAAAcBAAAPAAAAAAAAAAEAIAAAACIAAABkcnMvZG93bnJldi54bWxQ&#10;SwECFAAUAAAACACHTuJAEkS7EvoBAADrAwAADgAAAAAAAAABACAAAAAk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b/>
                <w:bCs/>
                <w:kern w:val="0"/>
                <w:szCs w:val="21"/>
                <w:highlight w:val="none"/>
              </w:rPr>
              <mc:AlternateContent>
                <mc:Choice Requires="wps">
                  <w:drawing>
                    <wp:anchor distT="0" distB="0" distL="114300" distR="114300" simplePos="0" relativeHeight="251668480" behindDoc="0" locked="0" layoutInCell="1" allowOverlap="1">
                      <wp:simplePos x="0" y="0"/>
                      <wp:positionH relativeFrom="column">
                        <wp:posOffset>707390</wp:posOffset>
                      </wp:positionH>
                      <wp:positionV relativeFrom="paragraph">
                        <wp:posOffset>-4445</wp:posOffset>
                      </wp:positionV>
                      <wp:extent cx="792480" cy="304165"/>
                      <wp:effectExtent l="0" t="0" r="0" b="0"/>
                      <wp:wrapNone/>
                      <wp:docPr id="30" name="矩形 30"/>
                      <wp:cNvGraphicFramePr/>
                      <a:graphic xmlns:a="http://schemas.openxmlformats.org/drawingml/2006/main">
                        <a:graphicData uri="http://schemas.microsoft.com/office/word/2010/wordprocessingShape">
                          <wps:wsp>
                            <wps:cNvSpPr/>
                            <wps:spPr>
                              <a:xfrm>
                                <a:off x="0" y="0"/>
                                <a:ext cx="792480" cy="304165"/>
                              </a:xfrm>
                              <a:prstGeom prst="rect">
                                <a:avLst/>
                              </a:prstGeom>
                              <a:noFill/>
                              <a:ln>
                                <a:noFill/>
                              </a:ln>
                            </wps:spPr>
                            <wps:txbx>
                              <w:txbxContent>
                                <w:p>
                                  <w:pPr>
                                    <w:rPr>
                                      <w:bCs/>
                                      <w:kern w:val="0"/>
                                      <w:sz w:val="18"/>
                                      <w:szCs w:val="18"/>
                                    </w:rPr>
                                  </w:pPr>
                                  <w:r>
                                    <w:rPr>
                                      <w:rFonts w:hint="eastAsia"/>
                                      <w:bCs/>
                                      <w:kern w:val="0"/>
                                      <w:sz w:val="18"/>
                                      <w:szCs w:val="18"/>
                                    </w:rPr>
                                    <w:t>样品编号</w:t>
                                  </w:r>
                                </w:p>
                              </w:txbxContent>
                            </wps:txbx>
                            <wps:bodyPr upright="1"/>
                          </wps:wsp>
                        </a:graphicData>
                      </a:graphic>
                    </wp:anchor>
                  </w:drawing>
                </mc:Choice>
                <mc:Fallback>
                  <w:pict>
                    <v:rect id="_x0000_s1026" o:spid="_x0000_s1026" o:spt="1" style="position:absolute;left:0pt;margin-left:55.7pt;margin-top:-0.35pt;height:23.95pt;width:62.4pt;z-index:251668480;mso-width-relative:page;mso-height-relative:page;" filled="f" stroked="f" coordsize="21600,21600" o:gfxdata="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u5O8F2QAAAAgBAAAPAAAA&#10;AAAAAAEAIAAAACIAAABkcnMvZG93bnJldi54bWxQSwECFAAUAAAACACHTuJAzmQgW6IBAABCAwAA&#10;DgAAAAAAAAABACAAAAAoAQAAZHJzL2Uyb0RvYy54bWxQSwUGAAAAAAYABgBZAQAAPAUAAAAA&#10;">
                      <v:fill on="f" focussize="0,0"/>
                      <v:stroke on="f"/>
                      <v:imagedata o:title=""/>
                      <o:lock v:ext="edit" aspectratio="f"/>
                      <v:textbox>
                        <w:txbxContent>
                          <w:p>
                            <w:pPr>
                              <w:rPr>
                                <w:bCs/>
                                <w:kern w:val="0"/>
                                <w:sz w:val="18"/>
                                <w:szCs w:val="18"/>
                              </w:rPr>
                            </w:pPr>
                            <w:r>
                              <w:rPr>
                                <w:rFonts w:hint="eastAsia"/>
                                <w:bCs/>
                                <w:kern w:val="0"/>
                                <w:sz w:val="18"/>
                                <w:szCs w:val="18"/>
                              </w:rPr>
                              <w:t>样品编号</w:t>
                            </w:r>
                          </w:p>
                        </w:txbxContent>
                      </v:textbox>
                    </v:rect>
                  </w:pict>
                </mc:Fallback>
              </mc:AlternateContent>
            </w:r>
            <w:r>
              <w:rPr>
                <w:rFonts w:hint="default" w:ascii="Times New Roman" w:hAnsi="Times New Roman" w:cs="Times New Roman"/>
                <w:sz w:val="18"/>
                <w:highlight w:val="none"/>
              </w:rPr>
              <mc:AlternateContent>
                <mc:Choice Requires="wps">
                  <w:drawing>
                    <wp:anchor distT="0" distB="0" distL="114300" distR="114300" simplePos="0" relativeHeight="251671552" behindDoc="0" locked="0" layoutInCell="1" allowOverlap="1">
                      <wp:simplePos x="0" y="0"/>
                      <wp:positionH relativeFrom="column">
                        <wp:posOffset>-14605</wp:posOffset>
                      </wp:positionH>
                      <wp:positionV relativeFrom="paragraph">
                        <wp:posOffset>5080</wp:posOffset>
                      </wp:positionV>
                      <wp:extent cx="1386205" cy="777875"/>
                      <wp:effectExtent l="2540" t="4445" r="1905" b="17780"/>
                      <wp:wrapNone/>
                      <wp:docPr id="38" name="直接连接符 38"/>
                      <wp:cNvGraphicFramePr/>
                      <a:graphic xmlns:a="http://schemas.openxmlformats.org/drawingml/2006/main">
                        <a:graphicData uri="http://schemas.microsoft.com/office/word/2010/wordprocessingShape">
                          <wps:wsp>
                            <wps:cNvCnPr/>
                            <wps:spPr>
                              <a:xfrm>
                                <a:off x="0" y="0"/>
                                <a:ext cx="1386205" cy="7778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5pt;margin-top:0.4pt;height:61.25pt;width:109.15pt;z-index:251671552;mso-width-relative:page;mso-height-relative:page;" filled="f" stroked="t" coordsize="21600,21600" o:gfxdata="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M3f4nUAAAABwEAAA8AAAAAAAAAAQAgAAAAIgAAAGRycy9kb3ducmV2LnhtbFBL&#10;AQIUABQAAAAIAIdO4kCBcBpR+gEAAOsDAAAOAAAAAAAAAAEAIAAAACMBAABkcnMvZTJvRG9jLnht&#10;bFBLBQYAAAAABgAGAFkBAACPBQAAAAA=&#10;">
                      <v:fill on="f" focussize="0,0"/>
                      <v:stroke color="#000000" joinstyle="round"/>
                      <v:imagedata o:title=""/>
                      <o:lock v:ext="edit" aspectratio="f"/>
                    </v:line>
                  </w:pict>
                </mc:Fallback>
              </mc:AlternateContent>
            </w:r>
            <w:r>
              <w:rPr>
                <w:rFonts w:hint="default" w:ascii="Times New Roman" w:hAnsi="Times New Roman" w:cs="Times New Roman"/>
                <w:sz w:val="18"/>
                <w:highlight w:val="none"/>
              </w:rPr>
              <mc:AlternateContent>
                <mc:Choice Requires="wps">
                  <w:drawing>
                    <wp:anchor distT="0" distB="0" distL="114300" distR="114300" simplePos="0" relativeHeight="251672576" behindDoc="0" locked="0" layoutInCell="1" allowOverlap="1">
                      <wp:simplePos x="0" y="0"/>
                      <wp:positionH relativeFrom="column">
                        <wp:posOffset>-15875</wp:posOffset>
                      </wp:positionH>
                      <wp:positionV relativeFrom="paragraph">
                        <wp:posOffset>1270</wp:posOffset>
                      </wp:positionV>
                      <wp:extent cx="723265" cy="786765"/>
                      <wp:effectExtent l="3810" t="3175" r="15875" b="10160"/>
                      <wp:wrapNone/>
                      <wp:docPr id="31" name="直接连接符 31"/>
                      <wp:cNvGraphicFramePr/>
                      <a:graphic xmlns:a="http://schemas.openxmlformats.org/drawingml/2006/main">
                        <a:graphicData uri="http://schemas.microsoft.com/office/word/2010/wordprocessingShape">
                          <wps:wsp>
                            <wps:cNvCnPr/>
                            <wps:spPr>
                              <a:xfrm>
                                <a:off x="0" y="0"/>
                                <a:ext cx="723265" cy="7867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pt;margin-top:0.1pt;height:61.95pt;width:56.95pt;z-index:251672576;mso-width-relative:page;mso-height-relative:page;" filled="f" stroked="t" coordsize="21600,21600" o:gfxdata="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5ji01AAAAAcBAAAPAAAAAAAAAAEAIAAAACIAAABkcnMvZG93bnJldi54bWxQSwEC&#10;FAAUAAAACACHTuJAgBiq5vgBAADqAwAADgAAAAAAAAABACAAAAAjAQAAZHJzL2Uyb0RvYy54bWxQ&#10;SwUGAAAAAAYABgBZAQAAjQUAAAAA&#10;">
                      <v:fill on="f" focussize="0,0"/>
                      <v:stroke color="#000000" joinstyle="round"/>
                      <v:imagedata o:title=""/>
                      <o:lock v:ext="edit" aspectratio="f"/>
                    </v:line>
                  </w:pict>
                </mc:Fallback>
              </mc:AlternateContent>
            </w:r>
            <w:r>
              <w:rPr>
                <w:rFonts w:hint="default" w:ascii="Times New Roman" w:hAnsi="Times New Roman" w:cs="Times New Roman"/>
                <w:bCs/>
                <w:kern w:val="0"/>
                <w:sz w:val="18"/>
                <w:szCs w:val="18"/>
                <w:highlight w:val="none"/>
              </w:rPr>
              <w:t xml:space="preserve">               </w:t>
            </w:r>
          </w:p>
          <w:p>
            <w:pPr>
              <w:widowControl/>
              <w:adjustRightInd w:val="0"/>
              <w:snapToGrid w:val="0"/>
              <w:jc w:val="center"/>
              <w:rPr>
                <w:rFonts w:hint="default" w:ascii="Times New Roman" w:hAnsi="Times New Roman" w:cs="Times New Roman"/>
                <w:bCs/>
                <w:kern w:val="0"/>
                <w:sz w:val="18"/>
                <w:szCs w:val="18"/>
                <w:highlight w:val="none"/>
              </w:rPr>
            </w:pPr>
          </w:p>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
                <w:bCs/>
                <w:kern w:val="0"/>
                <w:szCs w:val="21"/>
                <w:highlight w:val="none"/>
              </w:rPr>
              <mc:AlternateContent>
                <mc:Choice Requires="wps">
                  <w:drawing>
                    <wp:anchor distT="0" distB="0" distL="114300" distR="114300" simplePos="0" relativeHeight="251670528" behindDoc="0" locked="0" layoutInCell="1" allowOverlap="1">
                      <wp:simplePos x="0" y="0"/>
                      <wp:positionH relativeFrom="column">
                        <wp:posOffset>679450</wp:posOffset>
                      </wp:positionH>
                      <wp:positionV relativeFrom="paragraph">
                        <wp:posOffset>11430</wp:posOffset>
                      </wp:positionV>
                      <wp:extent cx="792480" cy="304165"/>
                      <wp:effectExtent l="0" t="0" r="0" b="0"/>
                      <wp:wrapNone/>
                      <wp:docPr id="44" name="矩形 44"/>
                      <wp:cNvGraphicFramePr/>
                      <a:graphic xmlns:a="http://schemas.openxmlformats.org/drawingml/2006/main">
                        <a:graphicData uri="http://schemas.microsoft.com/office/word/2010/wordprocessingShape">
                          <wps:wsp>
                            <wps:cNvSpPr/>
                            <wps:spPr>
                              <a:xfrm>
                                <a:off x="0" y="0"/>
                                <a:ext cx="792480" cy="304165"/>
                              </a:xfrm>
                              <a:prstGeom prst="rect">
                                <a:avLst/>
                              </a:prstGeom>
                              <a:noFill/>
                              <a:ln>
                                <a:noFill/>
                              </a:ln>
                            </wps:spPr>
                            <wps:txbx>
                              <w:txbxContent>
                                <w:p>
                                  <w:pPr>
                                    <w:rPr>
                                      <w:bCs/>
                                      <w:kern w:val="0"/>
                                      <w:sz w:val="18"/>
                                      <w:szCs w:val="18"/>
                                    </w:rPr>
                                  </w:pPr>
                                  <w:r>
                                    <w:rPr>
                                      <w:rFonts w:hint="eastAsia"/>
                                      <w:bCs/>
                                      <w:kern w:val="0"/>
                                      <w:sz w:val="18"/>
                                      <w:szCs w:val="18"/>
                                    </w:rPr>
                                    <w:t>样品性状</w:t>
                                  </w:r>
                                </w:p>
                              </w:txbxContent>
                            </wps:txbx>
                            <wps:bodyPr upright="1"/>
                          </wps:wsp>
                        </a:graphicData>
                      </a:graphic>
                    </wp:anchor>
                  </w:drawing>
                </mc:Choice>
                <mc:Fallback>
                  <w:pict>
                    <v:rect id="_x0000_s1026" o:spid="_x0000_s1026" o:spt="1" style="position:absolute;left:0pt;margin-left:53.5pt;margin-top:0.9pt;height:23.95pt;width:62.4pt;z-index:251670528;mso-width-relative:page;mso-height-relative:page;" filled="f" stroked="f" coordsize="21600,21600" o:gfxdata="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5gj13YAAAACAEAAA8AAAAA&#10;AAAAAQAgAAAAIgAAAGRycy9kb3ducmV2LnhtbFBLAQIUABQAAAAIAIdO4kCDAPNFogEAAEIDAAAO&#10;AAAAAAAAAAEAIAAAACcBAABkcnMvZTJvRG9jLnhtbFBLBQYAAAAABgAGAFkBAAA7BQAAAAA=&#10;">
                      <v:fill on="f" focussize="0,0"/>
                      <v:stroke on="f"/>
                      <v:imagedata o:title=""/>
                      <o:lock v:ext="edit" aspectratio="f"/>
                      <v:textbox>
                        <w:txbxContent>
                          <w:p>
                            <w:pPr>
                              <w:rPr>
                                <w:bCs/>
                                <w:kern w:val="0"/>
                                <w:sz w:val="18"/>
                                <w:szCs w:val="18"/>
                              </w:rPr>
                            </w:pPr>
                            <w:r>
                              <w:rPr>
                                <w:rFonts w:hint="eastAsia"/>
                                <w:bCs/>
                                <w:kern w:val="0"/>
                                <w:sz w:val="18"/>
                                <w:szCs w:val="18"/>
                              </w:rPr>
                              <w:t>样品性状</w:t>
                            </w:r>
                          </w:p>
                        </w:txbxContent>
                      </v:textbox>
                    </v:rect>
                  </w:pict>
                </mc:Fallback>
              </mc:AlternateContent>
            </w:r>
            <w:r>
              <w:rPr>
                <w:rFonts w:hint="default" w:ascii="Times New Roman" w:hAnsi="Times New Roman" w:cs="Times New Roman"/>
                <w:bCs/>
                <w:kern w:val="0"/>
                <w:sz w:val="18"/>
                <w:szCs w:val="18"/>
                <w:highlight w:val="none"/>
              </w:rPr>
              <w:t xml:space="preserve">               </w:t>
            </w:r>
          </w:p>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eastAsia="仿宋_GB2312" w:cs="Times New Roman"/>
                <w:b/>
                <w:sz w:val="24"/>
                <w:highlight w:val="none"/>
                <w:lang w:val="zh-CN"/>
              </w:rPr>
              <mc:AlternateContent>
                <mc:Choice Requires="wps">
                  <w:drawing>
                    <wp:anchor distT="0" distB="0" distL="114300" distR="114300" simplePos="0" relativeHeight="251675648" behindDoc="0" locked="0" layoutInCell="1" allowOverlap="1">
                      <wp:simplePos x="0" y="0"/>
                      <wp:positionH relativeFrom="column">
                        <wp:posOffset>-83185</wp:posOffset>
                      </wp:positionH>
                      <wp:positionV relativeFrom="paragraph">
                        <wp:posOffset>84455</wp:posOffset>
                      </wp:positionV>
                      <wp:extent cx="792480" cy="304165"/>
                      <wp:effectExtent l="0" t="0" r="0" b="0"/>
                      <wp:wrapNone/>
                      <wp:docPr id="59" name="矩形 59"/>
                      <wp:cNvGraphicFramePr/>
                      <a:graphic xmlns:a="http://schemas.openxmlformats.org/drawingml/2006/main">
                        <a:graphicData uri="http://schemas.microsoft.com/office/word/2010/wordprocessingShape">
                          <wps:wsp>
                            <wps:cNvSpPr/>
                            <wps:spPr>
                              <a:xfrm>
                                <a:off x="0" y="0"/>
                                <a:ext cx="792480" cy="304165"/>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upright="1"/>
                          </wps:wsp>
                        </a:graphicData>
                      </a:graphic>
                    </wp:anchor>
                  </w:drawing>
                </mc:Choice>
                <mc:Fallback>
                  <w:pict>
                    <v:rect id="_x0000_s1026" o:spid="_x0000_s1026" o:spt="1" style="position:absolute;left:0pt;margin-left:-6.55pt;margin-top:6.65pt;height:23.95pt;width:62.4pt;z-index:251675648;mso-width-relative:page;mso-height-relative:page;" filled="f" stroked="f" coordsize="21600,21600" o:gfxdata="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3PdSNkAAAAJAQAADwAA&#10;AAAAAAABACAAAAAiAAAAZHJzL2Rvd25yZXYueG1sUEsBAhQAFAAAAAgAh07iQIJkIt+jAQAAQgMA&#10;AA4AAAAAAAAAAQAgAAAAKA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
                <w:bCs/>
                <w:kern w:val="0"/>
                <w:szCs w:val="21"/>
                <w:highlight w:val="none"/>
              </w:rPr>
              <mc:AlternateContent>
                <mc:Choice Requires="wps">
                  <w:drawing>
                    <wp:anchor distT="0" distB="0" distL="114300" distR="114300" simplePos="0" relativeHeight="251669504" behindDoc="0" locked="0" layoutInCell="1" allowOverlap="1">
                      <wp:simplePos x="0" y="0"/>
                      <wp:positionH relativeFrom="column">
                        <wp:posOffset>454025</wp:posOffset>
                      </wp:positionH>
                      <wp:positionV relativeFrom="paragraph">
                        <wp:posOffset>76835</wp:posOffset>
                      </wp:positionV>
                      <wp:extent cx="792480" cy="304165"/>
                      <wp:effectExtent l="0" t="0" r="0" b="0"/>
                      <wp:wrapNone/>
                      <wp:docPr id="45" name="矩形 45"/>
                      <wp:cNvGraphicFramePr/>
                      <a:graphic xmlns:a="http://schemas.openxmlformats.org/drawingml/2006/main">
                        <a:graphicData uri="http://schemas.microsoft.com/office/word/2010/wordprocessingShape">
                          <wps:wsp>
                            <wps:cNvSpPr/>
                            <wps:spPr>
                              <a:xfrm>
                                <a:off x="0" y="0"/>
                                <a:ext cx="792480" cy="304165"/>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upright="1"/>
                          </wps:wsp>
                        </a:graphicData>
                      </a:graphic>
                    </wp:anchor>
                  </w:drawing>
                </mc:Choice>
                <mc:Fallback>
                  <w:pict>
                    <v:rect id="_x0000_s1026" o:spid="_x0000_s1026" o:spt="1" style="position:absolute;left:0pt;margin-left:35.75pt;margin-top:6.05pt;height:23.95pt;width:62.4pt;z-index:251669504;mso-width-relative:page;mso-height-relative:page;" filled="f" stroked="f" coordsize="21600,21600" o:gfxdata="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Sdj0NkAAAAIAQAADwAA&#10;AAAAAAABACAAAAAiAAAAZHJzL2Rvd25yZXYueG1sUEsBAhQAFAAAAAgAh07iQAX/U96jAQAAQgMA&#10;AA4AAAAAAAAAAQAgAAAAKA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w:hAnsi="Times New Roman" w:cs="Times New Roman"/>
                <w:bCs/>
                <w:kern w:val="0"/>
                <w:sz w:val="18"/>
                <w:szCs w:val="18"/>
                <w:highlight w:val="none"/>
              </w:rPr>
              <w:t xml:space="preserve">       </w:t>
            </w:r>
          </w:p>
          <w:p>
            <w:pPr>
              <w:widowControl/>
              <w:adjustRightInd w:val="0"/>
              <w:snapToGrid w:val="0"/>
              <w:ind w:firstLine="180" w:firstLineChars="100"/>
              <w:rPr>
                <w:rFonts w:hint="default" w:ascii="Times New Roman" w:hAnsi="Times New Roman" w:cs="Times New Roman"/>
                <w:bCs/>
                <w:kern w:val="0"/>
                <w:sz w:val="18"/>
                <w:szCs w:val="18"/>
                <w:highlight w:val="none"/>
              </w:rPr>
            </w:pPr>
          </w:p>
        </w:tc>
        <w:tc>
          <w:tcPr>
            <w:tcW w:w="1237"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20220902b</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W1-2-01</w:t>
            </w:r>
          </w:p>
        </w:tc>
        <w:tc>
          <w:tcPr>
            <w:tcW w:w="1237"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20220902b</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W1-2-02</w:t>
            </w:r>
          </w:p>
        </w:tc>
        <w:tc>
          <w:tcPr>
            <w:tcW w:w="1237"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20220902b</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W1-2-03</w:t>
            </w:r>
          </w:p>
        </w:tc>
        <w:tc>
          <w:tcPr>
            <w:tcW w:w="1239"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20220902b</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W1-2-04</w:t>
            </w:r>
          </w:p>
        </w:tc>
        <w:tc>
          <w:tcPr>
            <w:tcW w:w="704" w:type="dxa"/>
            <w:vMerge w:val="restart"/>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平均值</w:t>
            </w:r>
          </w:p>
        </w:tc>
        <w:tc>
          <w:tcPr>
            <w:tcW w:w="1781" w:type="dxa"/>
            <w:vMerge w:val="restart"/>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《污水综合排放标准》</w:t>
            </w:r>
          </w:p>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（GB 8978-1996）</w:t>
            </w:r>
          </w:p>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表4 三级</w:t>
            </w:r>
          </w:p>
        </w:tc>
        <w:tc>
          <w:tcPr>
            <w:tcW w:w="512" w:type="dxa"/>
            <w:vMerge w:val="restart"/>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173" w:type="dxa"/>
            <w:vMerge w:val="continue"/>
            <w:noWrap w:val="0"/>
            <w:vAlign w:val="center"/>
          </w:tcPr>
          <w:p>
            <w:pPr>
              <w:widowControl/>
              <w:adjustRightInd w:val="0"/>
              <w:snapToGrid w:val="0"/>
              <w:jc w:val="center"/>
              <w:rPr>
                <w:rFonts w:hint="default" w:ascii="Times New Roman" w:hAnsi="Times New Roman" w:cs="Times New Roman"/>
                <w:sz w:val="18"/>
                <w:highlight w:val="none"/>
              </w:rPr>
            </w:pP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yellow"/>
                <w:lang w:val="en-US" w:eastAsia="zh-CN" w:bidi="ar-SA"/>
              </w:rPr>
            </w:pPr>
            <w:r>
              <w:rPr>
                <w:rFonts w:hint="default" w:ascii="Times New Roman" w:hAnsi="Times New Roman" w:cs="Times New Roman"/>
                <w:bCs/>
                <w:kern w:val="0"/>
                <w:sz w:val="18"/>
                <w:szCs w:val="18"/>
              </w:rPr>
              <w:t>浅黄、微浊</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yellow"/>
                <w:lang w:val="en-US" w:eastAsia="zh-CN" w:bidi="ar-SA"/>
              </w:rPr>
            </w:pPr>
            <w:r>
              <w:rPr>
                <w:rFonts w:hint="default" w:ascii="Times New Roman" w:hAnsi="Times New Roman" w:cs="Times New Roman"/>
                <w:bCs/>
                <w:kern w:val="0"/>
                <w:sz w:val="18"/>
                <w:szCs w:val="18"/>
              </w:rPr>
              <w:t>浅黄、微浊</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yellow"/>
                <w:lang w:val="en-US" w:eastAsia="zh-CN" w:bidi="ar-SA"/>
              </w:rPr>
            </w:pPr>
            <w:r>
              <w:rPr>
                <w:rFonts w:hint="default" w:ascii="Times New Roman" w:hAnsi="Times New Roman" w:cs="Times New Roman"/>
                <w:bCs/>
                <w:kern w:val="0"/>
                <w:sz w:val="18"/>
                <w:szCs w:val="18"/>
              </w:rPr>
              <w:t>浅黄、微浊</w:t>
            </w:r>
          </w:p>
        </w:tc>
        <w:tc>
          <w:tcPr>
            <w:tcW w:w="12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yellow"/>
                <w:lang w:val="en-US" w:eastAsia="zh-CN" w:bidi="ar-SA"/>
              </w:rPr>
            </w:pPr>
            <w:r>
              <w:rPr>
                <w:rFonts w:hint="default" w:ascii="Times New Roman" w:hAnsi="Times New Roman" w:cs="Times New Roman"/>
                <w:bCs/>
                <w:kern w:val="0"/>
                <w:sz w:val="18"/>
                <w:szCs w:val="18"/>
              </w:rPr>
              <w:t>浅黄、微浊</w:t>
            </w:r>
          </w:p>
        </w:tc>
        <w:tc>
          <w:tcPr>
            <w:tcW w:w="704" w:type="dxa"/>
            <w:vMerge w:val="continue"/>
            <w:noWrap w:val="0"/>
            <w:vAlign w:val="center"/>
          </w:tcPr>
          <w:p>
            <w:pPr>
              <w:widowControl/>
              <w:adjustRightInd w:val="0"/>
              <w:snapToGrid w:val="0"/>
              <w:jc w:val="center"/>
              <w:rPr>
                <w:rFonts w:hint="default" w:ascii="Times New Roman" w:hAnsi="Times New Roman" w:cs="Times New Roman"/>
                <w:bCs/>
                <w:kern w:val="0"/>
                <w:sz w:val="18"/>
                <w:szCs w:val="18"/>
                <w:highlight w:val="none"/>
              </w:rPr>
            </w:pPr>
          </w:p>
        </w:tc>
        <w:tc>
          <w:tcPr>
            <w:tcW w:w="1781" w:type="dxa"/>
            <w:vMerge w:val="continue"/>
            <w:noWrap w:val="0"/>
            <w:vAlign w:val="center"/>
          </w:tcPr>
          <w:p>
            <w:pPr>
              <w:widowControl/>
              <w:adjustRightInd w:val="0"/>
              <w:snapToGrid w:val="0"/>
              <w:jc w:val="center"/>
              <w:rPr>
                <w:rFonts w:hint="default" w:ascii="Times New Roman" w:hAnsi="Times New Roman" w:cs="Times New Roman"/>
                <w:bCs/>
                <w:kern w:val="0"/>
                <w:sz w:val="18"/>
                <w:szCs w:val="18"/>
                <w:highlight w:val="none"/>
              </w:rPr>
            </w:pPr>
          </w:p>
        </w:tc>
        <w:tc>
          <w:tcPr>
            <w:tcW w:w="512" w:type="dxa"/>
            <w:vMerge w:val="continue"/>
            <w:noWrap w:val="0"/>
            <w:vAlign w:val="center"/>
          </w:tcPr>
          <w:p>
            <w:pPr>
              <w:widowControl/>
              <w:adjustRightInd w:val="0"/>
              <w:snapToGrid w:val="0"/>
              <w:jc w:val="center"/>
              <w:rPr>
                <w:rFonts w:hint="default" w:ascii="Times New Roman" w:hAnsi="Times New Roman" w:cs="Times New Roman"/>
                <w:bCs/>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pH（无量纲）</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8.1（17.1℃）</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8.1（17.2℃）</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8.1（17.4℃）</w:t>
            </w:r>
          </w:p>
        </w:tc>
        <w:tc>
          <w:tcPr>
            <w:tcW w:w="12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8.1（17.6℃）</w:t>
            </w:r>
          </w:p>
        </w:tc>
        <w:tc>
          <w:tcPr>
            <w:tcW w:w="70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yellow"/>
                <w:lang w:val="en-US" w:eastAsia="zh-CN" w:bidi="ar-SA"/>
              </w:rPr>
            </w:pPr>
            <w:r>
              <w:rPr>
                <w:rFonts w:hint="default" w:ascii="Times New Roman" w:hAnsi="Times New Roman" w:cs="Times New Roman"/>
                <w:bCs/>
                <w:kern w:val="0"/>
                <w:sz w:val="18"/>
                <w:szCs w:val="18"/>
              </w:rPr>
              <w:t>8.1</w:t>
            </w:r>
          </w:p>
        </w:tc>
        <w:tc>
          <w:tcPr>
            <w:tcW w:w="178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6-9</w:t>
            </w:r>
          </w:p>
        </w:tc>
        <w:tc>
          <w:tcPr>
            <w:tcW w:w="51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悬浮物（mg/L）</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74</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58</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w:t>
            </w:r>
          </w:p>
        </w:tc>
        <w:tc>
          <w:tcPr>
            <w:tcW w:w="12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65</w:t>
            </w:r>
          </w:p>
        </w:tc>
        <w:tc>
          <w:tcPr>
            <w:tcW w:w="70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67 </w:t>
            </w:r>
          </w:p>
        </w:tc>
        <w:tc>
          <w:tcPr>
            <w:tcW w:w="178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400</w:t>
            </w:r>
          </w:p>
        </w:tc>
        <w:tc>
          <w:tcPr>
            <w:tcW w:w="51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化学需氧量（mg/L）</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144</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135</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138</w:t>
            </w:r>
          </w:p>
        </w:tc>
        <w:tc>
          <w:tcPr>
            <w:tcW w:w="12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145</w:t>
            </w:r>
          </w:p>
        </w:tc>
        <w:tc>
          <w:tcPr>
            <w:tcW w:w="70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141 </w:t>
            </w:r>
          </w:p>
        </w:tc>
        <w:tc>
          <w:tcPr>
            <w:tcW w:w="178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500</w:t>
            </w:r>
          </w:p>
        </w:tc>
        <w:tc>
          <w:tcPr>
            <w:tcW w:w="51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氨氮（mg/L）</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12.7</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13.0</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12.0</w:t>
            </w:r>
          </w:p>
        </w:tc>
        <w:tc>
          <w:tcPr>
            <w:tcW w:w="12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12.4</w:t>
            </w:r>
          </w:p>
        </w:tc>
        <w:tc>
          <w:tcPr>
            <w:tcW w:w="70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12.5 </w:t>
            </w:r>
          </w:p>
        </w:tc>
        <w:tc>
          <w:tcPr>
            <w:tcW w:w="178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35*</w:t>
            </w:r>
            <w:r>
              <w:rPr>
                <w:rFonts w:hint="default" w:ascii="Times New Roman" w:hAnsi="Times New Roman" w:cs="Times New Roman"/>
                <w:bCs/>
                <w:kern w:val="0"/>
                <w:sz w:val="18"/>
                <w:szCs w:val="18"/>
                <w:vertAlign w:val="superscript"/>
              </w:rPr>
              <w:t>1</w:t>
            </w:r>
          </w:p>
        </w:tc>
        <w:tc>
          <w:tcPr>
            <w:tcW w:w="51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总磷（mg/L）</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2.14</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2.13</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2.07</w:t>
            </w:r>
          </w:p>
        </w:tc>
        <w:tc>
          <w:tcPr>
            <w:tcW w:w="12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2.15</w:t>
            </w:r>
          </w:p>
        </w:tc>
        <w:tc>
          <w:tcPr>
            <w:tcW w:w="70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2.12 </w:t>
            </w:r>
          </w:p>
        </w:tc>
        <w:tc>
          <w:tcPr>
            <w:tcW w:w="178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w:t>
            </w:r>
            <w:r>
              <w:rPr>
                <w:rFonts w:hint="default" w:ascii="Times New Roman" w:hAnsi="Times New Roman" w:cs="Times New Roman"/>
                <w:bCs/>
                <w:kern w:val="0"/>
                <w:sz w:val="18"/>
                <w:szCs w:val="18"/>
                <w:vertAlign w:val="superscript"/>
              </w:rPr>
              <w:t>1</w:t>
            </w:r>
          </w:p>
        </w:tc>
        <w:tc>
          <w:tcPr>
            <w:tcW w:w="512"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动植物油类（mg/L）</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0.78</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0.45</w:t>
            </w:r>
          </w:p>
        </w:tc>
        <w:tc>
          <w:tcPr>
            <w:tcW w:w="123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0.57</w:t>
            </w:r>
          </w:p>
        </w:tc>
        <w:tc>
          <w:tcPr>
            <w:tcW w:w="12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0.80</w:t>
            </w:r>
          </w:p>
        </w:tc>
        <w:tc>
          <w:tcPr>
            <w:tcW w:w="704"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0.65 </w:t>
            </w:r>
          </w:p>
        </w:tc>
        <w:tc>
          <w:tcPr>
            <w:tcW w:w="178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100</w:t>
            </w:r>
          </w:p>
        </w:tc>
        <w:tc>
          <w:tcPr>
            <w:tcW w:w="512"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73" w:type="dxa"/>
            <w:noWrap w:val="0"/>
            <w:vAlign w:val="center"/>
          </w:tcPr>
          <w:p>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备注</w:t>
            </w:r>
          </w:p>
        </w:tc>
        <w:tc>
          <w:tcPr>
            <w:tcW w:w="7947" w:type="dxa"/>
            <w:gridSpan w:val="7"/>
            <w:noWrap w:val="0"/>
            <w:vAlign w:val="center"/>
          </w:tcPr>
          <w:p>
            <w:pPr>
              <w:widowControl/>
              <w:adjustRightInd w:val="0"/>
              <w:snapToGrid w:val="0"/>
              <w:jc w:val="left"/>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rPr>
              <w:t>1、“*</w:t>
            </w:r>
            <w:r>
              <w:rPr>
                <w:rFonts w:hint="default" w:ascii="Times New Roman" w:hAnsi="Times New Roman" w:cs="Times New Roman"/>
                <w:bCs/>
                <w:kern w:val="0"/>
                <w:sz w:val="18"/>
                <w:szCs w:val="18"/>
                <w:vertAlign w:val="superscript"/>
              </w:rPr>
              <w:t>1</w:t>
            </w:r>
            <w:r>
              <w:rPr>
                <w:rFonts w:hint="default" w:ascii="Times New Roman" w:hAnsi="Times New Roman" w:cs="Times New Roman"/>
                <w:bCs/>
                <w:kern w:val="0"/>
                <w:sz w:val="18"/>
                <w:szCs w:val="18"/>
              </w:rPr>
              <w:t>”表示氨氮、总磷纳管执行《工业企业废水氮、磷污染物间接排放限值》（DB 33/887-2013）表 1 中其他企业的排放限值。</w:t>
            </w:r>
          </w:p>
        </w:tc>
      </w:tr>
    </w:tbl>
    <w:p>
      <w:pPr>
        <w:adjustRightInd w:val="0"/>
        <w:snapToGrid w:val="0"/>
        <w:spacing w:line="360" w:lineRule="auto"/>
        <w:rPr>
          <w:rFonts w:hint="eastAsia" w:ascii="Times New Roman" w:hAnsi="Times New Roman"/>
          <w:b/>
          <w:sz w:val="24"/>
          <w:szCs w:val="24"/>
        </w:rPr>
      </w:pPr>
    </w:p>
    <w:p>
      <w:pPr>
        <w:adjustRightInd w:val="0"/>
        <w:snapToGrid w:val="0"/>
        <w:spacing w:line="360" w:lineRule="auto"/>
        <w:rPr>
          <w:rFonts w:ascii="Times New Roman" w:hAnsi="Times New Roman"/>
          <w:b/>
          <w:sz w:val="24"/>
          <w:szCs w:val="24"/>
        </w:rPr>
      </w:pPr>
      <w:r>
        <w:rPr>
          <w:rFonts w:hint="eastAsia" w:ascii="Times New Roman" w:hAnsi="Times New Roman"/>
          <w:b/>
          <w:sz w:val="24"/>
          <w:szCs w:val="24"/>
        </w:rPr>
        <w:t>监测结果分析与评价：</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80" w:name="_Hlk74774999"/>
      <w:r>
        <w:rPr>
          <w:rFonts w:hint="eastAsia" w:ascii="Times New Roman" w:hAnsi="Times New Roman" w:eastAsia="宋体" w:cs="Times New Roman"/>
          <w:color w:val="000000" w:themeColor="text1"/>
          <w:sz w:val="24"/>
          <w:lang w:val="en-US" w:eastAsia="zh-CN"/>
          <w14:textFill>
            <w14:solidFill>
              <w14:schemeClr w14:val="tx1"/>
            </w14:solidFill>
          </w14:textFill>
        </w:rPr>
        <w:t>生活污水</w:t>
      </w:r>
      <w:r>
        <w:rPr>
          <w:rFonts w:hint="eastAsia" w:ascii="Times New Roman" w:hAnsi="Times New Roman" w:eastAsia="宋体" w:cs="Times New Roman"/>
          <w:color w:val="000000" w:themeColor="text1"/>
          <w:sz w:val="24"/>
          <w:lang w:eastAsia="zh-CN"/>
          <w14:textFill>
            <w14:solidFill>
              <w14:schemeClr w14:val="tx1"/>
            </w14:solidFill>
          </w14:textFill>
        </w:rPr>
        <w:t>排放口</w:t>
      </w:r>
      <w:r>
        <w:rPr>
          <w:rFonts w:hint="eastAsia" w:ascii="Times New Roman" w:hAnsi="Times New Roman" w:eastAsia="宋体" w:cs="Times New Roman"/>
          <w:color w:val="000000" w:themeColor="text1"/>
          <w:sz w:val="24"/>
          <w14:textFill>
            <w14:solidFill>
              <w14:schemeClr w14:val="tx1"/>
            </w14:solidFill>
          </w14:textFill>
        </w:rPr>
        <w:t>的废水pH范围为</w:t>
      </w:r>
      <w:r>
        <w:rPr>
          <w:rFonts w:hint="eastAsia" w:ascii="Times New Roman" w:hAnsi="Times New Roman" w:eastAsia="宋体" w:cs="Times New Roman"/>
          <w:color w:val="000000" w:themeColor="text1"/>
          <w:sz w:val="24"/>
          <w:lang w:val="en-US" w:eastAsia="zh-CN"/>
          <w14:textFill>
            <w14:solidFill>
              <w14:schemeClr w14:val="tx1"/>
            </w14:solidFill>
          </w14:textFill>
        </w:rPr>
        <w:t>8.1</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8.1</w:t>
      </w:r>
      <w:r>
        <w:rPr>
          <w:rFonts w:hint="eastAsia" w:ascii="Times New Roman" w:hAnsi="Times New Roman" w:eastAsia="宋体" w:cs="Times New Roman"/>
          <w:color w:val="000000" w:themeColor="text1"/>
          <w:sz w:val="24"/>
          <w14:textFill>
            <w14:solidFill>
              <w14:schemeClr w14:val="tx1"/>
            </w14:solidFill>
          </w14:textFill>
        </w:rPr>
        <w:t>，其他污染物最大日均浓度分别为：悬浮物</w:t>
      </w:r>
      <w:r>
        <w:rPr>
          <w:rFonts w:hint="eastAsia" w:ascii="Times New Roman" w:hAnsi="Times New Roman" w:eastAsia="宋体" w:cs="Times New Roman"/>
          <w:color w:val="000000" w:themeColor="text1"/>
          <w:sz w:val="24"/>
          <w:lang w:val="en-US" w:eastAsia="zh-CN"/>
          <w14:textFill>
            <w14:solidFill>
              <w14:schemeClr w14:val="tx1"/>
            </w14:solidFill>
          </w14:textFill>
        </w:rPr>
        <w:t>67</w:t>
      </w:r>
      <w:r>
        <w:rPr>
          <w:rFonts w:hint="eastAsia" w:ascii="Times New Roman" w:hAnsi="Times New Roman" w:eastAsia="宋体" w:cs="Times New Roman"/>
          <w:color w:val="000000" w:themeColor="text1"/>
          <w:sz w:val="24"/>
          <w14:textFill>
            <w14:solidFill>
              <w14:schemeClr w14:val="tx1"/>
            </w14:solidFill>
          </w14:textFill>
        </w:rPr>
        <w:t>mg/L、化学需氧量</w:t>
      </w:r>
      <w:r>
        <w:rPr>
          <w:rFonts w:hint="eastAsia" w:ascii="Times New Roman" w:hAnsi="Times New Roman" w:eastAsia="宋体" w:cs="Times New Roman"/>
          <w:color w:val="000000" w:themeColor="text1"/>
          <w:sz w:val="24"/>
          <w:lang w:val="en-US" w:eastAsia="zh-CN"/>
          <w14:textFill>
            <w14:solidFill>
              <w14:schemeClr w14:val="tx1"/>
            </w14:solidFill>
          </w14:textFill>
        </w:rPr>
        <w:t>156</w:t>
      </w:r>
      <w:r>
        <w:rPr>
          <w:rFonts w:hint="eastAsia" w:ascii="Times New Roman" w:hAnsi="Times New Roman" w:eastAsia="宋体" w:cs="Times New Roman"/>
          <w:color w:val="000000" w:themeColor="text1"/>
          <w:sz w:val="24"/>
          <w14:textFill>
            <w14:solidFill>
              <w14:schemeClr w14:val="tx1"/>
            </w14:solidFill>
          </w14:textFill>
        </w:rPr>
        <w:t>mg/</w:t>
      </w:r>
      <w:r>
        <w:rPr>
          <w:rFonts w:ascii="Times New Roman" w:hAnsi="Times New Roman" w:eastAsia="宋体" w:cs="Times New Roman"/>
          <w:color w:val="000000" w:themeColor="text1"/>
          <w:sz w:val="24"/>
          <w14:textFill>
            <w14:solidFill>
              <w14:schemeClr w14:val="tx1"/>
            </w14:solidFill>
          </w14:textFill>
        </w:rPr>
        <w:t>L</w:t>
      </w:r>
      <w:r>
        <w:rPr>
          <w:rFonts w:hint="eastAsia" w:ascii="Times New Roman" w:hAnsi="Times New Roman" w:eastAsia="宋体" w:cs="Times New Roman"/>
          <w:color w:val="000000" w:themeColor="text1"/>
          <w:sz w:val="24"/>
          <w14:textFill>
            <w14:solidFill>
              <w14:schemeClr w14:val="tx1"/>
            </w14:solidFill>
          </w14:textFill>
        </w:rPr>
        <w:t>、氨氮</w:t>
      </w:r>
      <w:r>
        <w:rPr>
          <w:rFonts w:hint="eastAsia" w:ascii="Times New Roman" w:hAnsi="Times New Roman" w:eastAsia="宋体" w:cs="Times New Roman"/>
          <w:color w:val="000000" w:themeColor="text1"/>
          <w:sz w:val="24"/>
          <w:lang w:val="en-US" w:eastAsia="zh-CN"/>
          <w14:textFill>
            <w14:solidFill>
              <w14:schemeClr w14:val="tx1"/>
            </w14:solidFill>
          </w14:textFill>
        </w:rPr>
        <w:t>13.3</w:t>
      </w:r>
      <w:r>
        <w:rPr>
          <w:rFonts w:hint="eastAsia" w:ascii="Times New Roman" w:hAnsi="Times New Roman" w:eastAsia="宋体" w:cs="Times New Roman"/>
          <w:color w:val="000000" w:themeColor="text1"/>
          <w:sz w:val="24"/>
          <w14:textFill>
            <w14:solidFill>
              <w14:schemeClr w14:val="tx1"/>
            </w14:solidFill>
          </w14:textFill>
        </w:rPr>
        <w:t>mg/L、总磷</w:t>
      </w:r>
      <w:r>
        <w:rPr>
          <w:rFonts w:hint="eastAsia" w:ascii="Times New Roman" w:hAnsi="Times New Roman" w:eastAsia="宋体" w:cs="Times New Roman"/>
          <w:color w:val="000000" w:themeColor="text1"/>
          <w:sz w:val="24"/>
          <w:lang w:val="en-US" w:eastAsia="zh-CN"/>
          <w14:textFill>
            <w14:solidFill>
              <w14:schemeClr w14:val="tx1"/>
            </w14:solidFill>
          </w14:textFill>
        </w:rPr>
        <w:t>2.12</w:t>
      </w:r>
      <w:r>
        <w:rPr>
          <w:rFonts w:hint="eastAsia" w:ascii="Times New Roman" w:hAnsi="Times New Roman" w:eastAsia="宋体" w:cs="Times New Roman"/>
          <w:color w:val="000000" w:themeColor="text1"/>
          <w:sz w:val="24"/>
          <w14:textFill>
            <w14:solidFill>
              <w14:schemeClr w14:val="tx1"/>
            </w14:solidFill>
          </w14:textFill>
        </w:rPr>
        <w:t>mg/L、</w:t>
      </w:r>
      <w:r>
        <w:rPr>
          <w:rFonts w:hint="eastAsia" w:ascii="Times New Roman" w:hAnsi="Times New Roman" w:eastAsia="宋体" w:cs="Times New Roman"/>
          <w:color w:val="000000" w:themeColor="text1"/>
          <w:sz w:val="24"/>
          <w:lang w:val="en-US" w:eastAsia="zh-CN"/>
          <w14:textFill>
            <w14:solidFill>
              <w14:schemeClr w14:val="tx1"/>
            </w14:solidFill>
          </w14:textFill>
        </w:rPr>
        <w:t>动植物油</w:t>
      </w:r>
      <w:r>
        <w:rPr>
          <w:rFonts w:hint="eastAsia" w:ascii="Times New Roman" w:hAnsi="Times New Roman" w:eastAsia="宋体" w:cs="Times New Roman"/>
          <w:color w:val="000000" w:themeColor="text1"/>
          <w:sz w:val="24"/>
          <w14:textFill>
            <w14:solidFill>
              <w14:schemeClr w14:val="tx1"/>
            </w14:solidFill>
          </w14:textFill>
        </w:rPr>
        <w:t>类</w:t>
      </w:r>
      <w:r>
        <w:rPr>
          <w:rFonts w:hint="eastAsia" w:ascii="Times New Roman" w:hAnsi="Times New Roman" w:eastAsia="宋体" w:cs="Times New Roman"/>
          <w:color w:val="000000" w:themeColor="text1"/>
          <w:sz w:val="24"/>
          <w:lang w:val="en-US" w:eastAsia="zh-CN"/>
          <w14:textFill>
            <w14:solidFill>
              <w14:schemeClr w14:val="tx1"/>
            </w14:solidFill>
          </w14:textFill>
        </w:rPr>
        <w:t>0.69</w:t>
      </w:r>
      <w:r>
        <w:rPr>
          <w:rFonts w:hint="eastAsia" w:ascii="Times New Roman" w:hAnsi="Times New Roman" w:eastAsia="宋体" w:cs="Times New Roman"/>
          <w:color w:val="000000" w:themeColor="text1"/>
          <w:sz w:val="24"/>
          <w14:textFill>
            <w14:solidFill>
              <w14:schemeClr w14:val="tx1"/>
            </w14:solidFill>
          </w14:textFill>
        </w:rPr>
        <w:t>mg/L；其中pH、悬浮物、石油类、</w:t>
      </w:r>
      <w:r>
        <w:rPr>
          <w:rFonts w:hint="eastAsia" w:ascii="Times New Roman" w:hAnsi="Times New Roman" w:eastAsia="宋体" w:cs="Times New Roman"/>
          <w:color w:val="000000" w:themeColor="text1"/>
          <w:sz w:val="24"/>
          <w:lang w:val="en-US" w:eastAsia="zh-CN"/>
          <w14:textFill>
            <w14:solidFill>
              <w14:schemeClr w14:val="tx1"/>
            </w14:solidFill>
          </w14:textFill>
        </w:rPr>
        <w:t>动植物油类、</w:t>
      </w:r>
      <w:r>
        <w:rPr>
          <w:rFonts w:hint="eastAsia" w:ascii="Times New Roman" w:hAnsi="Times New Roman" w:eastAsia="宋体" w:cs="Times New Roman"/>
          <w:color w:val="000000" w:themeColor="text1"/>
          <w:sz w:val="24"/>
          <w14:textFill>
            <w14:solidFill>
              <w14:schemeClr w14:val="tx1"/>
            </w14:solidFill>
          </w14:textFill>
        </w:rPr>
        <w:t>化学需氧量均符合《污水综合排放标准》（GB</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14:textFill>
            <w14:solidFill>
              <w14:schemeClr w14:val="tx1"/>
            </w14:solidFill>
          </w14:textFill>
        </w:rPr>
        <w:t>8978-1996）表4中的三级排放标准要求，氨氮符合</w:t>
      </w:r>
      <w:r>
        <w:rPr>
          <w:rFonts w:ascii="Times New Roman" w:hAnsi="Times New Roman" w:eastAsia="宋体" w:cs="Times New Roman"/>
          <w:color w:val="000000" w:themeColor="text1"/>
          <w:sz w:val="24"/>
          <w14:textFill>
            <w14:solidFill>
              <w14:schemeClr w14:val="tx1"/>
            </w14:solidFill>
          </w14:textFill>
        </w:rPr>
        <w:t>浙江省地方标准《</w:t>
      </w:r>
      <w:r>
        <w:rPr>
          <w:rFonts w:hint="eastAsia" w:ascii="Times New Roman" w:hAnsi="Times New Roman" w:eastAsia="宋体" w:cs="Times New Roman"/>
          <w:color w:val="000000" w:themeColor="text1"/>
          <w:sz w:val="24"/>
          <w14:textFill>
            <w14:solidFill>
              <w14:schemeClr w14:val="tx1"/>
            </w14:solidFill>
          </w14:textFill>
        </w:rPr>
        <w:t>工业</w:t>
      </w:r>
      <w:r>
        <w:rPr>
          <w:rFonts w:ascii="Times New Roman" w:hAnsi="Times New Roman" w:eastAsia="宋体" w:cs="Times New Roman"/>
          <w:color w:val="000000" w:themeColor="text1"/>
          <w:sz w:val="24"/>
          <w14:textFill>
            <w14:solidFill>
              <w14:schemeClr w14:val="tx1"/>
            </w14:solidFill>
          </w14:textFill>
        </w:rPr>
        <w:t>企业废水</w:t>
      </w:r>
      <w:r>
        <w:rPr>
          <w:rFonts w:hint="eastAsia" w:ascii="Times New Roman" w:hAnsi="Times New Roman" w:eastAsia="宋体" w:cs="Times New Roman"/>
          <w:color w:val="000000" w:themeColor="text1"/>
          <w:sz w:val="24"/>
          <w14:textFill>
            <w14:solidFill>
              <w14:schemeClr w14:val="tx1"/>
            </w14:solidFill>
          </w14:textFill>
        </w:rPr>
        <w:t>氮、</w:t>
      </w:r>
      <w:r>
        <w:rPr>
          <w:rFonts w:ascii="Times New Roman" w:hAnsi="Times New Roman" w:eastAsia="宋体" w:cs="Times New Roman"/>
          <w:color w:val="000000" w:themeColor="text1"/>
          <w:sz w:val="24"/>
          <w14:textFill>
            <w14:solidFill>
              <w14:schemeClr w14:val="tx1"/>
            </w14:solidFill>
          </w14:textFill>
        </w:rPr>
        <w:t>磷污染物</w:t>
      </w:r>
      <w:r>
        <w:rPr>
          <w:rFonts w:hint="eastAsia" w:ascii="Times New Roman" w:hAnsi="Times New Roman" w:eastAsia="宋体" w:cs="Times New Roman"/>
          <w:color w:val="000000" w:themeColor="text1"/>
          <w:sz w:val="24"/>
          <w14:textFill>
            <w14:solidFill>
              <w14:schemeClr w14:val="tx1"/>
            </w14:solidFill>
          </w14:textFill>
        </w:rPr>
        <w:t>间接</w:t>
      </w:r>
      <w:r>
        <w:rPr>
          <w:rFonts w:ascii="Times New Roman" w:hAnsi="Times New Roman" w:eastAsia="宋体" w:cs="Times New Roman"/>
          <w:color w:val="000000" w:themeColor="text1"/>
          <w:sz w:val="24"/>
          <w14:textFill>
            <w14:solidFill>
              <w14:schemeClr w14:val="tx1"/>
            </w14:solidFill>
          </w14:textFill>
        </w:rPr>
        <w:t>排放限值》</w:t>
      </w:r>
      <w:r>
        <w:rPr>
          <w:rFonts w:hint="eastAsia" w:ascii="Times New Roman" w:hAnsi="Times New Roman" w:eastAsia="宋体" w:cs="Times New Roman"/>
          <w:color w:val="000000" w:themeColor="text1"/>
          <w:sz w:val="24"/>
          <w14:textFill>
            <w14:solidFill>
              <w14:schemeClr w14:val="tx1"/>
            </w14:solidFill>
          </w14:textFill>
        </w:rPr>
        <w:t>（D</w:t>
      </w:r>
      <w:r>
        <w:rPr>
          <w:rFonts w:ascii="Times New Roman" w:hAnsi="Times New Roman" w:eastAsia="宋体" w:cs="Times New Roman"/>
          <w:color w:val="000000" w:themeColor="text1"/>
          <w:sz w:val="24"/>
          <w14:textFill>
            <w14:solidFill>
              <w14:schemeClr w14:val="tx1"/>
            </w14:solidFill>
          </w14:textFill>
        </w:rPr>
        <w:t>B33/887-2013）表 1 中其他企业的排放限值</w:t>
      </w:r>
      <w:r>
        <w:rPr>
          <w:rFonts w:hint="eastAsia" w:ascii="Times New Roman" w:hAnsi="Times New Roman" w:eastAsia="宋体" w:cs="Times New Roman"/>
          <w:color w:val="000000" w:themeColor="text1"/>
          <w:sz w:val="24"/>
          <w14:textFill>
            <w14:solidFill>
              <w14:schemeClr w14:val="tx1"/>
            </w14:solidFill>
          </w14:textFill>
        </w:rPr>
        <w:t>要求。</w:t>
      </w:r>
    </w:p>
    <w:bookmarkEnd w:id="80"/>
    <w:p>
      <w:pPr>
        <w:pStyle w:val="6"/>
        <w:rPr>
          <w:kern w:val="22"/>
        </w:rPr>
      </w:pPr>
      <w:bookmarkStart w:id="81" w:name="_Toc22207"/>
      <w:r>
        <w:rPr>
          <w:rFonts w:hint="eastAsia"/>
          <w:kern w:val="22"/>
        </w:rPr>
        <w:t>9.2.2固定污染源废气检测结果及评价</w:t>
      </w:r>
      <w:bookmarkEnd w:id="81"/>
    </w:p>
    <w:p>
      <w:pPr>
        <w:spacing w:line="360" w:lineRule="auto"/>
        <w:ind w:firstLine="240" w:firstLineChars="100"/>
        <w:rPr>
          <w:rFonts w:ascii="Times New Roman" w:hAnsi="Times New Roman" w:cs="Times New Roman"/>
          <w:sz w:val="24"/>
        </w:rPr>
      </w:pPr>
      <w:bookmarkStart w:id="82" w:name="_Toc497058869"/>
      <w:bookmarkStart w:id="83" w:name="_Toc21605"/>
      <w:bookmarkStart w:id="84" w:name="_Toc448491840"/>
      <w:bookmarkStart w:id="85" w:name="_Toc448491763"/>
      <w:bookmarkStart w:id="86" w:name="_Toc62"/>
      <w:bookmarkStart w:id="87" w:name="_Toc448492431"/>
      <w:bookmarkStart w:id="88" w:name="_Toc30342"/>
      <w:bookmarkStart w:id="89" w:name="_Toc448493502"/>
      <w:r>
        <w:rPr>
          <w:rFonts w:hint="eastAsia" w:ascii="Times New Roman" w:hAnsi="Times New Roman" w:cs="Times New Roman"/>
          <w:sz w:val="24"/>
        </w:rPr>
        <w:t>有组织废气检测结果见表9.2.</w:t>
      </w:r>
      <w:r>
        <w:rPr>
          <w:rFonts w:ascii="Times New Roman" w:hAnsi="Times New Roman" w:cs="Times New Roman"/>
          <w:sz w:val="24"/>
        </w:rPr>
        <w:t>2-1~9.2.2</w:t>
      </w:r>
      <w:r>
        <w:rPr>
          <w:rFonts w:hint="eastAsia" w:ascii="Times New Roman" w:hAnsi="Times New Roman" w:cs="Times New Roman"/>
          <w:sz w:val="24"/>
        </w:rPr>
        <w:t>-</w:t>
      </w:r>
      <w:r>
        <w:rPr>
          <w:rFonts w:hint="eastAsia" w:ascii="Times New Roman" w:hAnsi="Times New Roman" w:cs="Times New Roman"/>
          <w:sz w:val="24"/>
          <w:lang w:val="en-US" w:eastAsia="zh-CN"/>
        </w:rPr>
        <w:t>2</w:t>
      </w:r>
      <w:r>
        <w:rPr>
          <w:rFonts w:hint="eastAsia" w:ascii="Times New Roman" w:hAnsi="Times New Roman" w:cs="Times New Roman"/>
          <w:sz w:val="24"/>
        </w:rPr>
        <w:t>。</w:t>
      </w:r>
    </w:p>
    <w:p>
      <w:pPr>
        <w:spacing w:line="360" w:lineRule="auto"/>
        <w:ind w:firstLine="211" w:firstLineChars="100"/>
        <w:jc w:val="center"/>
        <w:rPr>
          <w:rFonts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ascii="Times New Roman" w:hAnsi="Times New Roman"/>
          <w:b/>
          <w:bCs/>
          <w:szCs w:val="21"/>
        </w:rPr>
        <w:t>1</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ascii="Times New Roman" w:hAnsi="Times New Roman"/>
          <w:b/>
          <w:bCs/>
          <w:szCs w:val="21"/>
        </w:rPr>
        <w:t>1</w:t>
      </w:r>
      <w:r>
        <w:rPr>
          <w:rFonts w:hint="eastAsia" w:ascii="Times New Roman" w:hAnsi="Times New Roman"/>
          <w:b/>
          <w:bCs/>
          <w:szCs w:val="21"/>
        </w:rPr>
        <w:t>）</w:t>
      </w:r>
    </w:p>
    <w:tbl>
      <w:tblPr>
        <w:tblStyle w:val="32"/>
        <w:tblW w:w="10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1"/>
        <w:gridCol w:w="759"/>
        <w:gridCol w:w="878"/>
        <w:gridCol w:w="878"/>
        <w:gridCol w:w="878"/>
        <w:gridCol w:w="878"/>
        <w:gridCol w:w="878"/>
        <w:gridCol w:w="878"/>
        <w:gridCol w:w="878"/>
        <w:gridCol w:w="878"/>
        <w:gridCol w:w="160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9053" w:type="dxa"/>
            <w:gridSpan w:val="10"/>
            <w:noWrap w:val="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9053" w:type="dxa"/>
            <w:gridSpan w:val="10"/>
            <w:noWrap w:val="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9053" w:type="dxa"/>
            <w:gridSpan w:val="10"/>
            <w:noWrap w:val="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浸塑、固化废气处理设施排气筒G1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9053" w:type="dxa"/>
            <w:gridSpan w:val="10"/>
            <w:noWrap w:val="0"/>
            <w:tcMar>
              <w:left w:w="113" w:type="dxa"/>
              <w:right w:w="113" w:type="dxa"/>
            </w:tcMar>
            <w:vAlign w:val="center"/>
          </w:tcPr>
          <w:p>
            <w:pPr>
              <w:widowControl/>
              <w:adjustRightInd w:val="0"/>
              <w:snapToGrid w:val="0"/>
              <w:rPr>
                <w:rFonts w:hint="eastAsia" w:ascii="Times New Roman" w:hAnsi="Times New Roman" w:cs="Times New Roman" w:eastAsiaTheme="minorEastAsia"/>
                <w:bCs/>
                <w:kern w:val="0"/>
                <w:sz w:val="18"/>
                <w:szCs w:val="18"/>
                <w:lang w:val="en-US" w:eastAsia="zh-CN" w:bidi="ar-SA"/>
              </w:rPr>
            </w:pPr>
            <w:r>
              <w:rPr>
                <w:rFonts w:hint="eastAsia" w:ascii="Times New Roman" w:hAnsi="Times New Roman" w:cs="Times New Roman"/>
                <w:bCs/>
                <w:kern w:val="0"/>
                <w:sz w:val="18"/>
                <w:szCs w:val="18"/>
                <w:lang w:eastAsia="zh-CN"/>
              </w:rPr>
              <w:t>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689984" behindDoc="0" locked="0" layoutInCell="1" allowOverlap="1">
                      <wp:simplePos x="0" y="0"/>
                      <wp:positionH relativeFrom="column">
                        <wp:posOffset>290830</wp:posOffset>
                      </wp:positionH>
                      <wp:positionV relativeFrom="paragraph">
                        <wp:posOffset>253365</wp:posOffset>
                      </wp:positionV>
                      <wp:extent cx="462915" cy="452755"/>
                      <wp:effectExtent l="0" t="0" r="0" b="0"/>
                      <wp:wrapNone/>
                      <wp:docPr id="133" name="矩形 133"/>
                      <wp:cNvGraphicFramePr/>
                      <a:graphic xmlns:a="http://schemas.openxmlformats.org/drawingml/2006/main">
                        <a:graphicData uri="http://schemas.microsoft.com/office/word/2010/wordprocessingShape">
                          <wps:wsp>
                            <wps:cNvSpPr/>
                            <wps:spPr>
                              <a:xfrm>
                                <a:off x="0" y="0"/>
                                <a:ext cx="462915" cy="45275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项目</w:t>
                                  </w:r>
                                </w:p>
                              </w:txbxContent>
                            </wps:txbx>
                            <wps:bodyPr upright="1"/>
                          </wps:wsp>
                        </a:graphicData>
                      </a:graphic>
                    </wp:anchor>
                  </w:drawing>
                </mc:Choice>
                <mc:Fallback>
                  <w:pict>
                    <v:rect id="_x0000_s1026" o:spid="_x0000_s1026" o:spt="1" style="position:absolute;left:0pt;margin-left:22.9pt;margin-top:19.95pt;height:35.65pt;width:36.45pt;z-index:251689984;mso-width-relative:page;mso-height-relative:page;" filled="f" stroked="f" coordsize="21600,21600" o:gfxdata="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aPxdh2gAAAAkBAAAP&#10;AAAAAAAAAAEAIAAAACIAAABkcnMvZG93bnJldi54bWxQSwECFAAUAAAACACHTuJA+91pfKQBAABE&#10;AwAADgAAAAAAAAABACAAAAApAQAAZHJzL2Uyb0RvYy54bWxQSwUGAAAAAAYABgBZAQAAP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244475</wp:posOffset>
                      </wp:positionV>
                      <wp:extent cx="462915" cy="452755"/>
                      <wp:effectExtent l="0" t="0" r="0" b="0"/>
                      <wp:wrapNone/>
                      <wp:docPr id="135" name="矩形 135"/>
                      <wp:cNvGraphicFramePr/>
                      <a:graphic xmlns:a="http://schemas.openxmlformats.org/drawingml/2006/main">
                        <a:graphicData uri="http://schemas.microsoft.com/office/word/2010/wordprocessingShape">
                          <wps:wsp>
                            <wps:cNvSpPr/>
                            <wps:spPr>
                              <a:xfrm>
                                <a:off x="0" y="0"/>
                                <a:ext cx="462915" cy="45275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Theme="minorEastAsia"/>
                                      <w:bCs/>
                                      <w:kern w:val="0"/>
                                      <w:sz w:val="18"/>
                                      <w:szCs w:val="18"/>
                                      <w:lang w:val="en-US" w:eastAsia="zh-CN"/>
                                    </w:rPr>
                                  </w:pPr>
                                  <w:r>
                                    <w:rPr>
                                      <w:rFonts w:hint="eastAsia"/>
                                      <w:bCs/>
                                      <w:kern w:val="0"/>
                                      <w:sz w:val="18"/>
                                      <w:szCs w:val="18"/>
                                      <w:lang w:val="en-US" w:eastAsia="zh-CN"/>
                                    </w:rPr>
                                    <w:t>结果</w:t>
                                  </w:r>
                                </w:p>
                              </w:txbxContent>
                            </wps:txbx>
                            <wps:bodyPr upright="1"/>
                          </wps:wsp>
                        </a:graphicData>
                      </a:graphic>
                    </wp:anchor>
                  </w:drawing>
                </mc:Choice>
                <mc:Fallback>
                  <w:pict>
                    <v:rect id="_x0000_s1026" o:spid="_x0000_s1026" o:spt="1" style="position:absolute;left:0pt;margin-left:-6.05pt;margin-top:19.25pt;height:35.65pt;width:36.45pt;z-index:251694080;mso-width-relative:page;mso-height-relative:page;" filled="f" stroked="f" coordsize="21600,21600" o:gfxdata="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bdwea2QAAAAkBAAAPAAAA&#10;AAAAAAEAIAAAACIAAABkcnMvZG93bnJldi54bWxQSwECFAAUAAAACACHTuJAyZe1G6IBAABEAwAA&#10;DgAAAAAAAAABACAAAAAoAQAAZHJzL2Uyb0RvYy54bWxQSwUGAAAAAAYABgBZAQAAPA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Theme="minorEastAsia"/>
                                <w:bCs/>
                                <w:kern w:val="0"/>
                                <w:sz w:val="18"/>
                                <w:szCs w:val="18"/>
                                <w:lang w:val="en-US" w:eastAsia="zh-CN"/>
                              </w:rPr>
                            </w:pPr>
                            <w:r>
                              <w:rPr>
                                <w:rFonts w:hint="eastAsia"/>
                                <w:bCs/>
                                <w:kern w:val="0"/>
                                <w:sz w:val="18"/>
                                <w:szCs w:val="18"/>
                                <w:lang w:val="en-US" w:eastAsia="zh-CN"/>
                              </w:rPr>
                              <w:t>结果</w:t>
                            </w:r>
                          </w:p>
                        </w:txbxContent>
                      </v:textbox>
                    </v:rect>
                  </w:pict>
                </mc:Fallback>
              </mc:AlternateContent>
            </w:r>
            <w:r>
              <w:rPr>
                <w:rFonts w:hint="default" w:ascii="Times New Roman" w:hAnsi="Times New Roman" w:cs="Times New Roman"/>
                <w:b/>
                <w:bCs/>
                <w:kern w:val="0"/>
                <w:szCs w:val="21"/>
                <w:lang w:val="zh-CN"/>
              </w:rPr>
              <mc:AlternateContent>
                <mc:Choice Requires="wps">
                  <w:drawing>
                    <wp:anchor distT="0" distB="0" distL="114300" distR="114300" simplePos="0" relativeHeight="251693056" behindDoc="0" locked="0" layoutInCell="1" allowOverlap="1">
                      <wp:simplePos x="0" y="0"/>
                      <wp:positionH relativeFrom="column">
                        <wp:posOffset>153035</wp:posOffset>
                      </wp:positionH>
                      <wp:positionV relativeFrom="paragraph">
                        <wp:posOffset>-73660</wp:posOffset>
                      </wp:positionV>
                      <wp:extent cx="791845" cy="434975"/>
                      <wp:effectExtent l="0" t="0" r="0" b="0"/>
                      <wp:wrapNone/>
                      <wp:docPr id="131" name="矩形 131"/>
                      <wp:cNvGraphicFramePr/>
                      <a:graphic xmlns:a="http://schemas.openxmlformats.org/drawingml/2006/main">
                        <a:graphicData uri="http://schemas.microsoft.com/office/word/2010/wordprocessingShape">
                          <wps:wsp>
                            <wps:cNvSpPr/>
                            <wps:spPr>
                              <a:xfrm>
                                <a:off x="0" y="0"/>
                                <a:ext cx="791845" cy="434975"/>
                              </a:xfrm>
                              <a:prstGeom prst="rect">
                                <a:avLst/>
                              </a:prstGeom>
                              <a:noFill/>
                              <a:ln>
                                <a:noFill/>
                              </a:ln>
                            </wps:spPr>
                            <wps:txbx>
                              <w:txbxContent>
                                <w:p>
                                  <w:pPr>
                                    <w:rPr>
                                      <w:bCs/>
                                      <w:kern w:val="0"/>
                                      <w:sz w:val="18"/>
                                      <w:szCs w:val="18"/>
                                    </w:rPr>
                                  </w:pPr>
                                  <w:r>
                                    <w:rPr>
                                      <w:rFonts w:hint="eastAsia"/>
                                      <w:bCs/>
                                      <w:kern w:val="0"/>
                                      <w:sz w:val="18"/>
                                      <w:szCs w:val="18"/>
                                    </w:rPr>
                                    <w:t>采样频次</w:t>
                                  </w:r>
                                </w:p>
                              </w:txbxContent>
                            </wps:txbx>
                            <wps:bodyPr upright="1"/>
                          </wps:wsp>
                        </a:graphicData>
                      </a:graphic>
                    </wp:anchor>
                  </w:drawing>
                </mc:Choice>
                <mc:Fallback>
                  <w:pict>
                    <v:rect id="_x0000_s1026" o:spid="_x0000_s1026" o:spt="1" style="position:absolute;left:0pt;margin-left:12.05pt;margin-top:-5.8pt;height:34.25pt;width:62.35pt;z-index:251693056;mso-width-relative:page;mso-height-relative:page;" filled="f" stroked="f" coordsize="21600,21600" o:gfxdata="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k/hFraAAAACQEAAA8A&#10;AAAAAAAAAQAgAAAAIgAAAGRycy9kb3ducmV2LnhtbFBLAQIUABQAAAAIAIdO4kCdYcT4owEAAEQD&#10;AAAOAAAAAAAAAAEAIAAAACkBAABkcnMvZTJvRG9jLnhtbFBLBQYAAAAABgAGAFkBAAA+BQAAAAA=&#10;">
                      <v:fill on="f" focussize="0,0"/>
                      <v:stroke on="f"/>
                      <v:imagedata o:title=""/>
                      <o:lock v:ext="edit" aspectratio="f"/>
                      <v:textbox>
                        <w:txbxContent>
                          <w:p>
                            <w:pPr>
                              <w:rPr>
                                <w:bCs/>
                                <w:kern w:val="0"/>
                                <w:sz w:val="18"/>
                                <w:szCs w:val="18"/>
                              </w:rPr>
                            </w:pPr>
                            <w:r>
                              <w:rPr>
                                <w:rFonts w:hint="eastAsia"/>
                                <w:bCs/>
                                <w:kern w:val="0"/>
                                <w:sz w:val="18"/>
                                <w:szCs w:val="18"/>
                              </w:rPr>
                              <w:t>采样频次</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91008" behindDoc="0" locked="0" layoutInCell="1" allowOverlap="1">
                      <wp:simplePos x="0" y="0"/>
                      <wp:positionH relativeFrom="column">
                        <wp:posOffset>16510</wp:posOffset>
                      </wp:positionH>
                      <wp:positionV relativeFrom="paragraph">
                        <wp:posOffset>-3175</wp:posOffset>
                      </wp:positionV>
                      <wp:extent cx="691515" cy="414020"/>
                      <wp:effectExtent l="2540" t="3810" r="10795" b="20320"/>
                      <wp:wrapNone/>
                      <wp:docPr id="132" name="直接箭头连接符 132"/>
                      <wp:cNvGraphicFramePr/>
                      <a:graphic xmlns:a="http://schemas.openxmlformats.org/drawingml/2006/main">
                        <a:graphicData uri="http://schemas.microsoft.com/office/word/2010/wordprocessingShape">
                          <wps:wsp>
                            <wps:cNvCnPr/>
                            <wps:spPr>
                              <a:xfrm>
                                <a:off x="0" y="0"/>
                                <a:ext cx="691515" cy="4140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pt;margin-top:-0.25pt;height:32.6pt;width:54.45pt;z-index:251691008;mso-width-relative:page;mso-height-relative:page;" filled="f" stroked="t" coordsize="21600,21600" o:gfxdata="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DhZ/1AAAAAYBAAAPAAAAAAAAAAEAIAAAACIAAABkcnMvZG93&#10;bnJldi54bWxQSwECFAAUAAAACACHTuJA7W2QcQQCAAD0AwAADgAAAAAAAAABACAAAAAj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92032" behindDoc="0" locked="0" layoutInCell="1" allowOverlap="1">
                      <wp:simplePos x="0" y="0"/>
                      <wp:positionH relativeFrom="column">
                        <wp:posOffset>9525</wp:posOffset>
                      </wp:positionH>
                      <wp:positionV relativeFrom="paragraph">
                        <wp:posOffset>-7620</wp:posOffset>
                      </wp:positionV>
                      <wp:extent cx="382905" cy="607060"/>
                      <wp:effectExtent l="3810" t="2540" r="13335" b="19050"/>
                      <wp:wrapNone/>
                      <wp:docPr id="134" name="直接箭头连接符 134"/>
                      <wp:cNvGraphicFramePr/>
                      <a:graphic xmlns:a="http://schemas.openxmlformats.org/drawingml/2006/main">
                        <a:graphicData uri="http://schemas.microsoft.com/office/word/2010/wordprocessingShape">
                          <wps:wsp>
                            <wps:cNvCnPr/>
                            <wps:spPr>
                              <a:xfrm>
                                <a:off x="0" y="0"/>
                                <a:ext cx="382905" cy="6070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5pt;margin-top:-0.6pt;height:47.8pt;width:30.15pt;z-index:251692032;mso-width-relative:page;mso-height-relative:page;" filled="f" stroked="t" coordsize="21600,21600" o:gfxdata="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wIejVAAAABgEAAA8AAAAAAAAAAQAgAAAAIgAAAGRycy9k&#10;b3ducmV2LnhtbFBLAQIUABQAAAAIAIdO4kA76lcgBQIAAPQDAAAOAAAAAAAAAAEAIAAAACQ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tc>
        <w:tc>
          <w:tcPr>
            <w:tcW w:w="3512" w:type="dxa"/>
            <w:gridSpan w:val="4"/>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进口</w:t>
            </w:r>
            <w:r>
              <w:rPr>
                <w:rFonts w:hint="default" w:ascii="Times New Roman" w:hAnsi="Times New Roman" w:eastAsia="仿宋" w:cs="Times New Roman"/>
                <w:sz w:val="18"/>
                <w:szCs w:val="18"/>
              </w:rPr>
              <w:t>G1-1</w:t>
            </w:r>
          </w:p>
        </w:tc>
        <w:tc>
          <w:tcPr>
            <w:tcW w:w="3512" w:type="dxa"/>
            <w:gridSpan w:val="4"/>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出口</w:t>
            </w:r>
            <w:r>
              <w:rPr>
                <w:rFonts w:hint="default" w:ascii="Times New Roman" w:hAnsi="Times New Roman" w:eastAsia="仿宋" w:cs="Times New Roman"/>
                <w:sz w:val="18"/>
                <w:szCs w:val="18"/>
              </w:rPr>
              <w:t>G1-2</w:t>
            </w:r>
          </w:p>
        </w:tc>
        <w:tc>
          <w:tcPr>
            <w:tcW w:w="1602"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《工业涂装工序大气污染物排放标准》（DB 33/2146-2018）</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表1</w:t>
            </w:r>
          </w:p>
        </w:tc>
        <w:tc>
          <w:tcPr>
            <w:tcW w:w="427" w:type="dxa"/>
            <w:vMerge w:val="restart"/>
            <w:noWrap w:val="0"/>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平均值</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平均值</w:t>
            </w:r>
          </w:p>
        </w:tc>
        <w:tc>
          <w:tcPr>
            <w:tcW w:w="1602"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427"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41"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tc>
        <w:tc>
          <w:tcPr>
            <w:tcW w:w="759"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7.17</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7.34</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8.24</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6.06</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5.61</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5.56</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5.74</w:t>
            </w:r>
          </w:p>
        </w:tc>
        <w:tc>
          <w:tcPr>
            <w:tcW w:w="160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80</w:t>
            </w:r>
          </w:p>
        </w:tc>
        <w:tc>
          <w:tcPr>
            <w:tcW w:w="42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41" w:type="dxa"/>
            <w:vMerge w:val="continue"/>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p>
        </w:tc>
        <w:tc>
          <w:tcPr>
            <w:tcW w:w="759"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kern w:val="0"/>
                <w:sz w:val="18"/>
                <w:szCs w:val="18"/>
                <w:lang w:bidi="ar"/>
              </w:rPr>
              <w:t>排放速率（kg/h）</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0.158 </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0.229 </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0.165 </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0.184 </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7.49×10</w:t>
            </w:r>
            <w:r>
              <w:rPr>
                <w:rFonts w:hint="default" w:ascii="Times New Roman" w:hAnsi="Times New Roman" w:cs="Times New Roman"/>
                <w:bCs/>
                <w:kern w:val="0"/>
                <w:sz w:val="18"/>
                <w:szCs w:val="18"/>
                <w:vertAlign w:val="superscript"/>
              </w:rPr>
              <w:t>-2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7.36×10</w:t>
            </w:r>
            <w:r>
              <w:rPr>
                <w:rFonts w:hint="default" w:ascii="Times New Roman" w:hAnsi="Times New Roman" w:cs="Times New Roman"/>
                <w:bCs/>
                <w:kern w:val="0"/>
                <w:sz w:val="18"/>
                <w:szCs w:val="18"/>
                <w:vertAlign w:val="superscript"/>
              </w:rPr>
              <w:t>-2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7.25×10</w:t>
            </w:r>
            <w:r>
              <w:rPr>
                <w:rFonts w:hint="default" w:ascii="Times New Roman" w:hAnsi="Times New Roman" w:cs="Times New Roman"/>
                <w:bCs/>
                <w:kern w:val="0"/>
                <w:sz w:val="18"/>
                <w:szCs w:val="18"/>
                <w:vertAlign w:val="superscript"/>
              </w:rPr>
              <w:t>-2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7.37×10</w:t>
            </w:r>
            <w:r>
              <w:rPr>
                <w:rFonts w:hint="default" w:ascii="Times New Roman" w:hAnsi="Times New Roman" w:cs="Times New Roman"/>
                <w:bCs/>
                <w:kern w:val="0"/>
                <w:sz w:val="18"/>
                <w:szCs w:val="18"/>
                <w:vertAlign w:val="superscript"/>
              </w:rPr>
              <w:t>-2</w:t>
            </w:r>
          </w:p>
        </w:tc>
        <w:tc>
          <w:tcPr>
            <w:tcW w:w="1602" w:type="dxa"/>
            <w:noWrap w:val="0"/>
            <w:vAlign w:val="center"/>
          </w:tcPr>
          <w:p>
            <w:pPr>
              <w:widowControl/>
              <w:adjustRightInd w:val="0"/>
              <w:snapToGrid w:val="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eastAsia="zh-CN"/>
              </w:rPr>
              <w:t>—</w:t>
            </w:r>
          </w:p>
        </w:tc>
        <w:tc>
          <w:tcPr>
            <w:tcW w:w="427" w:type="dxa"/>
            <w:noWrap w:val="0"/>
            <w:vAlign w:val="center"/>
          </w:tcPr>
          <w:p>
            <w:pPr>
              <w:widowControl/>
              <w:adjustRightInd w:val="0"/>
              <w:snapToGrid w:val="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21990</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22411</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22452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12367</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13125</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13041</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t>
            </w:r>
          </w:p>
        </w:tc>
        <w:tc>
          <w:tcPr>
            <w:tcW w:w="1602" w:type="dxa"/>
            <w:noWrap w:val="0"/>
            <w:vAlign w:val="center"/>
          </w:tcPr>
          <w:p>
            <w:pPr>
              <w:widowControl/>
              <w:adjustRightInd w:val="0"/>
              <w:snapToGrid w:val="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eastAsia="zh-CN"/>
              </w:rPr>
              <w:t>—</w:t>
            </w:r>
          </w:p>
        </w:tc>
        <w:tc>
          <w:tcPr>
            <w:tcW w:w="427"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备注</w:t>
            </w:r>
          </w:p>
        </w:tc>
        <w:tc>
          <w:tcPr>
            <w:tcW w:w="9053" w:type="dxa"/>
            <w:gridSpan w:val="10"/>
            <w:noWrap w:val="0"/>
            <w:tcMar>
              <w:left w:w="0" w:type="dxa"/>
              <w:right w:w="0" w:type="dxa"/>
            </w:tcMar>
            <w:vAlign w:val="center"/>
          </w:tcPr>
          <w:p>
            <w:pPr>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1、“/”表示不需计算。</w:t>
            </w:r>
          </w:p>
          <w:p>
            <w:pPr>
              <w:widowControl/>
              <w:adjustRightInd w:val="0"/>
              <w:snapToGrid w:val="0"/>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2</w:t>
            </w:r>
            <w:r>
              <w:rPr>
                <w:rFonts w:hint="default" w:ascii="Times New Roman" w:hAnsi="Times New Roman" w:cs="Times New Roman"/>
                <w:bCs/>
                <w:kern w:val="0"/>
                <w:sz w:val="18"/>
                <w:szCs w:val="18"/>
              </w:rPr>
              <w:t>、</w:t>
            </w:r>
            <w:r>
              <w:rPr>
                <w:rFonts w:hint="default" w:ascii="Times New Roman" w:hAnsi="Times New Roman" w:cs="Times New Roman"/>
                <w:kern w:val="0"/>
                <w:sz w:val="18"/>
                <w:szCs w:val="18"/>
                <w:lang w:bidi="ar"/>
              </w:rPr>
              <w:t>“---”表示</w:t>
            </w:r>
            <w:r>
              <w:rPr>
                <w:rFonts w:hint="default" w:ascii="Times New Roman" w:hAnsi="Times New Roman" w:cs="Times New Roman"/>
                <w:bCs/>
                <w:kern w:val="0"/>
                <w:sz w:val="18"/>
                <w:szCs w:val="18"/>
              </w:rPr>
              <w:t>《工业涂装工序大气污染物排放标准》（DB 33/2146-2018）表1</w:t>
            </w:r>
            <w:r>
              <w:rPr>
                <w:rFonts w:hint="default" w:ascii="Times New Roman" w:hAnsi="Times New Roman" w:cs="Times New Roman"/>
                <w:kern w:val="0"/>
                <w:sz w:val="18"/>
                <w:szCs w:val="18"/>
                <w:lang w:bidi="ar"/>
              </w:rPr>
              <w:t>对该项目未做限制。</w:t>
            </w:r>
          </w:p>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3、当实测浓度为未检出时，排放速率用1/2检出限计算。</w:t>
            </w:r>
          </w:p>
        </w:tc>
      </w:tr>
    </w:tbl>
    <w:p>
      <w:pPr>
        <w:spacing w:line="240" w:lineRule="auto"/>
        <w:ind w:firstLine="100" w:firstLineChars="100"/>
        <w:jc w:val="center"/>
        <w:rPr>
          <w:rFonts w:ascii="Times New Roman" w:hAnsi="Times New Roman"/>
          <w:b/>
          <w:bCs/>
          <w:sz w:val="10"/>
          <w:szCs w:val="10"/>
        </w:rPr>
      </w:pPr>
    </w:p>
    <w:p>
      <w:pPr>
        <w:spacing w:line="360" w:lineRule="auto"/>
        <w:ind w:firstLine="211" w:firstLineChars="100"/>
        <w:jc w:val="center"/>
        <w:rPr>
          <w:rFonts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2</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2</w:t>
      </w:r>
      <w:r>
        <w:rPr>
          <w:rFonts w:hint="eastAsia" w:ascii="Times New Roman" w:hAnsi="Times New Roman"/>
          <w:b/>
          <w:bCs/>
          <w:szCs w:val="21"/>
        </w:rPr>
        <w:t>）</w:t>
      </w:r>
    </w:p>
    <w:tbl>
      <w:tblPr>
        <w:tblStyle w:val="32"/>
        <w:tblW w:w="10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1"/>
        <w:gridCol w:w="759"/>
        <w:gridCol w:w="878"/>
        <w:gridCol w:w="878"/>
        <w:gridCol w:w="878"/>
        <w:gridCol w:w="878"/>
        <w:gridCol w:w="878"/>
        <w:gridCol w:w="878"/>
        <w:gridCol w:w="878"/>
        <w:gridCol w:w="878"/>
        <w:gridCol w:w="160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9053" w:type="dxa"/>
            <w:gridSpan w:val="10"/>
            <w:noWrap w:val="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9053" w:type="dxa"/>
            <w:gridSpan w:val="10"/>
            <w:noWrap w:val="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9053" w:type="dxa"/>
            <w:gridSpan w:val="10"/>
            <w:noWrap w:val="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浸塑、固化废气处理设施排气筒G1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9053" w:type="dxa"/>
            <w:gridSpan w:val="10"/>
            <w:noWrap w:val="0"/>
            <w:tcMar>
              <w:left w:w="113" w:type="dxa"/>
              <w:right w:w="113" w:type="dxa"/>
            </w:tcMar>
            <w:vAlign w:val="center"/>
          </w:tcPr>
          <w:p>
            <w:pPr>
              <w:widowControl/>
              <w:adjustRightInd w:val="0"/>
              <w:snapToGrid w:val="0"/>
              <w:rPr>
                <w:rFonts w:hint="eastAsia" w:ascii="Times New Roman" w:hAnsi="Times New Roman" w:cs="Times New Roman" w:eastAsiaTheme="minorEastAsia"/>
                <w:bCs/>
                <w:kern w:val="0"/>
                <w:sz w:val="18"/>
                <w:szCs w:val="18"/>
                <w:lang w:val="en-US" w:eastAsia="zh-CN" w:bidi="ar-SA"/>
              </w:rPr>
            </w:pPr>
            <w:r>
              <w:rPr>
                <w:rFonts w:hint="eastAsia" w:ascii="Times New Roman" w:hAnsi="Times New Roman" w:cs="Times New Roman"/>
                <w:bCs/>
                <w:kern w:val="0"/>
                <w:sz w:val="18"/>
                <w:szCs w:val="18"/>
                <w:lang w:eastAsia="zh-CN"/>
              </w:rPr>
              <w:t>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696128" behindDoc="0" locked="0" layoutInCell="1" allowOverlap="1">
                      <wp:simplePos x="0" y="0"/>
                      <wp:positionH relativeFrom="column">
                        <wp:posOffset>290830</wp:posOffset>
                      </wp:positionH>
                      <wp:positionV relativeFrom="paragraph">
                        <wp:posOffset>253365</wp:posOffset>
                      </wp:positionV>
                      <wp:extent cx="462915" cy="452755"/>
                      <wp:effectExtent l="0" t="0" r="0" b="0"/>
                      <wp:wrapNone/>
                      <wp:docPr id="12" name="矩形 12"/>
                      <wp:cNvGraphicFramePr/>
                      <a:graphic xmlns:a="http://schemas.openxmlformats.org/drawingml/2006/main">
                        <a:graphicData uri="http://schemas.microsoft.com/office/word/2010/wordprocessingShape">
                          <wps:wsp>
                            <wps:cNvSpPr/>
                            <wps:spPr>
                              <a:xfrm>
                                <a:off x="0" y="0"/>
                                <a:ext cx="462915" cy="45275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项目</w:t>
                                  </w:r>
                                </w:p>
                              </w:txbxContent>
                            </wps:txbx>
                            <wps:bodyPr upright="1"/>
                          </wps:wsp>
                        </a:graphicData>
                      </a:graphic>
                    </wp:anchor>
                  </w:drawing>
                </mc:Choice>
                <mc:Fallback>
                  <w:pict>
                    <v:rect id="_x0000_s1026" o:spid="_x0000_s1026" o:spt="1" style="position:absolute;left:0pt;margin-left:22.9pt;margin-top:19.95pt;height:35.65pt;width:36.45pt;z-index:251696128;mso-width-relative:page;mso-height-relative:page;" filled="f" stroked="f" coordsize="21600,21600" o:gfxdata="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2j8XYdoAAAAJAQAADwAA&#10;AAAAAAABACAAAAAiAAAAZHJzL2Rvd25yZXYueG1sUEsBAhQAFAAAAAgAh07iQDnxcoWiAQAAQgMA&#10;AA4AAAAAAAAAAQAgAAAAKQEAAGRycy9lMm9Eb2MueG1sUEsFBgAAAAAGAAYAWQEAAD0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00224" behindDoc="0" locked="0" layoutInCell="1" allowOverlap="1">
                      <wp:simplePos x="0" y="0"/>
                      <wp:positionH relativeFrom="column">
                        <wp:posOffset>-76835</wp:posOffset>
                      </wp:positionH>
                      <wp:positionV relativeFrom="paragraph">
                        <wp:posOffset>244475</wp:posOffset>
                      </wp:positionV>
                      <wp:extent cx="462915" cy="452755"/>
                      <wp:effectExtent l="0" t="0" r="0" b="0"/>
                      <wp:wrapNone/>
                      <wp:docPr id="13" name="矩形 13"/>
                      <wp:cNvGraphicFramePr/>
                      <a:graphic xmlns:a="http://schemas.openxmlformats.org/drawingml/2006/main">
                        <a:graphicData uri="http://schemas.microsoft.com/office/word/2010/wordprocessingShape">
                          <wps:wsp>
                            <wps:cNvSpPr/>
                            <wps:spPr>
                              <a:xfrm>
                                <a:off x="0" y="0"/>
                                <a:ext cx="462915" cy="45275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Theme="minorEastAsia"/>
                                      <w:bCs/>
                                      <w:kern w:val="0"/>
                                      <w:sz w:val="18"/>
                                      <w:szCs w:val="18"/>
                                      <w:lang w:val="en-US" w:eastAsia="zh-CN"/>
                                    </w:rPr>
                                  </w:pPr>
                                  <w:r>
                                    <w:rPr>
                                      <w:rFonts w:hint="eastAsia"/>
                                      <w:bCs/>
                                      <w:kern w:val="0"/>
                                      <w:sz w:val="18"/>
                                      <w:szCs w:val="18"/>
                                      <w:lang w:val="en-US" w:eastAsia="zh-CN"/>
                                    </w:rPr>
                                    <w:t>结果</w:t>
                                  </w:r>
                                </w:p>
                              </w:txbxContent>
                            </wps:txbx>
                            <wps:bodyPr upright="1"/>
                          </wps:wsp>
                        </a:graphicData>
                      </a:graphic>
                    </wp:anchor>
                  </w:drawing>
                </mc:Choice>
                <mc:Fallback>
                  <w:pict>
                    <v:rect id="_x0000_s1026" o:spid="_x0000_s1026" o:spt="1" style="position:absolute;left:0pt;margin-left:-6.05pt;margin-top:19.25pt;height:35.65pt;width:36.45pt;z-index:251700224;mso-width-relative:page;mso-height-relative:page;" filled="f" stroked="f" coordsize="21600,21600" o:gfxdata="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23cHmtkAAAAJAQAADwAA&#10;AAAAAAABACAAAAAiAAAAZHJzL2Rvd25yZXYueG1sUEsBAhQAFAAAAAgAh07iQL8O0h6jAQAAQgMA&#10;AA4AAAAAAAAAAQAgAAAAKAEAAGRycy9lMm9Eb2MueG1sUEsFBgAAAAAGAAYAWQEAAD0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Theme="minorEastAsia"/>
                                <w:bCs/>
                                <w:kern w:val="0"/>
                                <w:sz w:val="18"/>
                                <w:szCs w:val="18"/>
                                <w:lang w:val="en-US" w:eastAsia="zh-CN"/>
                              </w:rPr>
                            </w:pPr>
                            <w:r>
                              <w:rPr>
                                <w:rFonts w:hint="eastAsia"/>
                                <w:bCs/>
                                <w:kern w:val="0"/>
                                <w:sz w:val="18"/>
                                <w:szCs w:val="18"/>
                                <w:lang w:val="en-US" w:eastAsia="zh-CN"/>
                              </w:rPr>
                              <w:t>结果</w:t>
                            </w:r>
                          </w:p>
                        </w:txbxContent>
                      </v:textbox>
                    </v:rect>
                  </w:pict>
                </mc:Fallback>
              </mc:AlternateContent>
            </w:r>
            <w:r>
              <w:rPr>
                <w:rFonts w:hint="default" w:ascii="Times New Roman" w:hAnsi="Times New Roman" w:cs="Times New Roman"/>
                <w:b/>
                <w:bCs/>
                <w:kern w:val="0"/>
                <w:szCs w:val="21"/>
                <w:lang w:val="zh-CN"/>
              </w:rPr>
              <mc:AlternateContent>
                <mc:Choice Requires="wps">
                  <w:drawing>
                    <wp:anchor distT="0" distB="0" distL="114300" distR="114300" simplePos="0" relativeHeight="251699200" behindDoc="0" locked="0" layoutInCell="1" allowOverlap="1">
                      <wp:simplePos x="0" y="0"/>
                      <wp:positionH relativeFrom="column">
                        <wp:posOffset>153035</wp:posOffset>
                      </wp:positionH>
                      <wp:positionV relativeFrom="paragraph">
                        <wp:posOffset>-73660</wp:posOffset>
                      </wp:positionV>
                      <wp:extent cx="791845" cy="434975"/>
                      <wp:effectExtent l="0" t="0" r="0" b="0"/>
                      <wp:wrapNone/>
                      <wp:docPr id="14" name="矩形 14"/>
                      <wp:cNvGraphicFramePr/>
                      <a:graphic xmlns:a="http://schemas.openxmlformats.org/drawingml/2006/main">
                        <a:graphicData uri="http://schemas.microsoft.com/office/word/2010/wordprocessingShape">
                          <wps:wsp>
                            <wps:cNvSpPr/>
                            <wps:spPr>
                              <a:xfrm>
                                <a:off x="0" y="0"/>
                                <a:ext cx="791845" cy="434975"/>
                              </a:xfrm>
                              <a:prstGeom prst="rect">
                                <a:avLst/>
                              </a:prstGeom>
                              <a:noFill/>
                              <a:ln>
                                <a:noFill/>
                              </a:ln>
                            </wps:spPr>
                            <wps:txbx>
                              <w:txbxContent>
                                <w:p>
                                  <w:pPr>
                                    <w:rPr>
                                      <w:bCs/>
                                      <w:kern w:val="0"/>
                                      <w:sz w:val="18"/>
                                      <w:szCs w:val="18"/>
                                    </w:rPr>
                                  </w:pPr>
                                  <w:r>
                                    <w:rPr>
                                      <w:rFonts w:hint="eastAsia"/>
                                      <w:bCs/>
                                      <w:kern w:val="0"/>
                                      <w:sz w:val="18"/>
                                      <w:szCs w:val="18"/>
                                    </w:rPr>
                                    <w:t>采样频次</w:t>
                                  </w:r>
                                </w:p>
                              </w:txbxContent>
                            </wps:txbx>
                            <wps:bodyPr upright="1"/>
                          </wps:wsp>
                        </a:graphicData>
                      </a:graphic>
                    </wp:anchor>
                  </w:drawing>
                </mc:Choice>
                <mc:Fallback>
                  <w:pict>
                    <v:rect id="_x0000_s1026" o:spid="_x0000_s1026" o:spt="1" style="position:absolute;left:0pt;margin-left:12.05pt;margin-top:-5.8pt;height:34.25pt;width:62.35pt;z-index:251699200;mso-width-relative:page;mso-height-relative:page;" filled="f" stroked="f" coordsize="21600,21600" o:gfxdata="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k/hFraAAAACQEAAA8A&#10;AAAAAAAAAQAgAAAAIgAAAGRycy9kb3ducmV2LnhtbFBLAQIUABQAAAAIAIdO4kAneUvMowEAAEID&#10;AAAOAAAAAAAAAAEAIAAAACkBAABkcnMvZTJvRG9jLnhtbFBLBQYAAAAABgAGAFkBAAA+BQAAAAA=&#10;">
                      <v:fill on="f" focussize="0,0"/>
                      <v:stroke on="f"/>
                      <v:imagedata o:title=""/>
                      <o:lock v:ext="edit" aspectratio="f"/>
                      <v:textbox>
                        <w:txbxContent>
                          <w:p>
                            <w:pPr>
                              <w:rPr>
                                <w:bCs/>
                                <w:kern w:val="0"/>
                                <w:sz w:val="18"/>
                                <w:szCs w:val="18"/>
                              </w:rPr>
                            </w:pPr>
                            <w:r>
                              <w:rPr>
                                <w:rFonts w:hint="eastAsia"/>
                                <w:bCs/>
                                <w:kern w:val="0"/>
                                <w:sz w:val="18"/>
                                <w:szCs w:val="18"/>
                              </w:rPr>
                              <w:t>采样频次</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97152" behindDoc="0" locked="0" layoutInCell="1" allowOverlap="1">
                      <wp:simplePos x="0" y="0"/>
                      <wp:positionH relativeFrom="column">
                        <wp:posOffset>16510</wp:posOffset>
                      </wp:positionH>
                      <wp:positionV relativeFrom="paragraph">
                        <wp:posOffset>-3175</wp:posOffset>
                      </wp:positionV>
                      <wp:extent cx="691515" cy="414020"/>
                      <wp:effectExtent l="2540" t="3810" r="10795" b="20320"/>
                      <wp:wrapNone/>
                      <wp:docPr id="15" name="直接箭头连接符 15"/>
                      <wp:cNvGraphicFramePr/>
                      <a:graphic xmlns:a="http://schemas.openxmlformats.org/drawingml/2006/main">
                        <a:graphicData uri="http://schemas.microsoft.com/office/word/2010/wordprocessingShape">
                          <wps:wsp>
                            <wps:cNvCnPr/>
                            <wps:spPr>
                              <a:xfrm>
                                <a:off x="0" y="0"/>
                                <a:ext cx="691515" cy="4140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pt;margin-top:-0.25pt;height:32.6pt;width:54.45pt;z-index:251697152;mso-width-relative:page;mso-height-relative:page;" filled="f" stroked="t" coordsize="21600,21600" o:gfxdata="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A4Wf9QAAAAGAQAADwAAAAAAAAABACAAAAAiAAAAZHJzL2Rvd25y&#10;ZXYueG1sUEsBAhQAFAAAAAgAh07iQHPV10MCAgAA8gMAAA4AAAAAAAAAAQAgAAAAIwEAAGRycy9l&#10;Mm9Eb2MueG1sUEsFBgAAAAAGAAYAWQEAAJc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98176" behindDoc="0" locked="0" layoutInCell="1" allowOverlap="1">
                      <wp:simplePos x="0" y="0"/>
                      <wp:positionH relativeFrom="column">
                        <wp:posOffset>9525</wp:posOffset>
                      </wp:positionH>
                      <wp:positionV relativeFrom="paragraph">
                        <wp:posOffset>-7620</wp:posOffset>
                      </wp:positionV>
                      <wp:extent cx="382905" cy="607060"/>
                      <wp:effectExtent l="3810" t="2540" r="13335" b="19050"/>
                      <wp:wrapNone/>
                      <wp:docPr id="16" name="直接箭头连接符 16"/>
                      <wp:cNvGraphicFramePr/>
                      <a:graphic xmlns:a="http://schemas.openxmlformats.org/drawingml/2006/main">
                        <a:graphicData uri="http://schemas.microsoft.com/office/word/2010/wordprocessingShape">
                          <wps:wsp>
                            <wps:cNvCnPr/>
                            <wps:spPr>
                              <a:xfrm>
                                <a:off x="0" y="0"/>
                                <a:ext cx="382905" cy="6070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5pt;margin-top:-0.6pt;height:47.8pt;width:30.15pt;z-index:251698176;mso-width-relative:page;mso-height-relative:page;" filled="f" stroked="t" coordsize="21600,21600" o:gfxdata="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sCHo1QAAAAYBAAAPAAAAAAAAAAEAIAAAACIAAABkcnMvZG93&#10;bnJldi54bWxQSwECFAAUAAAACACHTuJAs5IRBQMCAADyAwAADgAAAAAAAAABACAAAAAk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tc>
        <w:tc>
          <w:tcPr>
            <w:tcW w:w="3512" w:type="dxa"/>
            <w:gridSpan w:val="4"/>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进口</w:t>
            </w:r>
            <w:r>
              <w:rPr>
                <w:rFonts w:hint="default" w:ascii="Times New Roman" w:hAnsi="Times New Roman" w:eastAsia="仿宋" w:cs="Times New Roman"/>
                <w:sz w:val="18"/>
                <w:szCs w:val="18"/>
              </w:rPr>
              <w:t>G1-1</w:t>
            </w:r>
          </w:p>
        </w:tc>
        <w:tc>
          <w:tcPr>
            <w:tcW w:w="3512" w:type="dxa"/>
            <w:gridSpan w:val="4"/>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出口</w:t>
            </w:r>
            <w:r>
              <w:rPr>
                <w:rFonts w:hint="default" w:ascii="Times New Roman" w:hAnsi="Times New Roman" w:eastAsia="仿宋" w:cs="Times New Roman"/>
                <w:sz w:val="18"/>
                <w:szCs w:val="18"/>
              </w:rPr>
              <w:t>G1-2</w:t>
            </w:r>
          </w:p>
        </w:tc>
        <w:tc>
          <w:tcPr>
            <w:tcW w:w="1602"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《工业涂装工序大气污染物排放标准》（DB 33/2146-2018）</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表1</w:t>
            </w:r>
          </w:p>
        </w:tc>
        <w:tc>
          <w:tcPr>
            <w:tcW w:w="427" w:type="dxa"/>
            <w:vMerge w:val="restart"/>
            <w:noWrap w:val="0"/>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平均值</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平均值</w:t>
            </w:r>
          </w:p>
        </w:tc>
        <w:tc>
          <w:tcPr>
            <w:tcW w:w="1602"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427"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41"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tc>
        <w:tc>
          <w:tcPr>
            <w:tcW w:w="759"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9.22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8.67</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8.57</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8.82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5.28</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6.00</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5.98</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5.75</w:t>
            </w:r>
          </w:p>
        </w:tc>
        <w:tc>
          <w:tcPr>
            <w:tcW w:w="1602"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80</w:t>
            </w:r>
          </w:p>
        </w:tc>
        <w:tc>
          <w:tcPr>
            <w:tcW w:w="42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341" w:type="dxa"/>
            <w:vMerge w:val="continue"/>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p>
        </w:tc>
        <w:tc>
          <w:tcPr>
            <w:tcW w:w="759"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kern w:val="0"/>
                <w:sz w:val="18"/>
                <w:szCs w:val="18"/>
                <w:lang w:bidi="ar"/>
              </w:rPr>
              <w:t>排放速率（kg/h）</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0.198 </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0.190 </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0.181 </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0.190 </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6.54×10</w:t>
            </w:r>
            <w:r>
              <w:rPr>
                <w:rFonts w:hint="default" w:ascii="Times New Roman" w:hAnsi="Times New Roman" w:cs="Times New Roman"/>
                <w:bCs/>
                <w:kern w:val="0"/>
                <w:sz w:val="18"/>
                <w:szCs w:val="18"/>
                <w:vertAlign w:val="superscript"/>
              </w:rPr>
              <w:t>-2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7.45×10</w:t>
            </w:r>
            <w:r>
              <w:rPr>
                <w:rFonts w:hint="default" w:ascii="Times New Roman" w:hAnsi="Times New Roman" w:cs="Times New Roman"/>
                <w:bCs/>
                <w:kern w:val="0"/>
                <w:sz w:val="18"/>
                <w:szCs w:val="18"/>
                <w:vertAlign w:val="superscript"/>
              </w:rPr>
              <w:t>-2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7.56×10</w:t>
            </w:r>
            <w:r>
              <w:rPr>
                <w:rFonts w:hint="default" w:ascii="Times New Roman" w:hAnsi="Times New Roman" w:cs="Times New Roman"/>
                <w:bCs/>
                <w:kern w:val="0"/>
                <w:sz w:val="18"/>
                <w:szCs w:val="18"/>
                <w:vertAlign w:val="superscript"/>
              </w:rPr>
              <w:t>-2</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7.18×10</w:t>
            </w:r>
            <w:r>
              <w:rPr>
                <w:rFonts w:hint="default" w:ascii="Times New Roman" w:hAnsi="Times New Roman" w:cs="Times New Roman"/>
                <w:bCs/>
                <w:kern w:val="0"/>
                <w:sz w:val="18"/>
                <w:szCs w:val="18"/>
                <w:vertAlign w:val="superscript"/>
              </w:rPr>
              <w:t>-2</w:t>
            </w:r>
          </w:p>
        </w:tc>
        <w:tc>
          <w:tcPr>
            <w:tcW w:w="1602" w:type="dxa"/>
            <w:noWrap w:val="0"/>
            <w:vAlign w:val="center"/>
          </w:tcPr>
          <w:p>
            <w:pPr>
              <w:widowControl/>
              <w:adjustRightInd w:val="0"/>
              <w:snapToGrid w:val="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eastAsia="zh-CN"/>
              </w:rPr>
              <w:t>—</w:t>
            </w:r>
          </w:p>
        </w:tc>
        <w:tc>
          <w:tcPr>
            <w:tcW w:w="427" w:type="dxa"/>
            <w:noWrap w:val="0"/>
            <w:vAlign w:val="center"/>
          </w:tcPr>
          <w:p>
            <w:pPr>
              <w:widowControl/>
              <w:adjustRightInd w:val="0"/>
              <w:snapToGrid w:val="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21443</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21904</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21129</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12391</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12418</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12634</w:t>
            </w:r>
          </w:p>
        </w:tc>
        <w:tc>
          <w:tcPr>
            <w:tcW w:w="87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t>
            </w:r>
          </w:p>
        </w:tc>
        <w:tc>
          <w:tcPr>
            <w:tcW w:w="1602" w:type="dxa"/>
            <w:noWrap w:val="0"/>
            <w:vAlign w:val="center"/>
          </w:tcPr>
          <w:p>
            <w:pPr>
              <w:widowControl/>
              <w:adjustRightInd w:val="0"/>
              <w:snapToGrid w:val="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eastAsia="zh-CN"/>
              </w:rPr>
              <w:t>—</w:t>
            </w:r>
          </w:p>
        </w:tc>
        <w:tc>
          <w:tcPr>
            <w:tcW w:w="427"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00" w:type="dxa"/>
            <w:gridSpan w:val="2"/>
            <w:noWrap w:val="0"/>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备注</w:t>
            </w:r>
          </w:p>
        </w:tc>
        <w:tc>
          <w:tcPr>
            <w:tcW w:w="9053" w:type="dxa"/>
            <w:gridSpan w:val="10"/>
            <w:noWrap w:val="0"/>
            <w:tcMar>
              <w:left w:w="0" w:type="dxa"/>
              <w:right w:w="0" w:type="dxa"/>
            </w:tcMar>
            <w:vAlign w:val="center"/>
          </w:tcPr>
          <w:p>
            <w:pPr>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1、“/”表示不需计算。</w:t>
            </w:r>
          </w:p>
          <w:p>
            <w:pPr>
              <w:widowControl/>
              <w:adjustRightInd w:val="0"/>
              <w:snapToGrid w:val="0"/>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2</w:t>
            </w:r>
            <w:r>
              <w:rPr>
                <w:rFonts w:hint="default" w:ascii="Times New Roman" w:hAnsi="Times New Roman" w:cs="Times New Roman"/>
                <w:bCs/>
                <w:kern w:val="0"/>
                <w:sz w:val="18"/>
                <w:szCs w:val="18"/>
              </w:rPr>
              <w:t>、</w:t>
            </w:r>
            <w:r>
              <w:rPr>
                <w:rFonts w:hint="default" w:ascii="Times New Roman" w:hAnsi="Times New Roman" w:cs="Times New Roman"/>
                <w:kern w:val="0"/>
                <w:sz w:val="18"/>
                <w:szCs w:val="18"/>
                <w:lang w:bidi="ar"/>
              </w:rPr>
              <w:t>“---”表示</w:t>
            </w:r>
            <w:r>
              <w:rPr>
                <w:rFonts w:hint="default" w:ascii="Times New Roman" w:hAnsi="Times New Roman" w:cs="Times New Roman"/>
                <w:bCs/>
                <w:kern w:val="0"/>
                <w:sz w:val="18"/>
                <w:szCs w:val="18"/>
              </w:rPr>
              <w:t>《工业涂装工序大气污染物排放标准》（DB 33/2146-2018）表1</w:t>
            </w:r>
            <w:r>
              <w:rPr>
                <w:rFonts w:hint="default" w:ascii="Times New Roman" w:hAnsi="Times New Roman" w:cs="Times New Roman"/>
                <w:kern w:val="0"/>
                <w:sz w:val="18"/>
                <w:szCs w:val="18"/>
                <w:lang w:bidi="ar"/>
              </w:rPr>
              <w:t>对该项目未做限制。</w:t>
            </w:r>
          </w:p>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3、当实测浓度为未检出时，排放速率用1/2检出限计算。</w:t>
            </w:r>
          </w:p>
        </w:tc>
      </w:tr>
    </w:tbl>
    <w:p>
      <w:pPr>
        <w:keepNext w:val="0"/>
        <w:keepLines w:val="0"/>
        <w:pageBreakBefore w:val="0"/>
        <w:widowControl w:val="0"/>
        <w:kinsoku/>
        <w:wordWrap/>
        <w:overflowPunct/>
        <w:topLinePunct w:val="0"/>
        <w:autoSpaceDE/>
        <w:autoSpaceDN/>
        <w:bidi w:val="0"/>
        <w:adjustRightInd/>
        <w:snapToGrid/>
        <w:spacing w:line="240" w:lineRule="exact"/>
        <w:ind w:firstLine="100" w:firstLineChars="100"/>
        <w:jc w:val="center"/>
        <w:textAlignment w:val="auto"/>
        <w:rPr>
          <w:rFonts w:ascii="Times New Roman" w:hAnsi="Times New Roman"/>
          <w:b/>
          <w:bCs/>
          <w:sz w:val="10"/>
          <w:szCs w:val="10"/>
        </w:rPr>
      </w:pPr>
    </w:p>
    <w:p>
      <w:pPr>
        <w:spacing w:line="360" w:lineRule="auto"/>
        <w:ind w:firstLine="482" w:firstLineChars="200"/>
        <w:rPr>
          <w:rFonts w:ascii="Times New Roman" w:hAnsi="Times New Roman"/>
          <w:b/>
          <w:sz w:val="24"/>
          <w:szCs w:val="24"/>
        </w:rPr>
      </w:pPr>
      <w:r>
        <w:rPr>
          <w:rFonts w:hint="eastAsia" w:ascii="Times New Roman" w:hAnsi="Times New Roman"/>
          <w:b/>
          <w:sz w:val="24"/>
          <w:szCs w:val="24"/>
        </w:rPr>
        <w:t>监测结果分析与评价：</w:t>
      </w:r>
    </w:p>
    <w:p>
      <w:pPr>
        <w:spacing w:line="360" w:lineRule="auto"/>
        <w:ind w:firstLine="480" w:firstLineChars="200"/>
        <w:rPr>
          <w:rFonts w:hint="eastAsia" w:ascii="Times New Roman" w:hAnsi="Times New Roman" w:cs="Times New Roman"/>
          <w:sz w:val="24"/>
          <w:szCs w:val="24"/>
          <w:lang w:eastAsia="zh-CN"/>
        </w:rPr>
      </w:pPr>
      <w:bookmarkStart w:id="90" w:name="_Hlk61958591"/>
      <w:r>
        <w:rPr>
          <w:rFonts w:hint="eastAsia" w:ascii="Times New Roman" w:hAnsi="Times New Roman" w:cs="Times New Roman"/>
          <w:sz w:val="24"/>
          <w:szCs w:val="24"/>
        </w:rPr>
        <w:t>验收监测期间，</w:t>
      </w:r>
      <w:r>
        <w:rPr>
          <w:rFonts w:hint="eastAsia" w:ascii="Times New Roman" w:hAnsi="Times New Roman" w:cs="Times New Roman"/>
          <w:sz w:val="24"/>
          <w:szCs w:val="24"/>
          <w:lang w:val="en-US" w:eastAsia="zh-CN"/>
        </w:rPr>
        <w:t>浸塑、固化废气处理设施排气筒（G1-2）</w:t>
      </w:r>
      <w:r>
        <w:rPr>
          <w:rFonts w:hint="default" w:ascii="Times New Roman" w:hAnsi="Times New Roman" w:cs="Times New Roman"/>
          <w:sz w:val="24"/>
          <w:szCs w:val="24"/>
          <w:lang w:val="en-US" w:eastAsia="zh-CN"/>
        </w:rPr>
        <w:t>出口</w:t>
      </w:r>
      <w:r>
        <w:rPr>
          <w:rFonts w:hint="eastAsia" w:ascii="Times New Roman" w:hAnsi="Times New Roman" w:cs="Times New Roman"/>
          <w:sz w:val="24"/>
          <w:szCs w:val="24"/>
          <w:lang w:val="en-US" w:eastAsia="zh-CN"/>
        </w:rPr>
        <w:t>非甲烷总烃</w:t>
      </w:r>
      <w:r>
        <w:rPr>
          <w:rFonts w:hint="eastAsia" w:ascii="Times New Roman" w:hAnsi="Times New Roman" w:cs="Times New Roman"/>
          <w:sz w:val="24"/>
          <w:szCs w:val="24"/>
        </w:rPr>
        <w:t>排放浓度</w:t>
      </w:r>
      <w:r>
        <w:rPr>
          <w:rFonts w:hint="eastAsia" w:ascii="Times New Roman" w:hAnsi="Times New Roman" w:cs="Times New Roman"/>
          <w:sz w:val="24"/>
          <w:szCs w:val="24"/>
          <w:lang w:val="en-US" w:eastAsia="zh-CN"/>
        </w:rPr>
        <w:t>最大值</w:t>
      </w:r>
      <w:r>
        <w:rPr>
          <w:rFonts w:ascii="Times New Roman" w:hAnsi="Times New Roman" w:cs="Times New Roman"/>
          <w:sz w:val="24"/>
          <w:szCs w:val="24"/>
        </w:rPr>
        <w:t>为</w:t>
      </w:r>
      <w:r>
        <w:rPr>
          <w:rFonts w:hint="eastAsia" w:ascii="Times New Roman" w:hAnsi="Times New Roman" w:cs="Times New Roman"/>
          <w:sz w:val="24"/>
          <w:szCs w:val="24"/>
          <w:lang w:val="en-US" w:eastAsia="zh-CN"/>
        </w:rPr>
        <w:t>5.75</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rPr>
        <w:t>；</w:t>
      </w:r>
      <w:r>
        <w:rPr>
          <w:rFonts w:hint="eastAsia" w:ascii="Times New Roman" w:hAnsi="Times New Roman" w:eastAsia="宋体" w:cs="Times New Roman"/>
          <w:bCs/>
          <w:kern w:val="0"/>
          <w:sz w:val="24"/>
          <w:szCs w:val="24"/>
        </w:rPr>
        <w:t>符合</w:t>
      </w:r>
      <w:r>
        <w:rPr>
          <w:rFonts w:hint="eastAsia" w:ascii="Times New Roman" w:hAnsi="Times New Roman" w:eastAsia="宋体" w:cs="Times New Roman"/>
          <w:bCs/>
          <w:kern w:val="0"/>
          <w:sz w:val="24"/>
          <w:szCs w:val="24"/>
          <w:lang w:eastAsia="zh-CN"/>
        </w:rPr>
        <w:t>《工业涂装工序大气污染物排放标准》DB 33/2146-2018表1</w:t>
      </w:r>
      <w:r>
        <w:rPr>
          <w:rFonts w:hint="eastAsia" w:ascii="Times New Roman" w:hAnsi="Times New Roman" w:cs="Times New Roman"/>
          <w:sz w:val="24"/>
          <w:szCs w:val="24"/>
        </w:rPr>
        <w:t>新污染源的二级标准限值</w:t>
      </w:r>
      <w:r>
        <w:rPr>
          <w:rFonts w:hint="eastAsia" w:ascii="Times New Roman" w:hAnsi="Times New Roman" w:cs="Times New Roman"/>
          <w:sz w:val="24"/>
          <w:szCs w:val="24"/>
          <w:lang w:eastAsia="zh-CN"/>
        </w:rPr>
        <w:t>。</w:t>
      </w:r>
    </w:p>
    <w:bookmarkEnd w:id="90"/>
    <w:p>
      <w:pPr>
        <w:pStyle w:val="6"/>
        <w:rPr>
          <w:kern w:val="22"/>
        </w:rPr>
      </w:pPr>
      <w:bookmarkStart w:id="91" w:name="_Toc26759"/>
      <w:r>
        <w:rPr>
          <w:rFonts w:hint="eastAsia"/>
          <w:kern w:val="22"/>
        </w:rPr>
        <w:t>9.2.3无组织废气检测结果及评价</w:t>
      </w:r>
      <w:bookmarkEnd w:id="91"/>
    </w:p>
    <w:p>
      <w:pPr>
        <w:spacing w:line="360" w:lineRule="auto"/>
        <w:ind w:firstLine="240" w:firstLineChars="100"/>
        <w:rPr>
          <w:rFonts w:ascii="Times New Roman" w:hAnsi="Times New Roman" w:cs="Times New Roman"/>
          <w:sz w:val="24"/>
        </w:rPr>
      </w:pPr>
      <w:r>
        <w:rPr>
          <w:rFonts w:hint="eastAsia" w:ascii="Times New Roman" w:hAnsi="Times New Roman" w:cs="Times New Roman"/>
          <w:sz w:val="24"/>
        </w:rPr>
        <w:t>无组织废气检测结果见表9.2.</w:t>
      </w:r>
      <w:r>
        <w:rPr>
          <w:rFonts w:ascii="Times New Roman" w:hAnsi="Times New Roman" w:cs="Times New Roman"/>
          <w:sz w:val="24"/>
        </w:rPr>
        <w:t>3</w:t>
      </w:r>
      <w:r>
        <w:rPr>
          <w:rFonts w:hint="eastAsia" w:ascii="Times New Roman" w:hAnsi="Times New Roman" w:cs="Times New Roman"/>
          <w:sz w:val="24"/>
        </w:rPr>
        <w:t>-</w:t>
      </w:r>
      <w:r>
        <w:rPr>
          <w:rFonts w:ascii="Times New Roman" w:hAnsi="Times New Roman" w:cs="Times New Roman"/>
          <w:sz w:val="24"/>
        </w:rPr>
        <w:t>1</w:t>
      </w:r>
      <w:r>
        <w:rPr>
          <w:rFonts w:hint="eastAsia" w:ascii="Times New Roman" w:hAnsi="Times New Roman" w:cs="Times New Roman"/>
          <w:sz w:val="24"/>
        </w:rPr>
        <w:t>~</w:t>
      </w:r>
      <w:r>
        <w:rPr>
          <w:rFonts w:ascii="Times New Roman" w:hAnsi="Times New Roman" w:cs="Times New Roman"/>
          <w:sz w:val="24"/>
        </w:rPr>
        <w:t>9.2.3</w:t>
      </w:r>
      <w:r>
        <w:rPr>
          <w:rFonts w:hint="eastAsia" w:ascii="Times New Roman" w:hAnsi="Times New Roman" w:cs="Times New Roman"/>
          <w:sz w:val="24"/>
        </w:rPr>
        <w:t>-</w:t>
      </w:r>
      <w:r>
        <w:rPr>
          <w:rFonts w:hint="eastAsia" w:ascii="Times New Roman" w:hAnsi="Times New Roman" w:cs="Times New Roman"/>
          <w:sz w:val="24"/>
          <w:lang w:val="en-US" w:eastAsia="zh-CN"/>
        </w:rPr>
        <w:t>2</w:t>
      </w:r>
      <w:r>
        <w:rPr>
          <w:rFonts w:hint="eastAsia" w:ascii="Times New Roman" w:hAnsi="Times New Roman" w:cs="Times New Roman"/>
          <w:sz w:val="24"/>
        </w:rPr>
        <w:t>。</w:t>
      </w:r>
    </w:p>
    <w:p>
      <w:pPr>
        <w:spacing w:line="360" w:lineRule="auto"/>
        <w:ind w:firstLine="211" w:firstLineChars="100"/>
        <w:jc w:val="center"/>
        <w:rPr>
          <w:rFonts w:hint="eastAsia"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ascii="Times New Roman" w:hAnsi="Times New Roman"/>
          <w:b/>
          <w:bCs/>
          <w:szCs w:val="21"/>
        </w:rPr>
        <w:t>3-1 无组织废气监测结果</w:t>
      </w:r>
      <w:r>
        <w:rPr>
          <w:rFonts w:hint="eastAsia" w:ascii="Times New Roman" w:hAnsi="Times New Roman"/>
          <w:b/>
          <w:bCs/>
          <w:szCs w:val="21"/>
        </w:rPr>
        <w:t>（1）</w:t>
      </w:r>
    </w:p>
    <w:tbl>
      <w:tblPr>
        <w:tblStyle w:val="32"/>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1"/>
        <w:gridCol w:w="911"/>
        <w:gridCol w:w="1775"/>
        <w:gridCol w:w="1762"/>
        <w:gridCol w:w="13"/>
        <w:gridCol w:w="1777"/>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3537"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2022年10月9日</w:t>
            </w:r>
          </w:p>
        </w:tc>
        <w:tc>
          <w:tcPr>
            <w:tcW w:w="3565" w:type="dxa"/>
            <w:gridSpan w:val="3"/>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72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120" w:lineRule="exact"/>
              <w:jc w:val="center"/>
              <w:textAlignment w:val="auto"/>
              <w:rPr>
                <w:rFonts w:hint="default" w:ascii="Times New Roman" w:hAnsi="Times New Roman" w:cs="Times New Roman"/>
                <w:bCs/>
                <w:kern w:val="0"/>
                <w:sz w:val="18"/>
                <w:szCs w:val="18"/>
                <w:lang w:val="en-US" w:eastAsia="zh-CN"/>
              </w:rPr>
            </w:pP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eastAsia="仿宋_GB2312" w:cs="Times New Roman"/>
                <w:b/>
                <w:sz w:val="24"/>
              </w:rPr>
              <mc:AlternateContent>
                <mc:Choice Requires="wps">
                  <w:drawing>
                    <wp:anchor distT="0" distB="0" distL="114300" distR="114300" simplePos="0" relativeHeight="251695104" behindDoc="0" locked="0" layoutInCell="1" allowOverlap="1">
                      <wp:simplePos x="0" y="0"/>
                      <wp:positionH relativeFrom="column">
                        <wp:posOffset>1131570</wp:posOffset>
                      </wp:positionH>
                      <wp:positionV relativeFrom="paragraph">
                        <wp:posOffset>162560</wp:posOffset>
                      </wp:positionV>
                      <wp:extent cx="783590" cy="237490"/>
                      <wp:effectExtent l="0" t="0" r="0" b="0"/>
                      <wp:wrapNone/>
                      <wp:docPr id="141" name="矩形 141"/>
                      <wp:cNvGraphicFramePr/>
                      <a:graphic xmlns:a="http://schemas.openxmlformats.org/drawingml/2006/main">
                        <a:graphicData uri="http://schemas.microsoft.com/office/word/2010/wordprocessingShape">
                          <wps:wsp>
                            <wps:cNvSpPr/>
                            <wps:spPr>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upright="1"/>
                          </wps:wsp>
                        </a:graphicData>
                      </a:graphic>
                    </wp:anchor>
                  </w:drawing>
                </mc:Choice>
                <mc:Fallback>
                  <w:pict>
                    <v:rect id="_x0000_s1026" o:spid="_x0000_s1026" o:spt="1" style="position:absolute;left:0pt;margin-left:89.1pt;margin-top:12.8pt;height:18.7pt;width:61.7pt;z-index:251695104;mso-width-relative:page;mso-height-relative:page;" filled="f" stroked="f" coordsize="21600,21600" o:gfxdata="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8Y7PPZAAAACQEAAA8AAAAA&#10;AAAAAQAgAAAAIgAAAGRycy9kb3ducmV2LnhtbFBLAQIUABQAAAAIAIdO4kDMLFZnoQEAAEQDAAAO&#10;AAAAAAAAAAEAIAAAACgBAABkcnMvZTJvRG9jLnhtbFBLBQYAAAAABgAGAFkBAAA7BQ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lang w:val="en-US" w:eastAsia="zh-CN"/>
              </w:rPr>
              <w:t>检测</w:t>
            </w:r>
            <w:r>
              <w:rPr>
                <w:rFonts w:hint="default" w:ascii="Times New Roman" w:hAnsi="Times New Roman" w:cs="Times New Roman"/>
                <w:bCs/>
                <w:kern w:val="0"/>
                <w:sz w:val="18"/>
                <w:szCs w:val="18"/>
              </w:rPr>
              <w:t>日期</w:t>
            </w:r>
          </w:p>
        </w:tc>
        <w:tc>
          <w:tcPr>
            <w:tcW w:w="3537"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2022年10月10日-12日</w:t>
            </w:r>
          </w:p>
        </w:tc>
        <w:tc>
          <w:tcPr>
            <w:tcW w:w="3565" w:type="dxa"/>
            <w:gridSpan w:val="3"/>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2022年10月10日-12日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76672" behindDoc="0" locked="0" layoutInCell="1" allowOverlap="1">
                      <wp:simplePos x="0" y="0"/>
                      <wp:positionH relativeFrom="column">
                        <wp:posOffset>6350</wp:posOffset>
                      </wp:positionH>
                      <wp:positionV relativeFrom="paragraph">
                        <wp:posOffset>8890</wp:posOffset>
                      </wp:positionV>
                      <wp:extent cx="1732915" cy="513715"/>
                      <wp:effectExtent l="1270" t="4445" r="8890" b="5715"/>
                      <wp:wrapNone/>
                      <wp:docPr id="99" name="直接箭头连接符 99"/>
                      <wp:cNvGraphicFramePr/>
                      <a:graphic xmlns:a="http://schemas.openxmlformats.org/drawingml/2006/main">
                        <a:graphicData uri="http://schemas.microsoft.com/office/word/2010/wordprocessingShape">
                          <wps:wsp>
                            <wps:cNvCnPr/>
                            <wps:spPr>
                              <a:xfrm>
                                <a:off x="0" y="0"/>
                                <a:ext cx="1732915" cy="5137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5pt;margin-top:0.7pt;height:40.45pt;width:136.45pt;z-index:251676672;mso-width-relative:page;mso-height-relative:page;" filled="f" stroked="t" coordsize="21600,21600" o:gfxdata="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crIsbWAAAABgEAAA8AAAAAAAAAAQAgAAAAIgAAAGRycy9kb3du&#10;cmV2LnhtbFBLAQIUABQAAAAIAIdO4kDFLYSCAQIAAPMDAAAOAAAAAAAAAAEAIAAAACUBAABkcnMv&#10;ZTJvRG9jLnhtbFBLBQYAAAAABgAGAFkBAACY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78720" behindDoc="0" locked="0" layoutInCell="1" allowOverlap="1">
                      <wp:simplePos x="0" y="0"/>
                      <wp:positionH relativeFrom="column">
                        <wp:posOffset>7620</wp:posOffset>
                      </wp:positionH>
                      <wp:positionV relativeFrom="paragraph">
                        <wp:posOffset>12065</wp:posOffset>
                      </wp:positionV>
                      <wp:extent cx="709295" cy="505460"/>
                      <wp:effectExtent l="2540" t="3810" r="12065" b="5080"/>
                      <wp:wrapNone/>
                      <wp:docPr id="64" name="直接箭头连接符 64"/>
                      <wp:cNvGraphicFramePr/>
                      <a:graphic xmlns:a="http://schemas.openxmlformats.org/drawingml/2006/main">
                        <a:graphicData uri="http://schemas.microsoft.com/office/word/2010/wordprocessingShape">
                          <wps:wsp>
                            <wps:cNvCnPr/>
                            <wps:spPr>
                              <a:xfrm>
                                <a:off x="0" y="0"/>
                                <a:ext cx="709295" cy="5054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6pt;margin-top:0.95pt;height:39.8pt;width:55.85pt;z-index:251678720;mso-width-relative:page;mso-height-relative:page;" filled="f" stroked="t" coordsize="21600,21600" o:gfxdata="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LWFc9MAAAAGAQAADwAAAAAAAAABACAAAAAiAAAAZHJzL2Rvd25y&#10;ZXYueG1sUEsBAhQAFAAAAAgAh07iQEpjUzoDAgAA8gMAAA4AAAAAAAAAAQAgAAAAIgEAAGRycy9l&#10;Mm9Eb2MueG1sUEsFBgAAAAAGAAYAWQEAAJc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77696" behindDoc="0" locked="0" layoutInCell="1" allowOverlap="1">
                      <wp:simplePos x="0" y="0"/>
                      <wp:positionH relativeFrom="column">
                        <wp:posOffset>3175</wp:posOffset>
                      </wp:positionH>
                      <wp:positionV relativeFrom="paragraph">
                        <wp:posOffset>-5080</wp:posOffset>
                      </wp:positionV>
                      <wp:extent cx="1732915" cy="260985"/>
                      <wp:effectExtent l="635" t="4445" r="9525" b="10795"/>
                      <wp:wrapNone/>
                      <wp:docPr id="66" name="直接箭头连接符 66"/>
                      <wp:cNvGraphicFramePr/>
                      <a:graphic xmlns:a="http://schemas.openxmlformats.org/drawingml/2006/main">
                        <a:graphicData uri="http://schemas.microsoft.com/office/word/2010/wordprocessingShape">
                          <wps:wsp>
                            <wps:cNvCnPr/>
                            <wps:spPr>
                              <a:xfrm>
                                <a:off x="0" y="0"/>
                                <a:ext cx="1732915" cy="2609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25pt;margin-top:-0.4pt;height:20.55pt;width:136.45pt;z-index:251677696;mso-width-relative:page;mso-height-relative:page;" filled="f" stroked="t" coordsize="21600,21600" o:gfxdata="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VuDpnVAAAABQEAAA8AAAAAAAAAAQAgAAAAIgAAAGRycy9kb3du&#10;cmV2LnhtbFBLAQIUABQAAAAIAIdO4kB9PGoZAgIAAPMDAAAOAAAAAAAAAAEAIAAAACQBAABkcnMv&#10;ZTJvRG9jLnhtbFBLBQYAAAAABgAGAFkBAACY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79744" behindDoc="0" locked="0" layoutInCell="1" allowOverlap="1">
                      <wp:simplePos x="0" y="0"/>
                      <wp:positionH relativeFrom="column">
                        <wp:posOffset>610870</wp:posOffset>
                      </wp:positionH>
                      <wp:positionV relativeFrom="paragraph">
                        <wp:posOffset>130810</wp:posOffset>
                      </wp:positionV>
                      <wp:extent cx="783590" cy="237490"/>
                      <wp:effectExtent l="0" t="0" r="0" b="0"/>
                      <wp:wrapNone/>
                      <wp:docPr id="67" name="矩形 67"/>
                      <wp:cNvGraphicFramePr/>
                      <a:graphic xmlns:a="http://schemas.openxmlformats.org/drawingml/2006/main">
                        <a:graphicData uri="http://schemas.microsoft.com/office/word/2010/wordprocessingShape">
                          <wps:wsp>
                            <wps:cNvSpPr/>
                            <wps:spPr>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采样频次</w:t>
                                  </w:r>
                                </w:p>
                              </w:txbxContent>
                            </wps:txbx>
                            <wps:bodyPr upright="1"/>
                          </wps:wsp>
                        </a:graphicData>
                      </a:graphic>
                    </wp:anchor>
                  </w:drawing>
                </mc:Choice>
                <mc:Fallback>
                  <w:pict>
                    <v:rect id="_x0000_s1026" o:spid="_x0000_s1026" o:spt="1" style="position:absolute;left:0pt;margin-left:48.1pt;margin-top:10.3pt;height:18.7pt;width:61.7pt;z-index:251679744;mso-width-relative:page;mso-height-relative:page;" filled="f" stroked="f" coordsize="21600,21600" o:gfxdata="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ZAMuI2QAAAAgBAAAPAAAA&#10;AAAAAAEAIAAAACIAAABkcnMvZG93bnJldi54bWxQSwECFAAUAAAACACHTuJAQhLy0qIBAABCAwAA&#10;DgAAAAAAAAABACAAAAAoAQAAZHJzL2Uyb0RvYy54bWxQSwUGAAAAAAYABgBZAQAAPAUAAAAA&#10;">
                      <v:fill on="f" focussize="0,0"/>
                      <v:stroke on="f"/>
                      <v:imagedata o:title=""/>
                      <o:lock v:ext="edit" aspectratio="f"/>
                      <v:textbox>
                        <w:txbxContent>
                          <w:p>
                            <w:pPr>
                              <w:rPr>
                                <w:bCs/>
                                <w:kern w:val="0"/>
                                <w:sz w:val="18"/>
                                <w:szCs w:val="18"/>
                              </w:rPr>
                            </w:pPr>
                            <w:r>
                              <w:rPr>
                                <w:rFonts w:hint="eastAsia"/>
                                <w:bCs/>
                                <w:kern w:val="0"/>
                                <w:sz w:val="18"/>
                                <w:szCs w:val="18"/>
                              </w:rPr>
                              <w:t>采样频次</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81792" behindDoc="0" locked="0" layoutInCell="1" allowOverlap="1">
                      <wp:simplePos x="0" y="0"/>
                      <wp:positionH relativeFrom="column">
                        <wp:posOffset>-49530</wp:posOffset>
                      </wp:positionH>
                      <wp:positionV relativeFrom="paragraph">
                        <wp:posOffset>153670</wp:posOffset>
                      </wp:positionV>
                      <wp:extent cx="783590" cy="237490"/>
                      <wp:effectExtent l="0" t="0" r="0" b="0"/>
                      <wp:wrapNone/>
                      <wp:docPr id="101" name="矩形 101"/>
                      <wp:cNvGraphicFramePr/>
                      <a:graphic xmlns:a="http://schemas.openxmlformats.org/drawingml/2006/main">
                        <a:graphicData uri="http://schemas.microsoft.com/office/word/2010/wordprocessingShape">
                          <wps:wsp>
                            <wps:cNvSpPr/>
                            <wps:spPr>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upright="1"/>
                          </wps:wsp>
                        </a:graphicData>
                      </a:graphic>
                    </wp:anchor>
                  </w:drawing>
                </mc:Choice>
                <mc:Fallback>
                  <w:pict>
                    <v:rect id="_x0000_s1026" o:spid="_x0000_s1026" o:spt="1" style="position:absolute;left:0pt;margin-left:-3.9pt;margin-top:12.1pt;height:18.7pt;width:61.7pt;z-index:251681792;mso-width-relative:page;mso-height-relative:page;" filled="f" stroked="f" coordsize="21600,21600" o:gfxdata="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RBpNH2QAAAAgBAAAPAAAA&#10;AAAAAAEAIAAAACIAAABkcnMvZG93bnJldi54bWxQSwECFAAUAAAACACHTuJAQNp26KIBAABEAwAA&#10;DgAAAAAAAAABACAAAAAoAQAAZHJzL2Uyb0RvYy54bWxQSwUGAAAAAAYABgBZAQAAPAU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w:hAnsi="Times New Roman" w:eastAsia="华文中宋" w:cs="Times New Roman"/>
                <w:b/>
                <w:spacing w:val="227"/>
                <w:sz w:val="30"/>
                <w:szCs w:val="30"/>
                <w:lang w:val="zh-CN"/>
              </w:rPr>
              <mc:AlternateContent>
                <mc:Choice Requires="wps">
                  <w:drawing>
                    <wp:anchor distT="0" distB="0" distL="114300" distR="114300" simplePos="0" relativeHeight="251680768" behindDoc="0" locked="0" layoutInCell="1" allowOverlap="1">
                      <wp:simplePos x="0" y="0"/>
                      <wp:positionH relativeFrom="column">
                        <wp:posOffset>1139190</wp:posOffset>
                      </wp:positionH>
                      <wp:positionV relativeFrom="paragraph">
                        <wp:posOffset>25400</wp:posOffset>
                      </wp:positionV>
                      <wp:extent cx="783590" cy="255270"/>
                      <wp:effectExtent l="0" t="0" r="0" b="0"/>
                      <wp:wrapNone/>
                      <wp:docPr id="65" name="矩形 65"/>
                      <wp:cNvGraphicFramePr/>
                      <a:graphic xmlns:a="http://schemas.openxmlformats.org/drawingml/2006/main">
                        <a:graphicData uri="http://schemas.microsoft.com/office/word/2010/wordprocessingShape">
                          <wps:wsp>
                            <wps:cNvSpPr/>
                            <wps:spPr>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upright="1"/>
                          </wps:wsp>
                        </a:graphicData>
                      </a:graphic>
                    </wp:anchor>
                  </w:drawing>
                </mc:Choice>
                <mc:Fallback>
                  <w:pict>
                    <v:rect id="_x0000_s1026" o:spid="_x0000_s1026" o:spt="1" style="position:absolute;left:0pt;margin-left:89.7pt;margin-top:2pt;height:20.1pt;width:61.7pt;z-index:251680768;mso-width-relative:page;mso-height-relative:page;" filled="f" stroked="f" coordsize="21600,21600" o:gfxdata="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LIH73XAAAACAEAAA8AAAAA&#10;AAAAAQAgAAAAIgAAAGRycy9kb3ducmV2LnhtbFBLAQIUABQAAAAIAIdO4kDoqwdXowEAAEIDAAAO&#10;AAAAAAAAAAEAIAAAACYBAABkcnMvZTJvRG9jLnhtbFBLBQYAAAAABgAGAFkBAAA7BQ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p>
        </w:tc>
        <w:tc>
          <w:tcPr>
            <w:tcW w:w="1775"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颗粒物</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775" w:type="dxa"/>
            <w:gridSpan w:val="2"/>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777"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颗粒物</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775"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厂界上风向</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G0</w:t>
            </w: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0.214</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0.60</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0.231</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0.211</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0.58</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0.251</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0.234</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0.57</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0.269</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G1</w:t>
            </w: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0.258</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0.70</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0.262</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0.281</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0.70</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0.281</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0.276</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0.79</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0.274</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G2</w:t>
            </w: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0.279</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0.86</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0.276</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0.286</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0.78</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0.296</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0.290</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0.92</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0.306</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G3</w:t>
            </w: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0.306</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0.74</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0.306</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continue"/>
            <w:tcBorders/>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0.293</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0.79</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0.320</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811" w:type="dxa"/>
            <w:vMerge w:val="continue"/>
            <w:tcBorders/>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0.303</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0.77</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0.315</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厂界最大值</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0.306</w:t>
            </w:r>
          </w:p>
        </w:tc>
        <w:tc>
          <w:tcPr>
            <w:tcW w:w="1775"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0.92</w:t>
            </w:r>
          </w:p>
        </w:tc>
        <w:tc>
          <w:tcPr>
            <w:tcW w:w="1777"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0.320</w:t>
            </w:r>
          </w:p>
        </w:tc>
        <w:tc>
          <w:tcPr>
            <w:tcW w:w="177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《大气污染物综合排放标准》（GB16297-1996）  表2</w:t>
            </w:r>
          </w:p>
        </w:tc>
        <w:tc>
          <w:tcPr>
            <w:tcW w:w="177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1775" w:type="dxa"/>
            <w:gridSpan w:val="2"/>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4.0</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p>
        </w:tc>
        <w:tc>
          <w:tcPr>
            <w:tcW w:w="1777"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177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4.0</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结果评价</w:t>
            </w:r>
          </w:p>
        </w:tc>
        <w:tc>
          <w:tcPr>
            <w:tcW w:w="177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1775" w:type="dxa"/>
            <w:gridSpan w:val="2"/>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1777"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177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7102" w:type="dxa"/>
            <w:gridSpan w:val="5"/>
            <w:noWrap w:val="0"/>
            <w:tcMar>
              <w:left w:w="0" w:type="dxa"/>
              <w:right w:w="0" w:type="dxa"/>
            </w:tcMar>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pPr>
              <w:widowControl/>
              <w:adjustRightInd w:val="0"/>
              <w:snapToGrid w:val="0"/>
              <w:ind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10月9日气象参数：天气：晴；气温：21.4-31.3℃；气压：101.67-102.7kPa；风向：西北风；风速：1.9-2.1m/s。</w:t>
            </w:r>
          </w:p>
          <w:p>
            <w:pPr>
              <w:widowControl/>
              <w:adjustRightInd w:val="0"/>
              <w:snapToGrid w:val="0"/>
              <w:ind w:firstLine="360" w:firstLineChars="20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10月10日气象参数：天气：晴；气温：21.4-32.7℃；气压：102.08-102.7kPa；风向：西北风；风速2.0-2.2m/s。</w:t>
            </w:r>
          </w:p>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r>
              <w:rPr>
                <w:rFonts w:hint="default" w:ascii="Times New Roman" w:hAnsi="Times New Roman" w:cs="Times New Roman"/>
                <w:kern w:val="0"/>
                <w:sz w:val="18"/>
                <w:szCs w:val="18"/>
              </w:rPr>
              <w:t>”表示非甲烷总烃排放执行</w:t>
            </w:r>
            <w:r>
              <w:rPr>
                <w:rFonts w:hint="default" w:ascii="Times New Roman" w:hAnsi="Times New Roman" w:cs="Times New Roman"/>
                <w:bCs/>
                <w:kern w:val="0"/>
                <w:sz w:val="18"/>
                <w:szCs w:val="18"/>
              </w:rPr>
              <w:t>《工业涂装工序大气污染物排放标准》（DB33/2146-2018）表6排放限值。</w:t>
            </w:r>
          </w:p>
        </w:tc>
      </w:tr>
    </w:tbl>
    <w:p>
      <w:pPr>
        <w:spacing w:line="360" w:lineRule="auto"/>
        <w:ind w:firstLine="211" w:firstLineChars="100"/>
        <w:jc w:val="center"/>
        <w:rPr>
          <w:rFonts w:hint="default" w:ascii="Times New Roman" w:hAnsi="Times New Roman" w:cs="Times New Roman"/>
          <w:b/>
          <w:bCs/>
          <w:szCs w:val="21"/>
        </w:rPr>
      </w:pPr>
      <w:r>
        <w:rPr>
          <w:rFonts w:hint="default" w:ascii="Times New Roman" w:hAnsi="Times New Roman" w:cs="Times New Roman"/>
          <w:b/>
          <w:bCs/>
          <w:szCs w:val="21"/>
        </w:rPr>
        <w:t>表 9.2.3-</w:t>
      </w:r>
      <w:r>
        <w:rPr>
          <w:rFonts w:hint="eastAsia" w:ascii="Times New Roman" w:hAnsi="Times New Roman" w:cs="Times New Roman"/>
          <w:b/>
          <w:bCs/>
          <w:szCs w:val="21"/>
          <w:lang w:val="en-US" w:eastAsia="zh-CN"/>
        </w:rPr>
        <w:t>2</w:t>
      </w:r>
      <w:r>
        <w:rPr>
          <w:rFonts w:hint="default" w:ascii="Times New Roman" w:hAnsi="Times New Roman" w:cs="Times New Roman"/>
          <w:b/>
          <w:bCs/>
          <w:szCs w:val="21"/>
        </w:rPr>
        <w:t xml:space="preserve"> 无组织废气监测结果（</w:t>
      </w:r>
      <w:r>
        <w:rPr>
          <w:rFonts w:hint="eastAsia" w:ascii="Times New Roman" w:hAnsi="Times New Roman" w:cs="Times New Roman"/>
          <w:b/>
          <w:bCs/>
          <w:szCs w:val="21"/>
          <w:lang w:val="en-US" w:eastAsia="zh-CN"/>
        </w:rPr>
        <w:t>2</w:t>
      </w:r>
      <w:r>
        <w:rPr>
          <w:rFonts w:hint="default" w:ascii="Times New Roman" w:hAnsi="Times New Roman" w:cs="Times New Roman"/>
          <w:b/>
          <w:bCs/>
          <w:szCs w:val="21"/>
        </w:rPr>
        <w:t>）</w:t>
      </w:r>
    </w:p>
    <w:tbl>
      <w:tblPr>
        <w:tblStyle w:val="32"/>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1"/>
        <w:gridCol w:w="911"/>
        <w:gridCol w:w="3551"/>
        <w:gridCol w:w="3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2022年10月9日</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100" w:lineRule="exact"/>
              <w:jc w:val="center"/>
              <w:textAlignment w:val="auto"/>
              <w:rPr>
                <w:rFonts w:hint="default" w:ascii="Times New Roman" w:hAnsi="Times New Roman" w:cs="Times New Roman"/>
                <w:bCs/>
                <w:kern w:val="0"/>
                <w:sz w:val="18"/>
                <w:szCs w:val="18"/>
                <w:lang w:val="en-US" w:eastAsia="zh-CN"/>
              </w:rPr>
            </w:pP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eastAsia="仿宋_GB2312" w:cs="Times New Roman"/>
                <w:b/>
                <w:sz w:val="24"/>
              </w:rPr>
              <mc:AlternateContent>
                <mc:Choice Requires="wps">
                  <w:drawing>
                    <wp:anchor distT="0" distB="0" distL="114300" distR="114300" simplePos="0" relativeHeight="251687936" behindDoc="0" locked="0" layoutInCell="1" allowOverlap="1">
                      <wp:simplePos x="0" y="0"/>
                      <wp:positionH relativeFrom="column">
                        <wp:posOffset>1144905</wp:posOffset>
                      </wp:positionH>
                      <wp:positionV relativeFrom="paragraph">
                        <wp:posOffset>129540</wp:posOffset>
                      </wp:positionV>
                      <wp:extent cx="783590" cy="237490"/>
                      <wp:effectExtent l="0" t="0" r="0" b="0"/>
                      <wp:wrapNone/>
                      <wp:docPr id="117" name="矩形 117"/>
                      <wp:cNvGraphicFramePr/>
                      <a:graphic xmlns:a="http://schemas.openxmlformats.org/drawingml/2006/main">
                        <a:graphicData uri="http://schemas.microsoft.com/office/word/2010/wordprocessingShape">
                          <wps:wsp>
                            <wps:cNvSpPr/>
                            <wps:spPr>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upright="1"/>
                          </wps:wsp>
                        </a:graphicData>
                      </a:graphic>
                    </wp:anchor>
                  </w:drawing>
                </mc:Choice>
                <mc:Fallback>
                  <w:pict>
                    <v:rect id="_x0000_s1026" o:spid="_x0000_s1026" o:spt="1" style="position:absolute;left:0pt;margin-left:90.15pt;margin-top:10.2pt;height:18.7pt;width:61.7pt;z-index:251687936;mso-width-relative:page;mso-height-relative:page;" filled="f" stroked="f" coordsize="21600,21600" o:gfxdata="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x4HZ9kAAAAJAQAADwAA&#10;AAAAAAABACAAAAAiAAAAZHJzL2Rvd25yZXYueG1sUEsBAhQAFAAAAAgAh07iQNGtYqyjAQAARAMA&#10;AA4AAAAAAAAAAQAgAAAAKA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lang w:val="en-US" w:eastAsia="zh-CN"/>
              </w:rPr>
              <w:t>检测</w:t>
            </w:r>
            <w:r>
              <w:rPr>
                <w:rFonts w:hint="default" w:ascii="Times New Roman" w:hAnsi="Times New Roman" w:cs="Times New Roman"/>
                <w:bCs/>
                <w:kern w:val="0"/>
                <w:sz w:val="18"/>
                <w:szCs w:val="18"/>
              </w:rPr>
              <w:t>日期</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2022年10月10日</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2022年10月11日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82816" behindDoc="0" locked="0" layoutInCell="1" allowOverlap="1">
                      <wp:simplePos x="0" y="0"/>
                      <wp:positionH relativeFrom="column">
                        <wp:posOffset>6350</wp:posOffset>
                      </wp:positionH>
                      <wp:positionV relativeFrom="paragraph">
                        <wp:posOffset>8890</wp:posOffset>
                      </wp:positionV>
                      <wp:extent cx="1732915" cy="513715"/>
                      <wp:effectExtent l="1270" t="4445" r="8890" b="5715"/>
                      <wp:wrapNone/>
                      <wp:docPr id="116" name="直接箭头连接符 116"/>
                      <wp:cNvGraphicFramePr/>
                      <a:graphic xmlns:a="http://schemas.openxmlformats.org/drawingml/2006/main">
                        <a:graphicData uri="http://schemas.microsoft.com/office/word/2010/wordprocessingShape">
                          <wps:wsp>
                            <wps:cNvCnPr/>
                            <wps:spPr>
                              <a:xfrm>
                                <a:off x="0" y="0"/>
                                <a:ext cx="1732915" cy="5137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5pt;margin-top:0.7pt;height:40.45pt;width:136.45pt;z-index:251682816;mso-width-relative:page;mso-height-relative:page;" filled="f" stroked="t" coordsize="21600,21600" o:gfxdata="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ysixtYAAAAGAQAADwAAAAAAAAABACAAAAAiAAAAZHJzL2Rv&#10;d25yZXYueG1sUEsBAhQAFAAAAAgAh07iQIrBPL4DAgAA9QMAAA4AAAAAAAAAAQAgAAAAJQEAAGRy&#10;cy9lMm9Eb2MueG1sUEsFBgAAAAAGAAYAWQEAAJo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84864" behindDoc="0" locked="0" layoutInCell="1" allowOverlap="1">
                      <wp:simplePos x="0" y="0"/>
                      <wp:positionH relativeFrom="column">
                        <wp:posOffset>7620</wp:posOffset>
                      </wp:positionH>
                      <wp:positionV relativeFrom="paragraph">
                        <wp:posOffset>12065</wp:posOffset>
                      </wp:positionV>
                      <wp:extent cx="709295" cy="505460"/>
                      <wp:effectExtent l="2540" t="3810" r="12065" b="5080"/>
                      <wp:wrapNone/>
                      <wp:docPr id="118" name="直接箭头连接符 118"/>
                      <wp:cNvGraphicFramePr/>
                      <a:graphic xmlns:a="http://schemas.openxmlformats.org/drawingml/2006/main">
                        <a:graphicData uri="http://schemas.microsoft.com/office/word/2010/wordprocessingShape">
                          <wps:wsp>
                            <wps:cNvCnPr/>
                            <wps:spPr>
                              <a:xfrm>
                                <a:off x="0" y="0"/>
                                <a:ext cx="709295" cy="5054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6pt;margin-top:0.95pt;height:39.8pt;width:55.85pt;z-index:251684864;mso-width-relative:page;mso-height-relative:page;" filled="f" stroked="t" coordsize="21600,21600" o:gfxdata="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i1hXPTAAAABgEAAA8AAAAAAAAAAQAgAAAAIgAAAGRycy9kb3du&#10;cmV2LnhtbFBLAQIUABQAAAAIAIdO4kA3VIg5BAIAAPQDAAAOAAAAAAAAAAEAIAAAACIBAABkcnMv&#10;ZTJvRG9jLnhtbFBLBQYAAAAABgAGAFkBAACY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83840" behindDoc="0" locked="0" layoutInCell="1" allowOverlap="1">
                      <wp:simplePos x="0" y="0"/>
                      <wp:positionH relativeFrom="column">
                        <wp:posOffset>3175</wp:posOffset>
                      </wp:positionH>
                      <wp:positionV relativeFrom="paragraph">
                        <wp:posOffset>-5080</wp:posOffset>
                      </wp:positionV>
                      <wp:extent cx="1732915" cy="260985"/>
                      <wp:effectExtent l="635" t="4445" r="9525" b="10795"/>
                      <wp:wrapNone/>
                      <wp:docPr id="119" name="直接箭头连接符 119"/>
                      <wp:cNvGraphicFramePr/>
                      <a:graphic xmlns:a="http://schemas.openxmlformats.org/drawingml/2006/main">
                        <a:graphicData uri="http://schemas.microsoft.com/office/word/2010/wordprocessingShape">
                          <wps:wsp>
                            <wps:cNvCnPr/>
                            <wps:spPr>
                              <a:xfrm>
                                <a:off x="0" y="0"/>
                                <a:ext cx="1732915" cy="2609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25pt;margin-top:-0.4pt;height:20.55pt;width:136.45pt;z-index:251683840;mso-width-relative:page;mso-height-relative:page;" filled="f" stroked="t" coordsize="21600,21600" o:gfxdata="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bg6Z1QAAAAUBAAAPAAAAAAAAAAEAIAAAACIAAABkcnMvZG93&#10;bnJldi54bWxQSwECFAAUAAAACACHTuJAKU/b0QMCAAD1AwAADgAAAAAAAAABACAAAAAk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eastAsia="华文中宋" w:cs="Times New Roman"/>
                <w:b/>
                <w:spacing w:val="227"/>
                <w:sz w:val="30"/>
                <w:szCs w:val="30"/>
                <w:lang w:val="zh-CN"/>
              </w:rPr>
              <mc:AlternateContent>
                <mc:Choice Requires="wps">
                  <w:drawing>
                    <wp:anchor distT="0" distB="0" distL="114300" distR="114300" simplePos="0" relativeHeight="251686912" behindDoc="0" locked="0" layoutInCell="1" allowOverlap="1">
                      <wp:simplePos x="0" y="0"/>
                      <wp:positionH relativeFrom="column">
                        <wp:posOffset>1116965</wp:posOffset>
                      </wp:positionH>
                      <wp:positionV relativeFrom="paragraph">
                        <wp:posOffset>20955</wp:posOffset>
                      </wp:positionV>
                      <wp:extent cx="783590" cy="255270"/>
                      <wp:effectExtent l="0" t="0" r="0" b="0"/>
                      <wp:wrapNone/>
                      <wp:docPr id="115" name="矩形 115"/>
                      <wp:cNvGraphicFramePr/>
                      <a:graphic xmlns:a="http://schemas.openxmlformats.org/drawingml/2006/main">
                        <a:graphicData uri="http://schemas.microsoft.com/office/word/2010/wordprocessingShape">
                          <wps:wsp>
                            <wps:cNvSpPr/>
                            <wps:spPr>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upright="1"/>
                          </wps:wsp>
                        </a:graphicData>
                      </a:graphic>
                    </wp:anchor>
                  </w:drawing>
                </mc:Choice>
                <mc:Fallback>
                  <w:pict>
                    <v:rect id="_x0000_s1026" o:spid="_x0000_s1026" o:spt="1" style="position:absolute;left:0pt;margin-left:87.95pt;margin-top:1.65pt;height:20.1pt;width:61.7pt;z-index:251686912;mso-width-relative:page;mso-height-relative:page;" filled="f" stroked="f" coordsize="21600,21600" o:gfxdata="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eu2j7aAAAACAEAAA8A&#10;AAAAAAAAAQAgAAAAIgAAAGRycy9kb3ducmV2LnhtbFBLAQIUABQAAAAIAIdO4kDY1BPnowEAAEQD&#10;AAAOAAAAAAAAAAEAIAAAACkBAABkcnMvZTJvRG9jLnhtbFBLBQYAAAAABgAGAFkBAAA+BQ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85888" behindDoc="0" locked="0" layoutInCell="1" allowOverlap="1">
                      <wp:simplePos x="0" y="0"/>
                      <wp:positionH relativeFrom="column">
                        <wp:posOffset>576580</wp:posOffset>
                      </wp:positionH>
                      <wp:positionV relativeFrom="paragraph">
                        <wp:posOffset>130810</wp:posOffset>
                      </wp:positionV>
                      <wp:extent cx="783590" cy="237490"/>
                      <wp:effectExtent l="0" t="0" r="0" b="0"/>
                      <wp:wrapNone/>
                      <wp:docPr id="120" name="矩形 120"/>
                      <wp:cNvGraphicFramePr/>
                      <a:graphic xmlns:a="http://schemas.openxmlformats.org/drawingml/2006/main">
                        <a:graphicData uri="http://schemas.microsoft.com/office/word/2010/wordprocessingShape">
                          <wps:wsp>
                            <wps:cNvSpPr/>
                            <wps:spPr>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采样频次</w:t>
                                  </w:r>
                                </w:p>
                              </w:txbxContent>
                            </wps:txbx>
                            <wps:bodyPr upright="1"/>
                          </wps:wsp>
                        </a:graphicData>
                      </a:graphic>
                    </wp:anchor>
                  </w:drawing>
                </mc:Choice>
                <mc:Fallback>
                  <w:pict>
                    <v:rect id="_x0000_s1026" o:spid="_x0000_s1026" o:spt="1" style="position:absolute;left:0pt;margin-left:45.4pt;margin-top:10.3pt;height:18.7pt;width:61.7pt;z-index:251685888;mso-width-relative:page;mso-height-relative:page;" filled="f" stroked="f" coordsize="21600,21600" o:gfxdata="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4sKxQtkAAAAIAQAADwAA&#10;AAAAAAABACAAAAAiAAAAZHJzL2Rvd25yZXYueG1sUEsBAhQAFAAAAAgAh07iQPG9vL6jAQAARAMA&#10;AA4AAAAAAAAAAQAgAAAAKA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采样频次</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88960" behindDoc="0" locked="0" layoutInCell="1" allowOverlap="1">
                      <wp:simplePos x="0" y="0"/>
                      <wp:positionH relativeFrom="column">
                        <wp:posOffset>-40640</wp:posOffset>
                      </wp:positionH>
                      <wp:positionV relativeFrom="paragraph">
                        <wp:posOffset>158115</wp:posOffset>
                      </wp:positionV>
                      <wp:extent cx="783590" cy="237490"/>
                      <wp:effectExtent l="0" t="0" r="0" b="0"/>
                      <wp:wrapNone/>
                      <wp:docPr id="121" name="矩形 121"/>
                      <wp:cNvGraphicFramePr/>
                      <a:graphic xmlns:a="http://schemas.openxmlformats.org/drawingml/2006/main">
                        <a:graphicData uri="http://schemas.microsoft.com/office/word/2010/wordprocessingShape">
                          <wps:wsp>
                            <wps:cNvSpPr/>
                            <wps:spPr>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upright="1"/>
                          </wps:wsp>
                        </a:graphicData>
                      </a:graphic>
                    </wp:anchor>
                  </w:drawing>
                </mc:Choice>
                <mc:Fallback>
                  <w:pict>
                    <v:rect id="_x0000_s1026" o:spid="_x0000_s1026" o:spt="1" style="position:absolute;left:0pt;margin-left:-3.2pt;margin-top:12.45pt;height:18.7pt;width:61.7pt;z-index:251688960;mso-width-relative:page;mso-height-relative:page;" filled="f" stroked="f" coordsize="21600,21600" o:gfxdata="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Zp8T82QAAAAgBAAAPAAAA&#10;AAAAAAEAIAAAACIAAABkcnMvZG93bnJldi54bWxQSwECFAAUAAAACACHTuJABqHmr6IBAABEAwAA&#10;DgAAAAAAAAABACAAAAAoAQAAZHJzL2Uyb0RvYy54bWxQSwUGAAAAAAYABgBZAQAAPAU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p>
        </w:tc>
        <w:tc>
          <w:tcPr>
            <w:tcW w:w="3551"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非甲烷总烃（mg/m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3551"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非甲烷总烃（mg/m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811"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浸塑、固化2F车间外</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G4</w:t>
            </w: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1.23</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81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1.24</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81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1.14</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81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91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平均值</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1.20 </w:t>
            </w:r>
          </w:p>
        </w:tc>
        <w:tc>
          <w:tcPr>
            <w:tcW w:w="355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1.29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《挥发性有机物无组织排放控制标准》（GB 37822-2019）表6 </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小时均值</w:t>
            </w:r>
            <w:bookmarkStart w:id="128" w:name="_GoBack"/>
            <w:bookmarkEnd w:id="128"/>
          </w:p>
        </w:tc>
        <w:tc>
          <w:tcPr>
            <w:tcW w:w="3551"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w:t>
            </w:r>
          </w:p>
        </w:tc>
        <w:tc>
          <w:tcPr>
            <w:tcW w:w="3551"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结果评价</w:t>
            </w:r>
          </w:p>
        </w:tc>
        <w:tc>
          <w:tcPr>
            <w:tcW w:w="3551"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3551"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7102" w:type="dxa"/>
            <w:gridSpan w:val="2"/>
            <w:noWrap w:val="0"/>
            <w:tcMar>
              <w:left w:w="0" w:type="dxa"/>
              <w:right w:w="0" w:type="dxa"/>
            </w:tcMar>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pPr>
              <w:widowControl/>
              <w:adjustRightInd w:val="0"/>
              <w:snapToGrid w:val="0"/>
              <w:ind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10月9日气象参数：天气：晴；气温：21.4-31.3℃；气压：101.67-102.7kPa；风向：西北风；风速：1.9-2.1m/s。</w:t>
            </w:r>
          </w:p>
          <w:p>
            <w:pPr>
              <w:widowControl/>
              <w:adjustRightInd w:val="0"/>
              <w:snapToGrid w:val="0"/>
              <w:ind w:firstLine="360" w:firstLineChars="20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10月10日气象参数：天气：晴；气温：21.4-32.7℃；气压：102.08-102.7kPa；风向：西北风；风速2.0-2.2m/s。</w:t>
            </w:r>
          </w:p>
        </w:tc>
      </w:tr>
    </w:tbl>
    <w:p>
      <w:pPr>
        <w:keepNext w:val="0"/>
        <w:keepLines w:val="0"/>
        <w:pageBreakBefore w:val="0"/>
        <w:widowControl w:val="0"/>
        <w:kinsoku/>
        <w:wordWrap/>
        <w:overflowPunct/>
        <w:topLinePunct w:val="0"/>
        <w:autoSpaceDE/>
        <w:autoSpaceDN/>
        <w:bidi w:val="0"/>
        <w:adjustRightInd/>
        <w:snapToGrid/>
        <w:spacing w:line="160" w:lineRule="exact"/>
        <w:ind w:firstLine="201" w:firstLineChars="200"/>
        <w:textAlignment w:val="auto"/>
        <w:rPr>
          <w:rFonts w:hint="default" w:ascii="Times New Roman" w:hAnsi="Times New Roman" w:cs="Times New Roman"/>
          <w:b/>
          <w:sz w:val="10"/>
          <w:szCs w:val="10"/>
        </w:rPr>
      </w:pP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监测结果分析与评价：</w:t>
      </w:r>
    </w:p>
    <w:p>
      <w:pPr>
        <w:spacing w:line="360" w:lineRule="auto"/>
        <w:ind w:firstLine="480" w:firstLineChars="200"/>
        <w:rPr>
          <w:rFonts w:ascii="Times New Roman" w:hAnsi="Times New Roman" w:cs="Times New Roman"/>
          <w:bCs/>
          <w:sz w:val="24"/>
          <w:szCs w:val="24"/>
        </w:rPr>
      </w:pPr>
      <w:bookmarkStart w:id="92" w:name="_Hlk523340017"/>
      <w:r>
        <w:rPr>
          <w:rFonts w:hint="default" w:ascii="Times New Roman" w:hAnsi="Times New Roman" w:eastAsia="宋体" w:cs="Times New Roman"/>
          <w:kern w:val="22"/>
          <w:sz w:val="24"/>
          <w:szCs w:val="24"/>
        </w:rPr>
        <w:t>验收监测期间，</w:t>
      </w:r>
      <w:r>
        <w:rPr>
          <w:rFonts w:hint="eastAsia" w:ascii="Times New Roman" w:hAnsi="Times New Roman" w:eastAsia="宋体" w:cs="Times New Roman"/>
          <w:kern w:val="22"/>
          <w:sz w:val="24"/>
          <w:szCs w:val="24"/>
          <w:lang w:val="en-US" w:eastAsia="zh-CN"/>
        </w:rPr>
        <w:t>厂界非甲烷总烃</w:t>
      </w:r>
      <w:r>
        <w:rPr>
          <w:rFonts w:hint="default" w:ascii="Times New Roman" w:hAnsi="Times New Roman" w:eastAsia="宋体" w:cs="Times New Roman"/>
          <w:kern w:val="22"/>
          <w:sz w:val="24"/>
          <w:szCs w:val="24"/>
        </w:rPr>
        <w:t>的最大小时浓度值为</w:t>
      </w:r>
      <w:r>
        <w:rPr>
          <w:rFonts w:hint="eastAsia" w:ascii="Times New Roman" w:hAnsi="Times New Roman" w:eastAsia="宋体" w:cs="Times New Roman"/>
          <w:kern w:val="22"/>
          <w:sz w:val="24"/>
          <w:szCs w:val="24"/>
          <w:lang w:val="en-US" w:eastAsia="zh-CN"/>
        </w:rPr>
        <w:t>0.96</w:t>
      </w:r>
      <w:r>
        <w:rPr>
          <w:rFonts w:hint="default" w:ascii="Times New Roman" w:hAnsi="Times New Roman" w:eastAsia="宋体" w:cs="Times New Roman"/>
          <w:kern w:val="22"/>
          <w:sz w:val="24"/>
          <w:szCs w:val="24"/>
        </w:rPr>
        <w:t>mg/m</w:t>
      </w:r>
      <w:r>
        <w:rPr>
          <w:rFonts w:hint="default" w:ascii="Times New Roman" w:hAnsi="Times New Roman" w:eastAsia="宋体" w:cs="Times New Roman"/>
          <w:kern w:val="22"/>
          <w:sz w:val="24"/>
          <w:szCs w:val="24"/>
          <w:vertAlign w:val="superscript"/>
        </w:rPr>
        <w:t>3</w:t>
      </w:r>
      <w:r>
        <w:rPr>
          <w:rFonts w:hint="default" w:ascii="Times New Roman" w:hAnsi="Times New Roman" w:eastAsia="宋体" w:cs="Times New Roman"/>
          <w:kern w:val="22"/>
          <w:sz w:val="24"/>
          <w:szCs w:val="24"/>
        </w:rPr>
        <w:t>，符合《工业涂装工序大气污染物排放标准》（DB33/2146-2018）表6</w:t>
      </w:r>
      <w:r>
        <w:rPr>
          <w:rFonts w:hint="eastAsia" w:ascii="Times New Roman" w:hAnsi="Times New Roman" w:eastAsia="宋体" w:cs="Times New Roman"/>
          <w:kern w:val="22"/>
          <w:sz w:val="24"/>
          <w:szCs w:val="24"/>
          <w:lang w:val="en-US" w:eastAsia="zh-CN"/>
        </w:rPr>
        <w:t>中</w:t>
      </w:r>
      <w:r>
        <w:rPr>
          <w:rFonts w:hint="default" w:ascii="Times New Roman" w:hAnsi="Times New Roman" w:eastAsia="宋体" w:cs="Times New Roman"/>
          <w:bCs/>
          <w:kern w:val="0"/>
          <w:sz w:val="24"/>
          <w:szCs w:val="21"/>
        </w:rPr>
        <w:t>相关标准限值要求</w:t>
      </w:r>
      <w:r>
        <w:rPr>
          <w:rFonts w:hint="default" w:ascii="Times New Roman" w:hAnsi="Times New Roman" w:eastAsia="宋体" w:cs="Times New Roman"/>
          <w:bCs/>
          <w:kern w:val="0"/>
          <w:sz w:val="24"/>
          <w:szCs w:val="21"/>
          <w:lang w:eastAsia="zh-CN"/>
        </w:rPr>
        <w:t>；</w:t>
      </w:r>
      <w:bookmarkEnd w:id="92"/>
      <w:r>
        <w:rPr>
          <w:rFonts w:hint="default" w:ascii="Times New Roman" w:hAnsi="Times New Roman" w:eastAsia="宋体" w:cs="Times New Roman"/>
          <w:kern w:val="22"/>
          <w:sz w:val="24"/>
          <w:szCs w:val="24"/>
        </w:rPr>
        <w:t>厂界颗粒物的最大小时浓度值为</w:t>
      </w:r>
      <w:r>
        <w:rPr>
          <w:rFonts w:hint="eastAsia" w:ascii="Times New Roman" w:hAnsi="Times New Roman" w:eastAsia="宋体" w:cs="Times New Roman"/>
          <w:kern w:val="22"/>
          <w:sz w:val="24"/>
          <w:szCs w:val="24"/>
          <w:lang w:val="en-US" w:eastAsia="zh-CN"/>
        </w:rPr>
        <w:t>0.320</w:t>
      </w:r>
      <w:r>
        <w:rPr>
          <w:rFonts w:hint="default" w:ascii="Times New Roman" w:hAnsi="Times New Roman" w:eastAsia="宋体" w:cs="Times New Roman"/>
          <w:kern w:val="22"/>
          <w:sz w:val="24"/>
          <w:szCs w:val="24"/>
        </w:rPr>
        <w:t>mg/m</w:t>
      </w:r>
      <w:r>
        <w:rPr>
          <w:rFonts w:hint="default" w:ascii="Times New Roman" w:hAnsi="Times New Roman" w:eastAsia="宋体" w:cs="Times New Roman"/>
          <w:kern w:val="22"/>
          <w:sz w:val="24"/>
          <w:szCs w:val="24"/>
          <w:vertAlign w:val="superscript"/>
        </w:rPr>
        <w:t>3</w:t>
      </w:r>
      <w:r>
        <w:rPr>
          <w:rFonts w:hint="default" w:ascii="Times New Roman" w:hAnsi="Times New Roman" w:eastAsia="宋体" w:cs="Times New Roman"/>
          <w:kern w:val="22"/>
          <w:sz w:val="24"/>
          <w:szCs w:val="24"/>
        </w:rPr>
        <w:t>，</w:t>
      </w:r>
      <w:r>
        <w:rPr>
          <w:rFonts w:hint="default" w:ascii="Times New Roman" w:hAnsi="Times New Roman" w:eastAsia="宋体" w:cs="Times New Roman"/>
          <w:kern w:val="22"/>
          <w:sz w:val="24"/>
          <w:szCs w:val="24"/>
          <w:lang w:val="en-US" w:eastAsia="zh-CN"/>
        </w:rPr>
        <w:t>符合《大气污染物综合排放标准》（GB16297-1996）表2</w:t>
      </w:r>
      <w:r>
        <w:rPr>
          <w:rFonts w:hint="eastAsia" w:ascii="Times New Roman" w:hAnsi="Times New Roman" w:eastAsia="宋体" w:cs="Times New Roman"/>
          <w:kern w:val="22"/>
          <w:sz w:val="24"/>
          <w:szCs w:val="24"/>
          <w:lang w:val="en-US" w:eastAsia="zh-CN"/>
        </w:rPr>
        <w:t>中</w:t>
      </w:r>
      <w:r>
        <w:rPr>
          <w:rFonts w:ascii="Times New Roman" w:hAnsi="Times New Roman" w:eastAsia="宋体" w:cs="Times New Roman"/>
          <w:bCs/>
          <w:kern w:val="0"/>
          <w:sz w:val="24"/>
          <w:szCs w:val="21"/>
        </w:rPr>
        <w:t>相关标准</w:t>
      </w:r>
      <w:r>
        <w:rPr>
          <w:rFonts w:hint="eastAsia" w:ascii="Times New Roman" w:hAnsi="Times New Roman" w:eastAsia="宋体" w:cs="Times New Roman"/>
          <w:bCs/>
          <w:kern w:val="0"/>
          <w:sz w:val="24"/>
          <w:szCs w:val="21"/>
        </w:rPr>
        <w:t>限值要求</w:t>
      </w:r>
      <w:r>
        <w:rPr>
          <w:rFonts w:hint="eastAsia" w:ascii="Times New Roman" w:hAnsi="Times New Roman" w:eastAsia="宋体" w:cs="Times New Roman"/>
          <w:bCs/>
          <w:kern w:val="0"/>
          <w:sz w:val="24"/>
          <w:szCs w:val="21"/>
          <w:lang w:eastAsia="zh-CN"/>
        </w:rPr>
        <w:t>；</w:t>
      </w:r>
      <w:r>
        <w:rPr>
          <w:rFonts w:hint="eastAsia" w:ascii="Times New Roman" w:hAnsi="Times New Roman" w:eastAsia="宋体" w:cs="Times New Roman"/>
          <w:bCs/>
          <w:color w:val="auto"/>
          <w:kern w:val="0"/>
          <w:sz w:val="24"/>
          <w:szCs w:val="21"/>
          <w:lang w:val="en-US" w:eastAsia="zh-CN"/>
        </w:rPr>
        <w:t>厂区内浸塑、固化2F车间外</w:t>
      </w:r>
      <w:r>
        <w:rPr>
          <w:rFonts w:hint="eastAsia" w:ascii="Times New Roman" w:hAnsi="Times New Roman" w:eastAsia="宋体" w:cs="Times New Roman"/>
          <w:color w:val="auto"/>
          <w:kern w:val="22"/>
          <w:sz w:val="24"/>
          <w:szCs w:val="24"/>
          <w:lang w:eastAsia="zh-CN"/>
        </w:rPr>
        <w:t>非甲烷总烃</w:t>
      </w:r>
      <w:r>
        <w:rPr>
          <w:rFonts w:hint="eastAsia" w:ascii="Times New Roman" w:hAnsi="Times New Roman" w:eastAsia="宋体" w:cs="Times New Roman"/>
          <w:color w:val="auto"/>
          <w:kern w:val="22"/>
          <w:sz w:val="24"/>
          <w:szCs w:val="24"/>
        </w:rPr>
        <w:t>的最大小时浓度值为</w:t>
      </w:r>
      <w:r>
        <w:rPr>
          <w:rFonts w:hint="eastAsia" w:ascii="Times New Roman" w:hAnsi="Times New Roman" w:eastAsia="宋体" w:cs="Times New Roman"/>
          <w:color w:val="auto"/>
          <w:kern w:val="22"/>
          <w:sz w:val="24"/>
          <w:szCs w:val="24"/>
          <w:lang w:val="en-US" w:eastAsia="zh-CN"/>
        </w:rPr>
        <w:t>1.32</w:t>
      </w:r>
      <w:r>
        <w:rPr>
          <w:rFonts w:ascii="Times New Roman" w:hAnsi="Times New Roman" w:eastAsia="宋体" w:cs="Times New Roman"/>
          <w:color w:val="auto"/>
          <w:kern w:val="22"/>
          <w:sz w:val="24"/>
          <w:szCs w:val="24"/>
        </w:rPr>
        <w:t>mg/m</w:t>
      </w:r>
      <w:r>
        <w:rPr>
          <w:rFonts w:ascii="Times New Roman" w:hAnsi="Times New Roman" w:eastAsia="宋体" w:cs="Times New Roman"/>
          <w:color w:val="auto"/>
          <w:kern w:val="22"/>
          <w:sz w:val="24"/>
          <w:szCs w:val="24"/>
          <w:vertAlign w:val="superscript"/>
        </w:rPr>
        <w:t>3</w:t>
      </w:r>
      <w:r>
        <w:rPr>
          <w:rFonts w:hint="eastAsia" w:ascii="Times New Roman" w:hAnsi="Times New Roman" w:eastAsia="宋体" w:cs="Times New Roman"/>
          <w:color w:val="auto"/>
          <w:kern w:val="22"/>
          <w:sz w:val="24"/>
          <w:szCs w:val="24"/>
        </w:rPr>
        <w:t>，符合《挥发性有机物无组织排放控制标准》（GB37822-2019）表A.1</w:t>
      </w:r>
      <w:r>
        <w:rPr>
          <w:rFonts w:ascii="Times New Roman" w:hAnsi="Times New Roman" w:eastAsia="宋体" w:cs="Times New Roman"/>
          <w:bCs/>
          <w:color w:val="auto"/>
          <w:kern w:val="0"/>
          <w:sz w:val="24"/>
          <w:szCs w:val="21"/>
        </w:rPr>
        <w:t>相关标准</w:t>
      </w:r>
      <w:r>
        <w:rPr>
          <w:rFonts w:hint="eastAsia" w:ascii="Times New Roman" w:hAnsi="Times New Roman" w:eastAsia="宋体" w:cs="Times New Roman"/>
          <w:bCs/>
          <w:color w:val="auto"/>
          <w:kern w:val="0"/>
          <w:sz w:val="24"/>
          <w:szCs w:val="21"/>
        </w:rPr>
        <w:t>限值要求</w:t>
      </w:r>
      <w:r>
        <w:rPr>
          <w:rFonts w:hint="eastAsia" w:ascii="Times New Roman" w:hAnsi="Times New Roman" w:cs="Times New Roman"/>
          <w:bCs/>
          <w:sz w:val="24"/>
          <w:szCs w:val="24"/>
        </w:rPr>
        <w:t>。</w:t>
      </w:r>
    </w:p>
    <w:p>
      <w:pPr>
        <w:pStyle w:val="6"/>
        <w:rPr>
          <w:kern w:val="22"/>
        </w:rPr>
      </w:pPr>
      <w:bookmarkStart w:id="93" w:name="_Toc25364"/>
      <w:r>
        <w:rPr>
          <w:rFonts w:hint="eastAsia"/>
          <w:kern w:val="22"/>
        </w:rPr>
        <w:t>9.2.4厂界噪声检测结果及评价</w:t>
      </w:r>
      <w:bookmarkEnd w:id="93"/>
    </w:p>
    <w:p>
      <w:pPr>
        <w:spacing w:line="360" w:lineRule="auto"/>
        <w:ind w:firstLine="240" w:firstLineChars="100"/>
        <w:rPr>
          <w:rFonts w:ascii="Times New Roman" w:hAnsi="Times New Roman" w:cs="Times New Roman"/>
          <w:sz w:val="24"/>
        </w:rPr>
      </w:pPr>
      <w:r>
        <w:rPr>
          <w:rFonts w:hint="eastAsia" w:ascii="Times New Roman" w:hAnsi="Times New Roman" w:cs="Times New Roman"/>
          <w:sz w:val="24"/>
        </w:rPr>
        <w:t>厂界噪声检测结果见表9.2</w:t>
      </w:r>
      <w:r>
        <w:rPr>
          <w:rFonts w:ascii="Times New Roman" w:hAnsi="Times New Roman" w:cs="Times New Roman"/>
          <w:sz w:val="24"/>
        </w:rPr>
        <w:t>.4-1</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表9.2.4-2</w:t>
      </w:r>
      <w:r>
        <w:rPr>
          <w:rFonts w:hint="eastAsia" w:ascii="Times New Roman" w:hAnsi="Times New Roman" w:cs="Times New Roman"/>
          <w:sz w:val="24"/>
        </w:rPr>
        <w:t>。</w:t>
      </w:r>
    </w:p>
    <w:p>
      <w:pPr>
        <w:wordWrap w:val="0"/>
        <w:spacing w:line="360" w:lineRule="auto"/>
        <w:jc w:val="center"/>
        <w:rPr>
          <w:rFonts w:ascii="Times New Roman" w:hAnsi="Times New Roman" w:cs="Times New Roman"/>
          <w:b/>
          <w:bCs/>
          <w:szCs w:val="21"/>
        </w:rPr>
      </w:pPr>
      <w:r>
        <w:rPr>
          <w:rFonts w:ascii="Times New Roman" w:hAnsi="Times New Roman" w:cs="Times New Roman"/>
          <w:b/>
          <w:bCs/>
          <w:szCs w:val="21"/>
        </w:rPr>
        <w:t>表9</w:t>
      </w:r>
      <w:r>
        <w:rPr>
          <w:rFonts w:hint="eastAsia" w:ascii="Times New Roman" w:hAnsi="Times New Roman" w:cs="Times New Roman"/>
          <w:b/>
          <w:bCs/>
          <w:szCs w:val="21"/>
        </w:rPr>
        <w:t>.2.4-</w:t>
      </w:r>
      <w:r>
        <w:rPr>
          <w:rFonts w:ascii="Times New Roman" w:hAnsi="Times New Roman" w:cs="Times New Roman"/>
          <w:b/>
          <w:bCs/>
          <w:szCs w:val="21"/>
        </w:rPr>
        <w:t xml:space="preserve">1 </w:t>
      </w:r>
      <w:r>
        <w:rPr>
          <w:rFonts w:hint="eastAsia" w:ascii="Times New Roman" w:hAnsi="Times New Roman" w:cs="Times New Roman"/>
          <w:b/>
          <w:bCs/>
          <w:szCs w:val="21"/>
          <w:lang w:val="en-US" w:eastAsia="zh-CN"/>
        </w:rPr>
        <w:t>新建厂区</w:t>
      </w:r>
      <w:r>
        <w:rPr>
          <w:rFonts w:ascii="Times New Roman" w:hAnsi="Times New Roman" w:cs="Times New Roman"/>
          <w:b/>
          <w:bCs/>
          <w:szCs w:val="21"/>
        </w:rPr>
        <w:t>厂界噪声监测结果</w:t>
      </w:r>
    </w:p>
    <w:tbl>
      <w:tblPr>
        <w:tblStyle w:val="32"/>
        <w:tblW w:w="9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388"/>
        <w:gridCol w:w="1850"/>
        <w:gridCol w:w="1850"/>
        <w:gridCol w:w="1620"/>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768"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7776" w:type="dxa"/>
            <w:gridSpan w:val="5"/>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2022年10月9日-10日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768" w:type="dxa"/>
            <w:vMerge w:val="restart"/>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检测点位</w:t>
            </w:r>
          </w:p>
        </w:tc>
        <w:tc>
          <w:tcPr>
            <w:tcW w:w="1388" w:type="dxa"/>
            <w:vMerge w:val="restart"/>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主要声源</w:t>
            </w:r>
          </w:p>
        </w:tc>
        <w:tc>
          <w:tcPr>
            <w:tcW w:w="3700" w:type="dxa"/>
            <w:gridSpan w:val="2"/>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检测结果 Leq[dB(A)]</w:t>
            </w:r>
          </w:p>
        </w:tc>
        <w:tc>
          <w:tcPr>
            <w:tcW w:w="2688" w:type="dxa"/>
            <w:gridSpan w:val="2"/>
            <w:vMerge w:val="restart"/>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《工业企业厂界环境噪声排放标准》GB 12348-2008 表1 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768" w:type="dxa"/>
            <w:vMerge w:val="continue"/>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c>
          <w:tcPr>
            <w:tcW w:w="1388" w:type="dxa"/>
            <w:vMerge w:val="continue"/>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c>
          <w:tcPr>
            <w:tcW w:w="1850" w:type="dxa"/>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10月9日</w:t>
            </w:r>
          </w:p>
        </w:tc>
        <w:tc>
          <w:tcPr>
            <w:tcW w:w="1850" w:type="dxa"/>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10月10日</w:t>
            </w:r>
          </w:p>
        </w:tc>
        <w:tc>
          <w:tcPr>
            <w:tcW w:w="2688" w:type="dxa"/>
            <w:gridSpan w:val="2"/>
            <w:vMerge w:val="continue"/>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768" w:type="dxa"/>
            <w:vMerge w:val="continue"/>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c>
          <w:tcPr>
            <w:tcW w:w="1388" w:type="dxa"/>
            <w:vMerge w:val="continue"/>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c>
          <w:tcPr>
            <w:tcW w:w="1850" w:type="dxa"/>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昼间</w:t>
            </w:r>
          </w:p>
        </w:tc>
        <w:tc>
          <w:tcPr>
            <w:tcW w:w="1850" w:type="dxa"/>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昼间</w:t>
            </w:r>
          </w:p>
        </w:tc>
        <w:tc>
          <w:tcPr>
            <w:tcW w:w="1620"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昼间</w:t>
            </w:r>
          </w:p>
        </w:tc>
        <w:tc>
          <w:tcPr>
            <w:tcW w:w="1068"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768" w:type="dxa"/>
            <w:vAlign w:val="center"/>
          </w:tcPr>
          <w:p>
            <w:pPr>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厂界东外1m处</w:t>
            </w:r>
          </w:p>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N1</w:t>
            </w:r>
          </w:p>
        </w:tc>
        <w:tc>
          <w:tcPr>
            <w:tcW w:w="1388"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工业生产</w:t>
            </w:r>
          </w:p>
        </w:tc>
        <w:tc>
          <w:tcPr>
            <w:tcW w:w="1850"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60</w:t>
            </w:r>
          </w:p>
        </w:tc>
        <w:tc>
          <w:tcPr>
            <w:tcW w:w="1850"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62</w:t>
            </w:r>
          </w:p>
        </w:tc>
        <w:tc>
          <w:tcPr>
            <w:tcW w:w="1620" w:type="dxa"/>
            <w:vMerge w:val="restart"/>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65</w:t>
            </w:r>
          </w:p>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[dB(A)]</w:t>
            </w:r>
          </w:p>
        </w:tc>
        <w:tc>
          <w:tcPr>
            <w:tcW w:w="1068" w:type="dxa"/>
            <w:vMerge w:val="restart"/>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达标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768"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厂界西外1m处</w:t>
            </w:r>
          </w:p>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N3</w:t>
            </w:r>
          </w:p>
        </w:tc>
        <w:tc>
          <w:tcPr>
            <w:tcW w:w="1388"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工业生产</w:t>
            </w:r>
          </w:p>
        </w:tc>
        <w:tc>
          <w:tcPr>
            <w:tcW w:w="1850"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58</w:t>
            </w:r>
          </w:p>
        </w:tc>
        <w:tc>
          <w:tcPr>
            <w:tcW w:w="1850"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59</w:t>
            </w:r>
          </w:p>
        </w:tc>
        <w:tc>
          <w:tcPr>
            <w:tcW w:w="1620" w:type="dxa"/>
            <w:vMerge w:val="continue"/>
            <w:vAlign w:val="center"/>
          </w:tcPr>
          <w:p>
            <w:pPr>
              <w:adjustRightInd w:val="0"/>
              <w:snapToGrid w:val="0"/>
              <w:ind w:left="-105" w:leftChars="-50" w:right="-105" w:rightChars="-50"/>
              <w:jc w:val="center"/>
              <w:rPr>
                <w:rFonts w:hint="default" w:ascii="Times New Roman" w:hAnsi="Times New Roman" w:cs="Times New Roman"/>
                <w:bCs/>
                <w:kern w:val="0"/>
                <w:sz w:val="18"/>
                <w:szCs w:val="18"/>
              </w:rPr>
            </w:pPr>
          </w:p>
        </w:tc>
        <w:tc>
          <w:tcPr>
            <w:tcW w:w="1068" w:type="dxa"/>
            <w:vMerge w:val="continue"/>
            <w:vAlign w:val="center"/>
          </w:tcPr>
          <w:p>
            <w:pPr>
              <w:adjustRightInd w:val="0"/>
              <w:snapToGrid w:val="0"/>
              <w:ind w:left="-105" w:leftChars="-50" w:right="-105" w:rightChars="-5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768"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厂界北外1m处</w:t>
            </w:r>
          </w:p>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N4</w:t>
            </w:r>
          </w:p>
        </w:tc>
        <w:tc>
          <w:tcPr>
            <w:tcW w:w="1388"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工业生产</w:t>
            </w:r>
          </w:p>
        </w:tc>
        <w:tc>
          <w:tcPr>
            <w:tcW w:w="1850"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58</w:t>
            </w:r>
          </w:p>
        </w:tc>
        <w:tc>
          <w:tcPr>
            <w:tcW w:w="1850"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60</w:t>
            </w:r>
          </w:p>
        </w:tc>
        <w:tc>
          <w:tcPr>
            <w:tcW w:w="1620" w:type="dxa"/>
            <w:vMerge w:val="continue"/>
            <w:vAlign w:val="center"/>
          </w:tcPr>
          <w:p>
            <w:pPr>
              <w:adjustRightInd w:val="0"/>
              <w:snapToGrid w:val="0"/>
              <w:ind w:left="-105" w:leftChars="-50" w:right="-105" w:rightChars="-50"/>
              <w:jc w:val="center"/>
              <w:rPr>
                <w:rFonts w:hint="default" w:ascii="Times New Roman" w:hAnsi="Times New Roman" w:cs="Times New Roman"/>
                <w:bCs/>
                <w:kern w:val="0"/>
                <w:sz w:val="18"/>
                <w:szCs w:val="18"/>
              </w:rPr>
            </w:pPr>
          </w:p>
        </w:tc>
        <w:tc>
          <w:tcPr>
            <w:tcW w:w="1068" w:type="dxa"/>
            <w:vMerge w:val="continue"/>
            <w:vAlign w:val="center"/>
          </w:tcPr>
          <w:p>
            <w:pPr>
              <w:adjustRightInd w:val="0"/>
              <w:snapToGrid w:val="0"/>
              <w:ind w:left="-105" w:leftChars="-50" w:right="-105" w:rightChars="-5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8"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7776" w:type="dxa"/>
            <w:gridSpan w:val="5"/>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pPr>
              <w:widowControl/>
              <w:adjustRightInd w:val="0"/>
              <w:snapToGrid w:val="0"/>
              <w:ind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10月9日气象参数：天气：晴；气温：21.4-31.3℃；气压：101.67-102.7kPa；风向：西北风；风速：1.9-2.1m/s。</w:t>
            </w:r>
          </w:p>
          <w:p>
            <w:pPr>
              <w:widowControl/>
              <w:adjustRightInd w:val="0"/>
              <w:snapToGrid w:val="0"/>
              <w:ind w:firstLine="360" w:firstLineChars="20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10月10日气象参数：天气：晴；气温：21.4-32.7℃；气压：102.08-102.7kPa；风向：西北风；风速2.0-2.2m/s。</w:t>
            </w:r>
          </w:p>
          <w:p>
            <w:pPr>
              <w:widowControl/>
              <w:adjustRightInd w:val="0"/>
              <w:snapToGrid w:val="0"/>
              <w:ind w:right="-105" w:rightChars="-5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2、企业夜间不生产，故夜间噪声不检测。</w:t>
            </w:r>
          </w:p>
          <w:p>
            <w:pPr>
              <w:widowControl/>
              <w:adjustRightInd w:val="0"/>
              <w:snapToGrid w:val="0"/>
              <w:ind w:right="-105" w:rightChars="-5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3、厂界南外1m处不具备检测条件，故不进行检测。</w:t>
            </w:r>
          </w:p>
        </w:tc>
      </w:tr>
    </w:tbl>
    <w:p>
      <w:pPr>
        <w:spacing w:line="240" w:lineRule="auto"/>
        <w:ind w:firstLine="201" w:firstLineChars="200"/>
        <w:rPr>
          <w:rFonts w:ascii="Times New Roman" w:hAnsi="Times New Roman"/>
          <w:b/>
          <w:sz w:val="10"/>
          <w:szCs w:val="10"/>
        </w:rPr>
      </w:pPr>
    </w:p>
    <w:p>
      <w:pPr>
        <w:spacing w:line="360" w:lineRule="auto"/>
        <w:ind w:firstLine="482" w:firstLineChars="200"/>
        <w:rPr>
          <w:rFonts w:ascii="Times New Roman" w:hAnsi="Times New Roman"/>
          <w:b/>
          <w:sz w:val="24"/>
          <w:szCs w:val="24"/>
        </w:rPr>
      </w:pPr>
      <w:r>
        <w:rPr>
          <w:rFonts w:ascii="Times New Roman" w:hAnsi="Times New Roman"/>
          <w:b/>
          <w:sz w:val="24"/>
          <w:szCs w:val="24"/>
        </w:rPr>
        <w:t>监测结果分析与评价</w:t>
      </w:r>
      <w:r>
        <w:rPr>
          <w:rFonts w:hint="eastAsia" w:ascii="Times New Roman" w:hAnsi="Times New Roman"/>
          <w:b/>
          <w:sz w:val="24"/>
          <w:szCs w:val="24"/>
        </w:rPr>
        <w:t>：</w:t>
      </w:r>
    </w:p>
    <w:p>
      <w:pPr>
        <w:spacing w:line="360" w:lineRule="auto"/>
        <w:ind w:firstLine="480" w:firstLineChars="200"/>
        <w:rPr>
          <w:rFonts w:ascii="Times New Roman" w:hAnsi="Times New Roman" w:cs="Times New Roman"/>
          <w:color w:val="000000"/>
          <w:sz w:val="24"/>
        </w:rPr>
      </w:pPr>
      <w:bookmarkStart w:id="94" w:name="_Hlk523340313"/>
      <w:r>
        <w:rPr>
          <w:rFonts w:hint="eastAsia" w:ascii="Times New Roman" w:hAnsi="Times New Roman" w:cs="Times New Roman"/>
          <w:color w:val="000000"/>
          <w:sz w:val="24"/>
          <w:lang w:val="en-US" w:eastAsia="zh-CN"/>
        </w:rPr>
        <w:t>验收监测期间，</w:t>
      </w:r>
      <w:r>
        <w:rPr>
          <w:rFonts w:hint="default" w:ascii="Times New Roman" w:hAnsi="Times New Roman" w:cs="Times New Roman"/>
          <w:sz w:val="24"/>
          <w:lang w:eastAsia="zh-CN"/>
        </w:rPr>
        <w:t>本项目</w:t>
      </w:r>
      <w:r>
        <w:rPr>
          <w:rFonts w:hint="eastAsia" w:ascii="Times New Roman" w:hAnsi="Times New Roman" w:cs="Times New Roman"/>
          <w:sz w:val="24"/>
          <w:lang w:val="en-US" w:eastAsia="zh-CN"/>
        </w:rPr>
        <w:t>厂界东、西、北侧昼间</w:t>
      </w:r>
      <w:r>
        <w:rPr>
          <w:rFonts w:hint="eastAsia" w:ascii="Times New Roman" w:hAnsi="Times New Roman" w:cs="Times New Roman"/>
          <w:sz w:val="24"/>
          <w:lang w:eastAsia="zh-CN"/>
        </w:rPr>
        <w:t>噪声</w:t>
      </w:r>
      <w:r>
        <w:rPr>
          <w:rFonts w:hint="eastAsia" w:ascii="Times New Roman" w:hAnsi="Times New Roman" w:cs="Times New Roman"/>
          <w:sz w:val="24"/>
          <w:lang w:val="en-US" w:eastAsia="zh-CN"/>
        </w:rPr>
        <w:t>最大值分别为62</w:t>
      </w:r>
      <w:r>
        <w:rPr>
          <w:rFonts w:ascii="Times New Roman" w:hAnsi="Times New Roman" w:cs="Times New Roman"/>
          <w:sz w:val="24"/>
        </w:rPr>
        <w:t>dB(A)</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59</w:t>
      </w:r>
      <w:r>
        <w:rPr>
          <w:rFonts w:ascii="Times New Roman" w:hAnsi="Times New Roman" w:cs="Times New Roman"/>
          <w:sz w:val="24"/>
        </w:rPr>
        <w:t>dB(A)</w:t>
      </w:r>
      <w:r>
        <w:rPr>
          <w:rFonts w:hint="eastAsia" w:ascii="Times New Roman" w:hAnsi="Times New Roman" w:cs="Times New Roman"/>
          <w:sz w:val="24"/>
          <w:lang w:val="en-US" w:eastAsia="zh-CN"/>
        </w:rPr>
        <w:t>和60</w:t>
      </w:r>
      <w:r>
        <w:rPr>
          <w:rFonts w:ascii="Times New Roman" w:hAnsi="Times New Roman" w:cs="Times New Roman"/>
          <w:sz w:val="24"/>
        </w:rPr>
        <w:t>dB(A)</w:t>
      </w:r>
      <w:r>
        <w:rPr>
          <w:rFonts w:hint="eastAsia" w:ascii="Times New Roman" w:hAnsi="Times New Roman" w:cs="Times New Roman"/>
          <w:sz w:val="24"/>
        </w:rPr>
        <w:t>，均</w:t>
      </w:r>
      <w:r>
        <w:rPr>
          <w:rFonts w:hint="eastAsia" w:ascii="Times New Roman" w:hAnsi="Times New Roman" w:cs="Times New Roman"/>
          <w:color w:val="000000"/>
          <w:sz w:val="24"/>
        </w:rPr>
        <w:t>符合</w:t>
      </w:r>
      <w:r>
        <w:rPr>
          <w:rFonts w:ascii="Times New Roman" w:hAnsi="Times New Roman" w:cs="Times New Roman"/>
          <w:color w:val="000000"/>
          <w:sz w:val="24"/>
        </w:rPr>
        <w:t>《工业企业厂界噪声排放标准》</w:t>
      </w:r>
      <w:r>
        <w:rPr>
          <w:rFonts w:hint="eastAsia" w:ascii="Times New Roman" w:hAnsi="Times New Roman" w:cs="Times New Roman"/>
          <w:color w:val="000000"/>
          <w:sz w:val="24"/>
        </w:rPr>
        <w:t>(</w:t>
      </w:r>
      <w:r>
        <w:rPr>
          <w:rFonts w:ascii="Times New Roman" w:hAnsi="Times New Roman" w:cs="Times New Roman"/>
          <w:color w:val="000000"/>
          <w:sz w:val="24"/>
        </w:rPr>
        <w:t>GB</w:t>
      </w:r>
      <w:r>
        <w:rPr>
          <w:rFonts w:hint="eastAsia" w:ascii="Times New Roman" w:hAnsi="Times New Roman" w:cs="Times New Roman"/>
          <w:color w:val="000000"/>
          <w:sz w:val="24"/>
          <w:lang w:val="en-US" w:eastAsia="zh-CN"/>
        </w:rPr>
        <w:t xml:space="preserve"> </w:t>
      </w:r>
      <w:r>
        <w:rPr>
          <w:rFonts w:ascii="Times New Roman" w:hAnsi="Times New Roman" w:cs="Times New Roman"/>
          <w:color w:val="000000"/>
          <w:sz w:val="24"/>
        </w:rPr>
        <w:t>12348-2008</w:t>
      </w:r>
      <w:r>
        <w:rPr>
          <w:rFonts w:hint="eastAsia" w:ascii="Times New Roman" w:hAnsi="Times New Roman" w:cs="Times New Roman"/>
          <w:color w:val="000000"/>
          <w:sz w:val="24"/>
        </w:rPr>
        <w:t>)中3</w:t>
      </w:r>
      <w:r>
        <w:rPr>
          <w:rFonts w:ascii="Times New Roman" w:hAnsi="Times New Roman" w:cs="Times New Roman"/>
          <w:color w:val="000000"/>
          <w:sz w:val="24"/>
        </w:rPr>
        <w:t>类</w:t>
      </w:r>
      <w:r>
        <w:rPr>
          <w:rFonts w:hint="eastAsia" w:ascii="Times New Roman" w:hAnsi="Times New Roman" w:cs="Times New Roman"/>
          <w:color w:val="000000"/>
          <w:sz w:val="24"/>
        </w:rPr>
        <w:t>区</w:t>
      </w:r>
      <w:r>
        <w:rPr>
          <w:rFonts w:ascii="Times New Roman" w:hAnsi="Times New Roman" w:cs="Times New Roman"/>
          <w:color w:val="000000"/>
          <w:sz w:val="24"/>
        </w:rPr>
        <w:t>标准</w:t>
      </w:r>
      <w:r>
        <w:rPr>
          <w:rFonts w:hint="eastAsia" w:ascii="Times New Roman" w:hAnsi="Times New Roman" w:cs="Times New Roman"/>
          <w:color w:val="000000"/>
          <w:sz w:val="24"/>
        </w:rPr>
        <w:t>。</w:t>
      </w:r>
      <w:bookmarkEnd w:id="94"/>
    </w:p>
    <w:bookmarkEnd w:id="82"/>
    <w:bookmarkEnd w:id="83"/>
    <w:bookmarkEnd w:id="84"/>
    <w:bookmarkEnd w:id="85"/>
    <w:bookmarkEnd w:id="86"/>
    <w:bookmarkEnd w:id="87"/>
    <w:bookmarkEnd w:id="88"/>
    <w:bookmarkEnd w:id="89"/>
    <w:p>
      <w:pPr>
        <w:pStyle w:val="6"/>
        <w:rPr>
          <w:kern w:val="22"/>
        </w:rPr>
      </w:pPr>
      <w:bookmarkStart w:id="95" w:name="_Toc32305"/>
      <w:r>
        <w:rPr>
          <w:rFonts w:hint="eastAsia"/>
          <w:kern w:val="22"/>
        </w:rPr>
        <w:t>9.2.5污染物排放总量核算</w:t>
      </w:r>
      <w:bookmarkEnd w:id="95"/>
    </w:p>
    <w:p>
      <w:pPr>
        <w:spacing w:line="360" w:lineRule="auto"/>
        <w:ind w:firstLine="482" w:firstLineChars="200"/>
        <w:rPr>
          <w:rFonts w:ascii="Times New Roman" w:hAnsi="Times New Roman"/>
          <w:b/>
          <w:sz w:val="24"/>
          <w:szCs w:val="24"/>
        </w:rPr>
      </w:pPr>
      <w:r>
        <w:rPr>
          <w:rFonts w:ascii="Times New Roman" w:hAnsi="Times New Roman"/>
          <w:b/>
          <w:sz w:val="24"/>
          <w:szCs w:val="24"/>
        </w:rPr>
        <w:t>1、废水</w:t>
      </w:r>
    </w:p>
    <w:p>
      <w:pPr>
        <w:spacing w:line="360" w:lineRule="auto"/>
        <w:ind w:firstLine="480" w:firstLineChars="200"/>
        <w:rPr>
          <w:rFonts w:ascii="Times New Roman" w:hAnsi="Times New Roman" w:cs="Times New Roman"/>
          <w:color w:val="000000" w:themeColor="text1"/>
          <w:kern w:val="22"/>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根据</w:t>
      </w:r>
      <w:r>
        <w:rPr>
          <w:rFonts w:hint="eastAsia" w:ascii="Times New Roman" w:hAnsi="Times New Roman" w:eastAsia="宋体" w:cs="Times New Roman"/>
          <w:color w:val="000000" w:themeColor="text1"/>
          <w:kern w:val="0"/>
          <w:sz w:val="24"/>
          <w:szCs w:val="24"/>
          <w14:textFill>
            <w14:solidFill>
              <w14:schemeClr w14:val="tx1"/>
            </w14:solidFill>
          </w14:textFill>
        </w:rPr>
        <w:t>水平衡图</w:t>
      </w:r>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项目年排</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水</w:t>
      </w:r>
      <w:r>
        <w:rPr>
          <w:rFonts w:hint="eastAsia" w:ascii="Times New Roman" w:hAnsi="Times New Roman" w:eastAsia="宋体" w:cs="Times New Roman"/>
          <w:color w:val="000000" w:themeColor="text1"/>
          <w:kern w:val="0"/>
          <w:sz w:val="24"/>
          <w:szCs w:val="24"/>
          <w14:textFill>
            <w14:solidFill>
              <w14:schemeClr w14:val="tx1"/>
            </w14:solidFill>
          </w14:textFill>
        </w:rPr>
        <w:t>量约为</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810</w:t>
      </w:r>
      <w:r>
        <w:rPr>
          <w:rFonts w:hint="eastAsia" w:ascii="Times New Roman" w:hAnsi="Times New Roman" w:eastAsia="宋体" w:cs="Times New Roman"/>
          <w:color w:val="000000" w:themeColor="text1"/>
          <w:kern w:val="0"/>
          <w:sz w:val="24"/>
          <w:szCs w:val="24"/>
          <w14:textFill>
            <w14:solidFill>
              <w14:schemeClr w14:val="tx1"/>
            </w14:solidFill>
          </w14:textFill>
        </w:rPr>
        <w:t>吨/年。根据《城镇污水处理厂污染物排放标准》（GB18918-2002）中的一级 A 标准限值</w:t>
      </w:r>
      <w:r>
        <w:rPr>
          <w:rFonts w:hint="eastAsia" w:ascii="Times New Roman" w:hAnsi="Times New Roman" w:cs="Times New Roman"/>
          <w:color w:val="000000" w:themeColor="text1"/>
          <w:kern w:val="22"/>
          <w:sz w:val="24"/>
          <w:szCs w:val="24"/>
          <w14:textFill>
            <w14:solidFill>
              <w14:schemeClr w14:val="tx1"/>
            </w14:solidFill>
          </w14:textFill>
        </w:rPr>
        <w:t>（化学需氧量</w:t>
      </w:r>
      <w:r>
        <w:rPr>
          <w:rFonts w:hint="eastAsia" w:ascii="Times New Roman" w:hAnsi="Times New Roman" w:cs="Times New Roman"/>
          <w:color w:val="000000" w:themeColor="text1"/>
          <w:kern w:val="22"/>
          <w:sz w:val="24"/>
          <w:szCs w:val="24"/>
          <w:lang w:val="en-US" w:eastAsia="zh-CN"/>
          <w14:textFill>
            <w14:solidFill>
              <w14:schemeClr w14:val="tx1"/>
            </w14:solidFill>
          </w14:textFill>
        </w:rPr>
        <w:t>5</w:t>
      </w:r>
      <w:r>
        <w:rPr>
          <w:rFonts w:ascii="Times New Roman" w:hAnsi="Times New Roman" w:cs="Times New Roman"/>
          <w:color w:val="000000" w:themeColor="text1"/>
          <w:kern w:val="22"/>
          <w:sz w:val="24"/>
          <w:szCs w:val="24"/>
          <w14:textFill>
            <w14:solidFill>
              <w14:schemeClr w14:val="tx1"/>
            </w14:solidFill>
          </w14:textFill>
        </w:rPr>
        <w:t>0</w:t>
      </w:r>
      <w:r>
        <w:rPr>
          <w:rFonts w:hint="eastAsia" w:ascii="Times New Roman" w:hAnsi="Times New Roman" w:cs="Times New Roman"/>
          <w:color w:val="000000" w:themeColor="text1"/>
          <w:kern w:val="22"/>
          <w:sz w:val="24"/>
          <w:szCs w:val="24"/>
          <w14:textFill>
            <w14:solidFill>
              <w14:schemeClr w14:val="tx1"/>
            </w14:solidFill>
          </w14:textFill>
        </w:rPr>
        <w:t>mg</w:t>
      </w:r>
      <w:r>
        <w:rPr>
          <w:rFonts w:ascii="Times New Roman" w:hAnsi="Times New Roman" w:cs="Times New Roman"/>
          <w:color w:val="000000" w:themeColor="text1"/>
          <w:kern w:val="22"/>
          <w:sz w:val="24"/>
          <w:szCs w:val="24"/>
          <w14:textFill>
            <w14:solidFill>
              <w14:schemeClr w14:val="tx1"/>
            </w14:solidFill>
          </w14:textFill>
        </w:rPr>
        <w:t>/L</w:t>
      </w:r>
      <w:r>
        <w:rPr>
          <w:rFonts w:hint="eastAsia" w:ascii="Times New Roman" w:hAnsi="Times New Roman" w:cs="Times New Roman"/>
          <w:color w:val="000000" w:themeColor="text1"/>
          <w:kern w:val="22"/>
          <w:sz w:val="24"/>
          <w:szCs w:val="24"/>
          <w14:textFill>
            <w14:solidFill>
              <w14:schemeClr w14:val="tx1"/>
            </w14:solidFill>
          </w14:textFill>
        </w:rPr>
        <w:t>，氨氮</w:t>
      </w:r>
      <w:r>
        <w:rPr>
          <w:rFonts w:hint="eastAsia" w:ascii="Times New Roman" w:hAnsi="Times New Roman" w:cs="Times New Roman"/>
          <w:color w:val="000000" w:themeColor="text1"/>
          <w:kern w:val="22"/>
          <w:sz w:val="24"/>
          <w:szCs w:val="24"/>
          <w:lang w:val="en-US" w:eastAsia="zh-CN"/>
          <w14:textFill>
            <w14:solidFill>
              <w14:schemeClr w14:val="tx1"/>
            </w14:solidFill>
          </w14:textFill>
        </w:rPr>
        <w:t>5</w:t>
      </w:r>
      <w:r>
        <w:rPr>
          <w:rFonts w:hint="eastAsia" w:ascii="Times New Roman" w:hAnsi="Times New Roman" w:cs="Times New Roman"/>
          <w:color w:val="000000" w:themeColor="text1"/>
          <w:kern w:val="22"/>
          <w:sz w:val="24"/>
          <w:szCs w:val="24"/>
          <w14:textFill>
            <w14:solidFill>
              <w14:schemeClr w14:val="tx1"/>
            </w14:solidFill>
          </w14:textFill>
        </w:rPr>
        <w:t>mg</w:t>
      </w:r>
      <w:r>
        <w:rPr>
          <w:rFonts w:ascii="Times New Roman" w:hAnsi="Times New Roman" w:cs="Times New Roman"/>
          <w:color w:val="000000" w:themeColor="text1"/>
          <w:kern w:val="22"/>
          <w:sz w:val="24"/>
          <w:szCs w:val="24"/>
          <w14:textFill>
            <w14:solidFill>
              <w14:schemeClr w14:val="tx1"/>
            </w14:solidFill>
          </w14:textFill>
        </w:rPr>
        <w:t>/L</w:t>
      </w:r>
      <w:r>
        <w:rPr>
          <w:rFonts w:hint="eastAsia" w:ascii="Times New Roman" w:hAnsi="Times New Roman" w:cs="Times New Roman"/>
          <w:color w:val="000000" w:themeColor="text1"/>
          <w:kern w:val="22"/>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，估算废水监测因子年排入环境的总量</w:t>
      </w:r>
      <w:r>
        <w:rPr>
          <w:rFonts w:hint="eastAsia" w:ascii="Times New Roman" w:hAnsi="Times New Roman" w:cs="Times New Roman"/>
          <w:color w:val="000000" w:themeColor="text1"/>
          <w:kern w:val="22"/>
          <w:sz w:val="24"/>
          <w:szCs w:val="24"/>
          <w14:textFill>
            <w14:solidFill>
              <w14:schemeClr w14:val="tx1"/>
            </w14:solidFill>
          </w14:textFill>
        </w:rPr>
        <w:t>。具体</w:t>
      </w:r>
      <w:r>
        <w:rPr>
          <w:rFonts w:ascii="Times New Roman" w:hAnsi="Times New Roman" w:cs="Times New Roman"/>
          <w:color w:val="000000" w:themeColor="text1"/>
          <w:kern w:val="22"/>
          <w:sz w:val="24"/>
          <w:szCs w:val="24"/>
          <w14:textFill>
            <w14:solidFill>
              <w14:schemeClr w14:val="tx1"/>
            </w14:solidFill>
          </w14:textFill>
        </w:rPr>
        <w:t>废水监测因子排放量见表9</w:t>
      </w:r>
      <w:r>
        <w:rPr>
          <w:rFonts w:hint="eastAsia" w:ascii="Times New Roman" w:hAnsi="Times New Roman" w:cs="Times New Roman"/>
          <w:color w:val="000000" w:themeColor="text1"/>
          <w:kern w:val="22"/>
          <w:sz w:val="24"/>
          <w:szCs w:val="24"/>
          <w14:textFill>
            <w14:solidFill>
              <w14:schemeClr w14:val="tx1"/>
            </w14:solidFill>
          </w14:textFill>
        </w:rPr>
        <w:t>.2</w:t>
      </w:r>
      <w:r>
        <w:rPr>
          <w:rFonts w:ascii="Times New Roman" w:hAnsi="Times New Roman" w:cs="Times New Roman"/>
          <w:color w:val="000000" w:themeColor="text1"/>
          <w:kern w:val="22"/>
          <w:sz w:val="24"/>
          <w:szCs w:val="24"/>
          <w14:textFill>
            <w14:solidFill>
              <w14:schemeClr w14:val="tx1"/>
            </w14:solidFill>
          </w14:textFill>
        </w:rPr>
        <w:t>.5-1。</w:t>
      </w:r>
    </w:p>
    <w:p>
      <w:pPr>
        <w:widowControl/>
        <w:spacing w:line="360" w:lineRule="auto"/>
        <w:jc w:val="center"/>
        <w:rPr>
          <w:rFonts w:ascii="Times New Roman" w:hAnsi="Times New Roman" w:eastAsia="宋体" w:cs="Times New Roman"/>
          <w:b/>
          <w:kern w:val="0"/>
          <w:sz w:val="28"/>
          <w:szCs w:val="28"/>
        </w:rPr>
      </w:pPr>
      <w:r>
        <w:rPr>
          <w:rFonts w:ascii="Times New Roman" w:hAnsi="Times New Roman" w:cs="Times New Roman"/>
          <w:b/>
          <w:bCs/>
          <w:szCs w:val="21"/>
        </w:rPr>
        <w:t>表9</w:t>
      </w:r>
      <w:r>
        <w:rPr>
          <w:rFonts w:hint="eastAsia" w:ascii="Times New Roman" w:hAnsi="Times New Roman" w:cs="Times New Roman"/>
          <w:b/>
          <w:bCs/>
          <w:szCs w:val="21"/>
        </w:rPr>
        <w:t>.2</w:t>
      </w:r>
      <w:r>
        <w:rPr>
          <w:rFonts w:ascii="Times New Roman" w:hAnsi="Times New Roman" w:cs="Times New Roman"/>
          <w:b/>
          <w:bCs/>
          <w:szCs w:val="21"/>
        </w:rPr>
        <w:t>.5-1</w:t>
      </w:r>
      <w:r>
        <w:rPr>
          <w:rFonts w:hint="eastAsia" w:ascii="Times New Roman" w:hAnsi="Times New Roman" w:cs="Times New Roman"/>
          <w:b/>
          <w:bCs/>
          <w:szCs w:val="21"/>
        </w:rPr>
        <w:t xml:space="preserve">  </w:t>
      </w:r>
      <w:r>
        <w:rPr>
          <w:rFonts w:ascii="Times New Roman" w:hAnsi="Times New Roman" w:cs="Times New Roman"/>
          <w:b/>
          <w:bCs/>
          <w:szCs w:val="21"/>
        </w:rPr>
        <w:t>废水监测因子年排放量</w:t>
      </w:r>
      <w:r>
        <w:rPr>
          <w:rFonts w:ascii="Times New Roman" w:hAnsi="Times New Roman" w:eastAsia="宋体" w:cs="Times New Roman"/>
          <w:b/>
          <w:sz w:val="24"/>
          <w:szCs w:val="24"/>
        </w:rPr>
        <w:t xml:space="preserve">  </w:t>
      </w:r>
      <w:r>
        <w:rPr>
          <w:rFonts w:ascii="Times New Roman" w:hAnsi="Times New Roman" w:eastAsia="宋体" w:cs="Times New Roman"/>
          <w:b/>
          <w:kern w:val="0"/>
          <w:sz w:val="28"/>
          <w:szCs w:val="28"/>
        </w:rPr>
        <w:t xml:space="preserve"> </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3"/>
        <w:gridCol w:w="2474"/>
        <w:gridCol w:w="2897"/>
        <w:gridCol w:w="1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33" w:type="dxa"/>
            <w:vAlign w:val="center"/>
          </w:tcPr>
          <w:p>
            <w:pPr>
              <w:adjustRightInd w:val="0"/>
              <w:snapToGrid w:val="0"/>
              <w:ind w:left="-105" w:leftChars="-50" w:right="-105" w:rightChars="-50"/>
              <w:jc w:val="center"/>
              <w:rPr>
                <w:rFonts w:hint="eastAsia" w:ascii="Times New Roman" w:hAnsi="Times New Roman" w:cs="Times New Roman"/>
                <w:b/>
                <w:bCs w:val="0"/>
                <w:kern w:val="0"/>
                <w:sz w:val="21"/>
                <w:szCs w:val="21"/>
              </w:rPr>
            </w:pPr>
            <w:r>
              <w:rPr>
                <w:rFonts w:hint="eastAsia" w:ascii="Times New Roman" w:hAnsi="Times New Roman" w:cs="Times New Roman"/>
                <w:b/>
                <w:bCs w:val="0"/>
                <w:kern w:val="0"/>
                <w:sz w:val="21"/>
                <w:szCs w:val="21"/>
              </w:rPr>
              <w:t>监测项目</w:t>
            </w:r>
          </w:p>
        </w:tc>
        <w:tc>
          <w:tcPr>
            <w:tcW w:w="2474" w:type="dxa"/>
            <w:vAlign w:val="center"/>
          </w:tcPr>
          <w:p>
            <w:pPr>
              <w:adjustRightInd w:val="0"/>
              <w:snapToGrid w:val="0"/>
              <w:ind w:left="-105" w:leftChars="-50" w:right="-105" w:rightChars="-50"/>
              <w:jc w:val="center"/>
              <w:rPr>
                <w:rFonts w:hint="eastAsia" w:ascii="Times New Roman" w:hAnsi="Times New Roman" w:cs="Times New Roman"/>
                <w:b/>
                <w:bCs w:val="0"/>
                <w:kern w:val="0"/>
                <w:sz w:val="21"/>
                <w:szCs w:val="21"/>
              </w:rPr>
            </w:pPr>
            <w:r>
              <w:rPr>
                <w:rFonts w:hint="eastAsia" w:ascii="Times New Roman" w:hAnsi="Times New Roman" w:cs="Times New Roman"/>
                <w:b/>
                <w:bCs w:val="0"/>
                <w:kern w:val="0"/>
                <w:sz w:val="21"/>
                <w:szCs w:val="21"/>
              </w:rPr>
              <w:t>年排放量（t/a）</w:t>
            </w:r>
          </w:p>
        </w:tc>
        <w:tc>
          <w:tcPr>
            <w:tcW w:w="2897" w:type="dxa"/>
            <w:vAlign w:val="center"/>
          </w:tcPr>
          <w:p>
            <w:pPr>
              <w:adjustRightInd w:val="0"/>
              <w:snapToGrid w:val="0"/>
              <w:ind w:left="-105" w:leftChars="-50" w:right="-105" w:rightChars="-50"/>
              <w:jc w:val="center"/>
              <w:rPr>
                <w:rFonts w:hint="eastAsia" w:ascii="Times New Roman" w:hAnsi="Times New Roman" w:cs="Times New Roman"/>
                <w:b/>
                <w:bCs w:val="0"/>
                <w:kern w:val="0"/>
                <w:sz w:val="21"/>
                <w:szCs w:val="21"/>
              </w:rPr>
            </w:pPr>
            <w:r>
              <w:rPr>
                <w:rFonts w:hint="eastAsia" w:ascii="Times New Roman" w:hAnsi="Times New Roman" w:cs="Times New Roman"/>
                <w:b/>
                <w:bCs w:val="0"/>
                <w:kern w:val="0"/>
                <w:sz w:val="21"/>
                <w:szCs w:val="21"/>
              </w:rPr>
              <w:t>批复总量（t/a）</w:t>
            </w:r>
          </w:p>
        </w:tc>
        <w:tc>
          <w:tcPr>
            <w:tcW w:w="1112" w:type="dxa"/>
            <w:vAlign w:val="center"/>
          </w:tcPr>
          <w:p>
            <w:pPr>
              <w:adjustRightInd w:val="0"/>
              <w:snapToGrid w:val="0"/>
              <w:ind w:left="-105" w:leftChars="-50" w:right="-105" w:rightChars="-50"/>
              <w:jc w:val="center"/>
              <w:rPr>
                <w:rFonts w:hint="eastAsia" w:ascii="Times New Roman" w:hAnsi="Times New Roman" w:cs="Times New Roman"/>
                <w:b/>
                <w:bCs w:val="0"/>
                <w:kern w:val="0"/>
                <w:sz w:val="21"/>
                <w:szCs w:val="21"/>
              </w:rPr>
            </w:pPr>
            <w:r>
              <w:rPr>
                <w:rFonts w:hint="eastAsia" w:ascii="Times New Roman" w:hAnsi="Times New Roman" w:cs="Times New Roman"/>
                <w:b/>
                <w:bCs w:val="0"/>
                <w:kern w:val="0"/>
                <w:sz w:val="21"/>
                <w:szCs w:val="21"/>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33" w:type="dxa"/>
            <w:vAlign w:val="center"/>
          </w:tcPr>
          <w:p>
            <w:pPr>
              <w:adjustRightInd w:val="0"/>
              <w:snapToGrid w:val="0"/>
              <w:ind w:left="-105" w:leftChars="-50" w:right="-105" w:rightChars="-5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化学需氧量</w:t>
            </w:r>
          </w:p>
        </w:tc>
        <w:tc>
          <w:tcPr>
            <w:tcW w:w="2474"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rPr>
            </w:pPr>
            <w:r>
              <w:rPr>
                <w:rFonts w:hint="eastAsia" w:ascii="Times New Roman" w:hAnsi="Times New Roman" w:cs="Times New Roman"/>
                <w:bCs/>
                <w:kern w:val="0"/>
                <w:sz w:val="21"/>
                <w:szCs w:val="21"/>
                <w:lang w:val="en-US" w:eastAsia="zh-CN"/>
              </w:rPr>
              <w:t>0.040</w:t>
            </w:r>
          </w:p>
        </w:tc>
        <w:tc>
          <w:tcPr>
            <w:tcW w:w="2897"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0.047</w:t>
            </w:r>
          </w:p>
        </w:tc>
        <w:tc>
          <w:tcPr>
            <w:tcW w:w="1112"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rPr>
            </w:pPr>
            <w:r>
              <w:rPr>
                <w:rFonts w:hint="eastAsia" w:ascii="Times New Roman" w:hAnsi="Times New Roman" w:cs="Times New Roman"/>
                <w:bCs/>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33" w:type="dxa"/>
            <w:vAlign w:val="center"/>
          </w:tcPr>
          <w:p>
            <w:pPr>
              <w:adjustRightInd w:val="0"/>
              <w:snapToGrid w:val="0"/>
              <w:ind w:left="-105" w:leftChars="-50" w:right="-105" w:rightChars="-50"/>
              <w:jc w:val="center"/>
              <w:rPr>
                <w:rFonts w:hint="default" w:ascii="Times New Roman" w:hAnsi="Times New Roman" w:cs="Times New Roman"/>
                <w:bCs/>
                <w:kern w:val="0"/>
                <w:sz w:val="21"/>
                <w:szCs w:val="21"/>
              </w:rPr>
            </w:pPr>
            <w:r>
              <w:rPr>
                <w:rFonts w:hint="eastAsia" w:ascii="Times New Roman" w:hAnsi="Times New Roman" w:cs="Times New Roman"/>
                <w:bCs/>
                <w:kern w:val="0"/>
                <w:sz w:val="21"/>
                <w:szCs w:val="21"/>
              </w:rPr>
              <w:t>氨氮</w:t>
            </w:r>
          </w:p>
        </w:tc>
        <w:tc>
          <w:tcPr>
            <w:tcW w:w="2474"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rPr>
            </w:pPr>
            <w:r>
              <w:rPr>
                <w:rFonts w:hint="eastAsia" w:ascii="Times New Roman" w:hAnsi="Times New Roman" w:cs="Times New Roman"/>
                <w:bCs/>
                <w:kern w:val="0"/>
                <w:sz w:val="21"/>
                <w:szCs w:val="21"/>
                <w:lang w:val="en-US" w:eastAsia="zh-CN"/>
              </w:rPr>
              <w:t>0.004</w:t>
            </w:r>
          </w:p>
        </w:tc>
        <w:tc>
          <w:tcPr>
            <w:tcW w:w="2897"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0.0047</w:t>
            </w:r>
          </w:p>
        </w:tc>
        <w:tc>
          <w:tcPr>
            <w:tcW w:w="1112"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rPr>
            </w:pPr>
            <w:r>
              <w:rPr>
                <w:rFonts w:hint="eastAsia" w:ascii="Times New Roman" w:hAnsi="Times New Roman" w:cs="Times New Roman"/>
                <w:bCs/>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516" w:type="dxa"/>
            <w:gridSpan w:val="4"/>
            <w:vAlign w:val="center"/>
          </w:tcPr>
          <w:p>
            <w:pPr>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注：年排放量为年排入环境总量，该计算结果是根据《城镇污水处理厂污染物排放标准》（GB18918-2002）中的一级 A 标准限值估算的排放量。</w:t>
            </w:r>
          </w:p>
        </w:tc>
      </w:tr>
    </w:tbl>
    <w:p>
      <w:pPr>
        <w:widowControl/>
        <w:spacing w:line="360" w:lineRule="auto"/>
        <w:ind w:firstLine="482" w:firstLineChars="200"/>
        <w:rPr>
          <w:rFonts w:hint="eastAsia" w:ascii="Times New Roman" w:hAnsi="Times New Roman"/>
          <w:b/>
          <w:sz w:val="24"/>
          <w:szCs w:val="24"/>
        </w:rPr>
      </w:pPr>
    </w:p>
    <w:p>
      <w:pPr>
        <w:widowControl/>
        <w:spacing w:line="360" w:lineRule="auto"/>
        <w:ind w:firstLine="482" w:firstLineChars="200"/>
        <w:rPr>
          <w:rFonts w:ascii="Times New Roman" w:hAnsi="Times New Roman"/>
          <w:b/>
          <w:sz w:val="24"/>
          <w:szCs w:val="24"/>
        </w:rPr>
      </w:pPr>
      <w:r>
        <w:rPr>
          <w:rFonts w:hint="eastAsia" w:ascii="Times New Roman" w:hAnsi="Times New Roman"/>
          <w:b/>
          <w:sz w:val="24"/>
          <w:szCs w:val="24"/>
        </w:rPr>
        <w:t>2</w:t>
      </w:r>
      <w:r>
        <w:rPr>
          <w:rFonts w:ascii="Times New Roman" w:hAnsi="Times New Roman"/>
          <w:b/>
          <w:sz w:val="24"/>
          <w:szCs w:val="24"/>
        </w:rPr>
        <w:t>、废</w:t>
      </w:r>
      <w:r>
        <w:rPr>
          <w:rFonts w:hint="eastAsia" w:ascii="Times New Roman" w:hAnsi="Times New Roman"/>
          <w:b/>
          <w:sz w:val="24"/>
          <w:szCs w:val="24"/>
        </w:rPr>
        <w:t>气</w:t>
      </w:r>
    </w:p>
    <w:p>
      <w:pPr>
        <w:tabs>
          <w:tab w:val="left" w:pos="180"/>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据建设单位</w:t>
      </w:r>
      <w:r>
        <w:rPr>
          <w:rFonts w:hint="eastAsia" w:ascii="Times New Roman" w:hAnsi="Times New Roman"/>
          <w:sz w:val="24"/>
          <w:szCs w:val="24"/>
          <w:lang w:eastAsia="zh-CN"/>
        </w:rPr>
        <w:t>提供，</w:t>
      </w:r>
      <w:r>
        <w:rPr>
          <w:rFonts w:hint="eastAsia" w:ascii="Times New Roman" w:hAnsi="Times New Roman"/>
          <w:sz w:val="24"/>
          <w:szCs w:val="24"/>
          <w:lang w:val="en-US" w:eastAsia="zh-CN"/>
        </w:rPr>
        <w:t>年生产时间为300天，</w:t>
      </w:r>
      <w:r>
        <w:rPr>
          <w:rFonts w:hint="eastAsia" w:ascii="Times New Roman" w:hAnsi="Times New Roman"/>
          <w:sz w:val="24"/>
          <w:szCs w:val="24"/>
          <w:lang w:eastAsia="zh-CN"/>
        </w:rPr>
        <w:t>每天工作时间</w:t>
      </w:r>
      <w:r>
        <w:rPr>
          <w:rFonts w:hint="eastAsia" w:ascii="Times New Roman" w:hAnsi="Times New Roman"/>
          <w:sz w:val="24"/>
          <w:szCs w:val="24"/>
          <w:lang w:val="en-US" w:eastAsia="zh-CN"/>
        </w:rPr>
        <w:t>8小时，总计约2400</w:t>
      </w:r>
      <w:r>
        <w:rPr>
          <w:rFonts w:hint="eastAsia" w:ascii="Times New Roman" w:hAnsi="Times New Roman"/>
          <w:sz w:val="24"/>
          <w:szCs w:val="24"/>
        </w:rPr>
        <w:t>h</w:t>
      </w:r>
      <w:r>
        <w:rPr>
          <w:rFonts w:hint="eastAsia" w:ascii="Times New Roman" w:hAnsi="Times New Roman"/>
          <w:sz w:val="24"/>
          <w:szCs w:val="24"/>
          <w:lang w:val="en-US" w:eastAsia="zh-CN"/>
        </w:rPr>
        <w:t>/a。</w:t>
      </w:r>
      <w:r>
        <w:rPr>
          <w:rFonts w:hint="eastAsia" w:ascii="Times New Roman" w:hAnsi="Times New Roman"/>
          <w:sz w:val="24"/>
          <w:szCs w:val="24"/>
        </w:rPr>
        <w:t>监测期间废气排放口排放速率监测结果的平均值，计算得出该单位V</w:t>
      </w:r>
      <w:r>
        <w:rPr>
          <w:rFonts w:ascii="Times New Roman" w:hAnsi="Times New Roman"/>
          <w:sz w:val="24"/>
          <w:szCs w:val="24"/>
        </w:rPr>
        <w:t>OC</w:t>
      </w:r>
      <w:r>
        <w:rPr>
          <w:rFonts w:ascii="Times New Roman" w:hAnsi="Times New Roman"/>
          <w:sz w:val="24"/>
          <w:szCs w:val="24"/>
          <w:vertAlign w:val="subscript"/>
        </w:rPr>
        <w:t>S</w:t>
      </w:r>
      <w:r>
        <w:rPr>
          <w:rFonts w:hint="eastAsia" w:ascii="Times New Roman" w:hAnsi="Times New Roman"/>
          <w:sz w:val="24"/>
          <w:szCs w:val="24"/>
        </w:rPr>
        <w:t>废气污染因子的年排放量。废气监测因子排放量见表</w:t>
      </w:r>
      <w:r>
        <w:rPr>
          <w:rFonts w:ascii="Times New Roman" w:hAnsi="Times New Roman"/>
          <w:sz w:val="24"/>
          <w:szCs w:val="24"/>
        </w:rPr>
        <w:t>9.2.5-2</w:t>
      </w:r>
      <w:r>
        <w:rPr>
          <w:rFonts w:hint="eastAsia" w:ascii="Times New Roman" w:hAnsi="Times New Roman"/>
          <w:sz w:val="24"/>
          <w:szCs w:val="24"/>
        </w:rPr>
        <w:t>。</w:t>
      </w:r>
    </w:p>
    <w:p>
      <w:pPr>
        <w:widowControl/>
        <w:spacing w:line="360" w:lineRule="auto"/>
        <w:jc w:val="center"/>
        <w:rPr>
          <w:rFonts w:ascii="Times New Roman" w:hAnsi="Times New Roman"/>
          <w:b/>
          <w:kern w:val="0"/>
          <w:sz w:val="28"/>
          <w:szCs w:val="28"/>
        </w:rPr>
      </w:pPr>
      <w:r>
        <w:rPr>
          <w:rFonts w:hint="eastAsia" w:ascii="Times New Roman"/>
          <w:b/>
          <w:bCs/>
          <w:szCs w:val="21"/>
        </w:rPr>
        <w:t>表</w:t>
      </w:r>
      <w:r>
        <w:rPr>
          <w:rFonts w:ascii="Times New Roman"/>
          <w:b/>
          <w:bCs/>
          <w:szCs w:val="21"/>
        </w:rPr>
        <w:t xml:space="preserve">9.2.5-2  </w:t>
      </w:r>
      <w:r>
        <w:rPr>
          <w:rFonts w:hint="eastAsia" w:ascii="Times New Roman"/>
          <w:b/>
          <w:bCs/>
          <w:szCs w:val="21"/>
        </w:rPr>
        <w:t>废气监测因子年排放量</w:t>
      </w:r>
      <w:r>
        <w:rPr>
          <w:rFonts w:ascii="Times New Roman"/>
          <w:b/>
          <w:bCs/>
          <w:szCs w:val="21"/>
        </w:rPr>
        <w:t xml:space="preserve">  </w:t>
      </w:r>
      <w:r>
        <w:rPr>
          <w:rFonts w:ascii="Times New Roman" w:hAnsi="Times New Roman"/>
          <w:b/>
          <w:kern w:val="0"/>
          <w:sz w:val="28"/>
          <w:szCs w:val="28"/>
        </w:rPr>
        <w:t xml:space="preserve">             </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52"/>
        <w:gridCol w:w="1312"/>
        <w:gridCol w:w="1255"/>
        <w:gridCol w:w="1093"/>
        <w:gridCol w:w="1532"/>
        <w:gridCol w:w="1100"/>
        <w:gridCol w:w="7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2" w:type="dxa"/>
            <w:vAlign w:val="center"/>
          </w:tcPr>
          <w:p>
            <w:pPr>
              <w:adjustRightInd w:val="0"/>
              <w:snapToGrid w:val="0"/>
              <w:spacing w:line="360" w:lineRule="exact"/>
              <w:jc w:val="center"/>
              <w:rPr>
                <w:rFonts w:hint="default" w:ascii="Times New Roman" w:hAnsi="Times New Roman" w:cs="Times New Roman" w:eastAsiaTheme="minorEastAsia"/>
                <w:b/>
                <w:bCs/>
                <w:kern w:val="0"/>
                <w:szCs w:val="21"/>
                <w:highlight w:val="none"/>
                <w:lang w:eastAsia="zh-CN"/>
              </w:rPr>
            </w:pPr>
            <w:r>
              <w:rPr>
                <w:rFonts w:hint="default" w:ascii="Times New Roman" w:hAnsi="Times New Roman" w:cs="Times New Roman"/>
                <w:b/>
                <w:bCs/>
                <w:kern w:val="0"/>
                <w:szCs w:val="21"/>
                <w:highlight w:val="none"/>
                <w:lang w:eastAsia="zh-CN"/>
              </w:rPr>
              <w:t>指标</w:t>
            </w:r>
          </w:p>
        </w:tc>
        <w:tc>
          <w:tcPr>
            <w:tcW w:w="1312" w:type="dxa"/>
            <w:vAlign w:val="center"/>
          </w:tcPr>
          <w:p>
            <w:pPr>
              <w:adjustRightInd w:val="0"/>
              <w:snapToGrid w:val="0"/>
              <w:spacing w:line="360" w:lineRule="exact"/>
              <w:jc w:val="center"/>
              <w:rPr>
                <w:rFonts w:hint="default" w:ascii="Times New Roman" w:hAnsi="Times New Roman" w:cs="Times New Roman" w:eastAsiaTheme="minorEastAsia"/>
                <w:b/>
                <w:bCs/>
                <w:kern w:val="0"/>
                <w:szCs w:val="21"/>
                <w:highlight w:val="none"/>
                <w:lang w:eastAsia="zh-CN"/>
              </w:rPr>
            </w:pPr>
            <w:r>
              <w:rPr>
                <w:rFonts w:hint="default" w:ascii="Times New Roman" w:hAnsi="Times New Roman" w:cs="Times New Roman"/>
                <w:b/>
                <w:bCs/>
                <w:kern w:val="0"/>
                <w:szCs w:val="21"/>
                <w:highlight w:val="none"/>
                <w:lang w:eastAsia="zh-CN"/>
              </w:rPr>
              <w:t>排气筒</w:t>
            </w:r>
          </w:p>
        </w:tc>
        <w:tc>
          <w:tcPr>
            <w:tcW w:w="125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kern w:val="0"/>
                <w:szCs w:val="21"/>
                <w:highlight w:val="none"/>
                <w:lang w:eastAsia="zh-CN"/>
              </w:rPr>
            </w:pPr>
            <w:r>
              <w:rPr>
                <w:rFonts w:hint="default" w:ascii="Times New Roman" w:hAnsi="Times New Roman" w:cs="Times New Roman"/>
                <w:b/>
                <w:bCs/>
                <w:kern w:val="0"/>
                <w:szCs w:val="21"/>
                <w:highlight w:val="none"/>
                <w:lang w:eastAsia="zh-CN"/>
              </w:rPr>
              <w:t>排放速率（</w:t>
            </w:r>
            <w:r>
              <w:rPr>
                <w:rFonts w:hint="default" w:ascii="Times New Roman" w:hAnsi="Times New Roman" w:cs="Times New Roman"/>
                <w:b/>
                <w:bCs/>
                <w:kern w:val="0"/>
                <w:szCs w:val="21"/>
                <w:highlight w:val="none"/>
                <w:lang w:val="en-US" w:eastAsia="zh-CN"/>
              </w:rPr>
              <w:t>kg/h</w:t>
            </w:r>
            <w:r>
              <w:rPr>
                <w:rFonts w:hint="default" w:ascii="Times New Roman" w:hAnsi="Times New Roman" w:cs="Times New Roman"/>
                <w:b/>
                <w:bCs/>
                <w:kern w:val="0"/>
                <w:szCs w:val="21"/>
                <w:highlight w:val="none"/>
                <w:lang w:eastAsia="zh-CN"/>
              </w:rPr>
              <w:t>）</w:t>
            </w:r>
          </w:p>
        </w:tc>
        <w:tc>
          <w:tcPr>
            <w:tcW w:w="109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kern w:val="0"/>
                <w:szCs w:val="21"/>
                <w:highlight w:val="none"/>
              </w:rPr>
            </w:pPr>
            <w:r>
              <w:rPr>
                <w:rFonts w:hint="default" w:ascii="Times New Roman" w:hAnsi="Times New Roman" w:cs="Times New Roman"/>
                <w:b/>
                <w:bCs/>
                <w:kern w:val="0"/>
                <w:szCs w:val="21"/>
                <w:highlight w:val="none"/>
                <w:lang w:val="en-US" w:eastAsia="zh-CN"/>
              </w:rPr>
              <w:t>年排放时间（h）</w:t>
            </w:r>
          </w:p>
        </w:tc>
        <w:tc>
          <w:tcPr>
            <w:tcW w:w="1532"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b/>
                <w:bCs/>
                <w:kern w:val="0"/>
                <w:sz w:val="21"/>
                <w:szCs w:val="21"/>
                <w:highlight w:val="none"/>
                <w:lang w:val="en-US" w:eastAsia="zh-CN" w:bidi="ar-SA"/>
              </w:rPr>
            </w:pPr>
            <w:r>
              <w:rPr>
                <w:rFonts w:hint="default" w:ascii="Times New Roman" w:hAnsi="Times New Roman" w:cs="Times New Roman"/>
                <w:b/>
                <w:bCs/>
                <w:kern w:val="0"/>
                <w:szCs w:val="21"/>
                <w:highlight w:val="none"/>
              </w:rPr>
              <w:t>年排放量（t/a）</w:t>
            </w:r>
          </w:p>
        </w:tc>
        <w:tc>
          <w:tcPr>
            <w:tcW w:w="110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kern w:val="0"/>
                <w:szCs w:val="21"/>
                <w:highlight w:val="none"/>
              </w:rPr>
            </w:pPr>
            <w:r>
              <w:rPr>
                <w:rFonts w:hint="default" w:ascii="Times New Roman" w:hAnsi="Times New Roman" w:cs="Times New Roman"/>
                <w:b/>
                <w:bCs/>
                <w:kern w:val="0"/>
                <w:szCs w:val="21"/>
                <w:highlight w:val="none"/>
              </w:rPr>
              <w:t>批复总量（t/a）</w:t>
            </w:r>
          </w:p>
        </w:tc>
        <w:tc>
          <w:tcPr>
            <w:tcW w:w="773" w:type="dxa"/>
            <w:vAlign w:val="center"/>
          </w:tcPr>
          <w:p>
            <w:pPr>
              <w:adjustRightInd w:val="0"/>
              <w:snapToGrid w:val="0"/>
              <w:spacing w:line="360" w:lineRule="exact"/>
              <w:jc w:val="center"/>
              <w:rPr>
                <w:rFonts w:hint="default" w:ascii="Times New Roman" w:hAnsi="Times New Roman" w:cs="Times New Roman"/>
                <w:b/>
                <w:bCs/>
                <w:kern w:val="0"/>
                <w:szCs w:val="21"/>
                <w:highlight w:val="none"/>
              </w:rPr>
            </w:pPr>
            <w:r>
              <w:rPr>
                <w:rFonts w:hint="default" w:ascii="Times New Roman" w:hAnsi="Times New Roman" w:cs="Times New Roman"/>
                <w:b/>
                <w:bCs/>
                <w:kern w:val="0"/>
                <w:szCs w:val="21"/>
                <w:highlight w:val="none"/>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452" w:type="dxa"/>
            <w:vAlign w:val="center"/>
          </w:tcPr>
          <w:p>
            <w:pPr>
              <w:adjustRightInd w:val="0"/>
              <w:snapToGrid w:val="0"/>
              <w:spacing w:line="360" w:lineRule="exact"/>
              <w:jc w:val="center"/>
              <w:rPr>
                <w:rFonts w:hint="eastAsia" w:ascii="Times New Roman" w:hAnsi="Times New Roman" w:cs="Times New Roman" w:eastAsiaTheme="minorEastAsia"/>
                <w:kern w:val="0"/>
                <w:sz w:val="21"/>
                <w:szCs w:val="21"/>
                <w:vertAlign w:val="subscript"/>
                <w:lang w:val="en-US" w:eastAsia="zh-CN" w:bidi="ar-SA"/>
              </w:rPr>
            </w:pPr>
            <w:r>
              <w:rPr>
                <w:rFonts w:hint="default" w:ascii="Times New Roman" w:hAnsi="Times New Roman" w:cs="Times New Roman"/>
                <w:kern w:val="0"/>
                <w:szCs w:val="21"/>
              </w:rPr>
              <w:t>VOC</w:t>
            </w:r>
            <w:r>
              <w:rPr>
                <w:rFonts w:hint="default" w:ascii="Times New Roman" w:hAnsi="Times New Roman" w:cs="Times New Roman"/>
                <w:kern w:val="0"/>
                <w:szCs w:val="21"/>
                <w:vertAlign w:val="subscript"/>
              </w:rPr>
              <w:t>S</w:t>
            </w:r>
            <w:r>
              <w:rPr>
                <w:rFonts w:hint="eastAsia" w:ascii="Times New Roman" w:hAnsi="Times New Roman" w:cs="Times New Roman"/>
                <w:kern w:val="0"/>
                <w:szCs w:val="21"/>
                <w:vertAlign w:val="baseline"/>
                <w:lang w:eastAsia="zh-CN"/>
              </w:rPr>
              <w:t>（</w:t>
            </w:r>
            <w:r>
              <w:rPr>
                <w:rFonts w:hint="eastAsia" w:ascii="Times New Roman" w:hAnsi="Times New Roman" w:cs="Times New Roman"/>
                <w:kern w:val="0"/>
                <w:szCs w:val="21"/>
                <w:vertAlign w:val="baseline"/>
                <w:lang w:val="en-US" w:eastAsia="zh-CN"/>
              </w:rPr>
              <w:t>以非甲烷总烃计</w:t>
            </w:r>
            <w:r>
              <w:rPr>
                <w:rFonts w:hint="eastAsia" w:ascii="Times New Roman" w:hAnsi="Times New Roman" w:cs="Times New Roman"/>
                <w:kern w:val="0"/>
                <w:szCs w:val="21"/>
                <w:vertAlign w:val="baseline"/>
                <w:lang w:eastAsia="zh-CN"/>
              </w:rPr>
              <w:t>）</w:t>
            </w:r>
          </w:p>
        </w:tc>
        <w:tc>
          <w:tcPr>
            <w:tcW w:w="1312" w:type="dxa"/>
            <w:vAlign w:val="center"/>
          </w:tcPr>
          <w:p>
            <w:pPr>
              <w:adjustRightInd w:val="0"/>
              <w:snapToGrid w:val="0"/>
              <w:spacing w:line="360" w:lineRule="exact"/>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G1-2</w:t>
            </w:r>
          </w:p>
        </w:tc>
        <w:tc>
          <w:tcPr>
            <w:tcW w:w="1255" w:type="dxa"/>
            <w:vAlign w:val="center"/>
          </w:tcPr>
          <w:p>
            <w:pPr>
              <w:adjustRightInd w:val="0"/>
              <w:snapToGrid w:val="0"/>
              <w:spacing w:line="360" w:lineRule="exact"/>
              <w:jc w:val="center"/>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7.2</w:t>
            </w:r>
            <w:r>
              <w:rPr>
                <w:rFonts w:hint="default" w:ascii="Times New Roman" w:hAnsi="Times New Roman" w:cs="Times New Roman"/>
                <w:kern w:val="0"/>
                <w:szCs w:val="21"/>
                <w:highlight w:val="none"/>
                <w:lang w:val="en-US" w:eastAsia="zh-CN"/>
              </w:rPr>
              <w:t>8×1</w:t>
            </w:r>
            <w:r>
              <w:rPr>
                <w:rFonts w:hint="eastAsia" w:ascii="Times New Roman" w:hAnsi="Times New Roman" w:cs="Times New Roman"/>
                <w:kern w:val="0"/>
                <w:szCs w:val="21"/>
                <w:highlight w:val="none"/>
                <w:lang w:val="en-US" w:eastAsia="zh-CN"/>
              </w:rPr>
              <w:t>0</w:t>
            </w:r>
            <w:r>
              <w:rPr>
                <w:rFonts w:hint="eastAsia" w:ascii="Times New Roman" w:hAnsi="Times New Roman" w:cs="Times New Roman"/>
                <w:kern w:val="0"/>
                <w:szCs w:val="21"/>
                <w:highlight w:val="none"/>
                <w:vertAlign w:val="superscript"/>
                <w:lang w:val="en-US" w:eastAsia="zh-CN"/>
              </w:rPr>
              <w:t>-2</w:t>
            </w:r>
          </w:p>
        </w:tc>
        <w:tc>
          <w:tcPr>
            <w:tcW w:w="1093"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kern w:val="0"/>
                <w:szCs w:val="21"/>
                <w:highlight w:val="none"/>
                <w:lang w:val="en-US" w:eastAsia="zh-CN"/>
              </w:rPr>
              <w:t>2400</w:t>
            </w:r>
          </w:p>
        </w:tc>
        <w:tc>
          <w:tcPr>
            <w:tcW w:w="1532" w:type="dxa"/>
            <w:vAlign w:val="center"/>
          </w:tcPr>
          <w:p>
            <w:pPr>
              <w:adjustRightInd w:val="0"/>
              <w:snapToGrid w:val="0"/>
              <w:spacing w:line="360" w:lineRule="exact"/>
              <w:jc w:val="center"/>
              <w:rPr>
                <w:rFonts w:hint="default" w:ascii="Times New Roman" w:hAnsi="Times New Roman"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0.175</w:t>
            </w:r>
          </w:p>
        </w:tc>
        <w:tc>
          <w:tcPr>
            <w:tcW w:w="1100" w:type="dxa"/>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0.787</w:t>
            </w:r>
          </w:p>
        </w:tc>
        <w:tc>
          <w:tcPr>
            <w:tcW w:w="773" w:type="dxa"/>
            <w:vAlign w:val="center"/>
          </w:tcPr>
          <w:p>
            <w:pPr>
              <w:adjustRightInd w:val="0"/>
              <w:snapToGrid w:val="0"/>
              <w:spacing w:line="360" w:lineRule="exact"/>
              <w:jc w:val="center"/>
              <w:rPr>
                <w:rFonts w:hint="default" w:ascii="Times New Roman" w:hAnsi="Times New Roman" w:cs="Times New Roman"/>
                <w:kern w:val="0"/>
                <w:szCs w:val="21"/>
                <w:lang w:eastAsia="zh-CN"/>
              </w:rPr>
            </w:pPr>
            <w:r>
              <w:rPr>
                <w:rFonts w:hint="eastAsia" w:ascii="Times New Roman" w:hAnsi="Times New Roman" w:cs="Times New Roman"/>
                <w:kern w:val="0"/>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517" w:type="dxa"/>
            <w:gridSpan w:val="7"/>
            <w:vAlign w:val="center"/>
          </w:tcPr>
          <w:p>
            <w:pPr>
              <w:adjustRightInd w:val="0"/>
              <w:snapToGrid w:val="0"/>
              <w:spacing w:line="360" w:lineRule="exact"/>
              <w:jc w:val="left"/>
              <w:rPr>
                <w:rFonts w:hint="default" w:ascii="Times New Roman" w:hAnsi="Times New Roman" w:cs="Times New Roman"/>
                <w:kern w:val="0"/>
                <w:szCs w:val="21"/>
              </w:rPr>
            </w:pPr>
            <w:r>
              <w:rPr>
                <w:rFonts w:hint="default" w:ascii="Times New Roman" w:hAnsi="Times New Roman" w:cs="Times New Roman"/>
                <w:kern w:val="0"/>
                <w:szCs w:val="21"/>
              </w:rPr>
              <w:t>注：</w:t>
            </w:r>
            <w:r>
              <w:rPr>
                <w:rFonts w:hint="default" w:ascii="Times New Roman" w:hAnsi="Times New Roman" w:cs="Times New Roman"/>
                <w:kern w:val="0"/>
                <w:szCs w:val="21"/>
                <w:lang w:val="en-US" w:eastAsia="zh-CN"/>
              </w:rPr>
              <w:t>1、</w:t>
            </w:r>
            <w:r>
              <w:rPr>
                <w:rFonts w:hint="default" w:ascii="Times New Roman" w:hAnsi="Times New Roman" w:cs="Times New Roman"/>
                <w:kern w:val="0"/>
                <w:szCs w:val="21"/>
                <w:lang w:eastAsia="zh-CN"/>
              </w:rPr>
              <w:t>年</w:t>
            </w:r>
            <w:r>
              <w:rPr>
                <w:rFonts w:hint="default" w:ascii="Times New Roman" w:hAnsi="Times New Roman" w:cs="Times New Roman"/>
                <w:kern w:val="0"/>
                <w:szCs w:val="21"/>
              </w:rPr>
              <w:t>排放量为年排入环境总量</w:t>
            </w:r>
            <w:r>
              <w:rPr>
                <w:rFonts w:hint="default" w:ascii="Times New Roman" w:hAnsi="Times New Roman" w:cs="Times New Roman"/>
                <w:kern w:val="0"/>
                <w:szCs w:val="21"/>
                <w:lang w:eastAsia="zh-CN"/>
              </w:rPr>
              <w:t>；</w:t>
            </w:r>
          </w:p>
        </w:tc>
      </w:tr>
    </w:tbl>
    <w:p>
      <w:pPr>
        <w:pStyle w:val="6"/>
        <w:rPr>
          <w:kern w:val="22"/>
        </w:rPr>
      </w:pPr>
      <w:bookmarkStart w:id="96" w:name="_Toc32061"/>
      <w:r>
        <w:rPr>
          <w:rFonts w:hint="eastAsia"/>
          <w:kern w:val="22"/>
        </w:rPr>
        <w:t>9.2.6</w:t>
      </w:r>
      <w:r>
        <w:rPr>
          <w:rFonts w:hint="eastAsia"/>
          <w:kern w:val="22"/>
          <w:highlight w:val="none"/>
        </w:rPr>
        <w:t>固</w:t>
      </w:r>
      <w:r>
        <w:rPr>
          <w:rFonts w:hint="eastAsia"/>
          <w:kern w:val="22"/>
          <w:highlight w:val="none"/>
          <w:lang w:eastAsia="zh-CN"/>
        </w:rPr>
        <w:t>（液）</w:t>
      </w:r>
      <w:r>
        <w:rPr>
          <w:rFonts w:hint="eastAsia"/>
          <w:kern w:val="22"/>
          <w:highlight w:val="none"/>
        </w:rPr>
        <w:t>体废弃</w:t>
      </w:r>
      <w:r>
        <w:rPr>
          <w:rFonts w:hint="eastAsia"/>
          <w:kern w:val="22"/>
        </w:rPr>
        <w:t>物调查结果及评价</w:t>
      </w:r>
      <w:bookmarkEnd w:id="96"/>
    </w:p>
    <w:p>
      <w:pPr>
        <w:spacing w:line="360" w:lineRule="auto"/>
        <w:ind w:firstLine="480" w:firstLineChars="200"/>
        <w:rPr>
          <w:rFonts w:ascii="Times New Roman" w:hAnsi="Times New Roman" w:cs="Times New Roman"/>
          <w:kern w:val="22"/>
          <w:sz w:val="24"/>
          <w:szCs w:val="24"/>
        </w:rPr>
      </w:pPr>
      <w:r>
        <w:rPr>
          <w:rFonts w:hint="eastAsia" w:ascii="Times New Roman" w:hAnsi="Times New Roman" w:cs="Times New Roman"/>
          <w:kern w:val="22"/>
          <w:sz w:val="24"/>
          <w:szCs w:val="24"/>
        </w:rPr>
        <w:t>据调查，本项目固</w:t>
      </w:r>
      <w:r>
        <w:rPr>
          <w:rFonts w:hint="eastAsia" w:ascii="Times New Roman" w:hAnsi="Times New Roman" w:cs="Times New Roman"/>
          <w:kern w:val="22"/>
          <w:sz w:val="24"/>
          <w:szCs w:val="24"/>
          <w:highlight w:val="none"/>
          <w:lang w:eastAsia="zh-CN"/>
        </w:rPr>
        <w:t>（液）</w:t>
      </w:r>
      <w:r>
        <w:rPr>
          <w:rFonts w:hint="eastAsia" w:ascii="Times New Roman" w:hAnsi="Times New Roman" w:cs="Times New Roman"/>
          <w:kern w:val="22"/>
          <w:sz w:val="24"/>
          <w:szCs w:val="24"/>
          <w:highlight w:val="none"/>
        </w:rPr>
        <w:t>体废</w:t>
      </w:r>
      <w:r>
        <w:rPr>
          <w:rFonts w:hint="eastAsia" w:ascii="Times New Roman" w:hAnsi="Times New Roman" w:cs="Times New Roman"/>
          <w:kern w:val="22"/>
          <w:sz w:val="24"/>
          <w:szCs w:val="24"/>
        </w:rPr>
        <w:t>弃物</w:t>
      </w:r>
      <w:r>
        <w:rPr>
          <w:rFonts w:hint="eastAsia" w:ascii="Times New Roman" w:hAnsi="Times New Roman" w:cs="Times New Roman"/>
          <w:kern w:val="22"/>
          <w:sz w:val="24"/>
          <w:szCs w:val="24"/>
          <w:lang w:eastAsia="zh-CN"/>
        </w:rPr>
        <w:t>实际</w:t>
      </w:r>
      <w:r>
        <w:rPr>
          <w:rFonts w:hint="eastAsia" w:ascii="Times New Roman" w:hAnsi="Times New Roman" w:cs="Times New Roman"/>
          <w:kern w:val="22"/>
          <w:sz w:val="24"/>
          <w:szCs w:val="24"/>
        </w:rPr>
        <w:t>产生与处置情况如表9.2</w:t>
      </w:r>
      <w:r>
        <w:rPr>
          <w:rFonts w:ascii="Times New Roman" w:hAnsi="Times New Roman" w:cs="Times New Roman"/>
          <w:kern w:val="22"/>
          <w:sz w:val="24"/>
          <w:szCs w:val="24"/>
        </w:rPr>
        <w:t>.6-1</w:t>
      </w:r>
      <w:r>
        <w:rPr>
          <w:rFonts w:hint="eastAsia" w:ascii="Times New Roman" w:hAnsi="Times New Roman" w:cs="Times New Roman"/>
          <w:kern w:val="22"/>
          <w:sz w:val="24"/>
          <w:szCs w:val="24"/>
        </w:rPr>
        <w:t>所示：</w:t>
      </w:r>
    </w:p>
    <w:p>
      <w:pPr>
        <w:spacing w:line="360" w:lineRule="auto"/>
        <w:ind w:firstLine="422" w:firstLineChars="200"/>
        <w:jc w:val="center"/>
        <w:rPr>
          <w:rFonts w:ascii="Times New Roman" w:hAnsi="Times New Roman" w:cs="Times New Roman"/>
          <w:b/>
          <w:bCs/>
          <w:szCs w:val="21"/>
        </w:rPr>
      </w:pPr>
      <w:r>
        <w:rPr>
          <w:rFonts w:ascii="Times New Roman" w:hAnsi="Times New Roman" w:cs="Times New Roman"/>
          <w:b/>
          <w:bCs/>
          <w:szCs w:val="21"/>
        </w:rPr>
        <w:t>表9</w:t>
      </w:r>
      <w:r>
        <w:rPr>
          <w:rFonts w:hint="eastAsia" w:ascii="Times New Roman" w:hAnsi="Times New Roman" w:cs="Times New Roman"/>
          <w:b/>
          <w:bCs/>
          <w:szCs w:val="21"/>
        </w:rPr>
        <w:t>.2</w:t>
      </w:r>
      <w:r>
        <w:rPr>
          <w:rFonts w:ascii="Times New Roman" w:hAnsi="Times New Roman" w:cs="Times New Roman"/>
          <w:b/>
          <w:bCs/>
          <w:szCs w:val="21"/>
        </w:rPr>
        <w:t xml:space="preserve">.6-1 </w:t>
      </w:r>
      <w:r>
        <w:rPr>
          <w:rFonts w:hint="eastAsia" w:ascii="Times New Roman" w:hAnsi="Times New Roman" w:cs="Times New Roman"/>
          <w:b/>
          <w:bCs/>
          <w:szCs w:val="21"/>
        </w:rPr>
        <w:t>固</w:t>
      </w:r>
      <w:r>
        <w:rPr>
          <w:rFonts w:hint="eastAsia" w:ascii="Times New Roman" w:hAnsi="Times New Roman" w:cs="Times New Roman"/>
          <w:b/>
          <w:bCs/>
          <w:szCs w:val="21"/>
          <w:lang w:eastAsia="zh-CN"/>
        </w:rPr>
        <w:t>（液）</w:t>
      </w:r>
      <w:r>
        <w:rPr>
          <w:rFonts w:ascii="Times New Roman" w:hAnsi="Times New Roman" w:cs="Times New Roman"/>
          <w:b/>
          <w:bCs/>
          <w:szCs w:val="21"/>
        </w:rPr>
        <w:t>体废弃物实际产生与处置情况</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1513"/>
        <w:gridCol w:w="1183"/>
        <w:gridCol w:w="731"/>
        <w:gridCol w:w="1069"/>
        <w:gridCol w:w="1422"/>
        <w:gridCol w:w="1006"/>
        <w:gridCol w:w="9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tblHeader/>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5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固废名称</w:t>
            </w:r>
          </w:p>
        </w:tc>
        <w:tc>
          <w:tcPr>
            <w:tcW w:w="11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产生工序</w:t>
            </w:r>
          </w:p>
        </w:tc>
        <w:tc>
          <w:tcPr>
            <w:tcW w:w="73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属性</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环评预估</w:t>
            </w:r>
            <w:r>
              <w:rPr>
                <w:rFonts w:hint="eastAsia" w:ascii="Times New Roman" w:hAnsi="Times New Roman" w:cs="Times New Roman"/>
                <w:b/>
                <w:bCs/>
                <w:color w:val="auto"/>
                <w:highlight w:val="none"/>
                <w:lang w:eastAsia="zh-CN"/>
              </w:rPr>
              <w:t>年产生</w:t>
            </w:r>
            <w:r>
              <w:rPr>
                <w:rFonts w:hint="default" w:ascii="Times New Roman" w:hAnsi="Times New Roman" w:cs="Times New Roman"/>
                <w:b/>
                <w:bCs/>
                <w:color w:val="auto"/>
                <w:highlight w:val="none"/>
              </w:rPr>
              <w:t>量t/a</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监测当月产生量</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b/>
                <w:bCs/>
                <w:color w:val="auto"/>
                <w:highlight w:val="none"/>
                <w:lang w:val="en-US" w:eastAsia="zh-CN"/>
              </w:rPr>
            </w:pPr>
            <w:r>
              <w:rPr>
                <w:rFonts w:hint="default" w:ascii="Times New Roman" w:hAnsi="Times New Roman" w:cs="Times New Roman"/>
                <w:b/>
                <w:bCs/>
                <w:color w:val="auto"/>
                <w:highlight w:val="none"/>
              </w:rPr>
              <w:t>t/a</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t>折合年</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产生量</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b/>
                <w:bCs/>
                <w:color w:val="auto"/>
                <w:kern w:val="2"/>
                <w:sz w:val="21"/>
                <w:szCs w:val="22"/>
                <w:lang w:val="en-US" w:eastAsia="zh-CN" w:bidi="ar-SA"/>
              </w:rPr>
            </w:pPr>
            <w:r>
              <w:rPr>
                <w:rFonts w:hint="default" w:ascii="Times New Roman" w:hAnsi="Times New Roman" w:cs="Times New Roman"/>
                <w:b/>
                <w:bCs/>
                <w:color w:val="auto"/>
              </w:rPr>
              <w:t>t/a</w:t>
            </w:r>
          </w:p>
        </w:tc>
        <w:tc>
          <w:tcPr>
            <w:tcW w:w="9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66"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1</w:t>
            </w:r>
          </w:p>
        </w:tc>
        <w:tc>
          <w:tcPr>
            <w:tcW w:w="151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废包装桶</w:t>
            </w:r>
          </w:p>
        </w:tc>
        <w:tc>
          <w:tcPr>
            <w:tcW w:w="1183" w:type="dxa"/>
            <w:shd w:val="clear" w:color="auto" w:fill="auto"/>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原料包装</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0.3</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lang w:val="en-US" w:eastAsia="zh-CN"/>
              </w:rPr>
              <w:t>当月未更换废机油，约</w:t>
            </w:r>
            <w:r>
              <w:rPr>
                <w:rFonts w:hint="eastAsia" w:ascii="Times New Roman" w:hAnsi="Times New Roman" w:cs="Times New Roman"/>
                <w:color w:val="auto"/>
                <w:spacing w:val="0"/>
                <w:szCs w:val="21"/>
                <w:highlight w:val="none"/>
                <w:lang w:val="en-US" w:eastAsia="zh-CN"/>
              </w:rPr>
              <w:t>3</w:t>
            </w:r>
            <w:r>
              <w:rPr>
                <w:rFonts w:hint="default" w:ascii="Times New Roman" w:hAnsi="Times New Roman" w:cs="Times New Roman"/>
                <w:color w:val="auto"/>
                <w:spacing w:val="0"/>
                <w:szCs w:val="21"/>
                <w:highlight w:val="none"/>
              </w:rPr>
              <w:t>年更换一次</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highlight w:val="none"/>
                <w:lang w:val="en-US" w:eastAsia="zh-CN" w:bidi="ar-SA"/>
              </w:rPr>
            </w:pPr>
            <w:r>
              <w:rPr>
                <w:rFonts w:hint="eastAsia" w:ascii="Times New Roman" w:hAnsi="Times New Roman" w:cs="Times New Roman"/>
                <w:color w:val="auto"/>
                <w:kern w:val="2"/>
                <w:sz w:val="21"/>
                <w:szCs w:val="22"/>
                <w:highlight w:val="none"/>
                <w:lang w:val="en-US" w:eastAsia="zh-CN" w:bidi="ar-SA"/>
              </w:rPr>
              <w:t>/</w:t>
            </w:r>
          </w:p>
        </w:tc>
        <w:tc>
          <w:tcPr>
            <w:tcW w:w="947" w:type="dxa"/>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eastAsia="宋体" w:cs="Times New Roman"/>
                <w:color w:val="FF0000"/>
                <w:spacing w:val="0"/>
                <w:szCs w:val="21"/>
                <w:highlight w:val="red"/>
                <w:lang w:val="en-US" w:eastAsia="zh-CN"/>
              </w:rPr>
            </w:pPr>
            <w:r>
              <w:rPr>
                <w:rFonts w:hint="eastAsia" w:ascii="Times New Roman" w:hAnsi="Times New Roman" w:cs="Times New Roman"/>
                <w:color w:val="auto"/>
                <w:spacing w:val="0"/>
                <w:szCs w:val="21"/>
                <w:highlight w:val="none"/>
                <w:lang w:eastAsia="zh-CN"/>
              </w:rPr>
              <w:t>收集后暂存于危废仓库，</w:t>
            </w:r>
            <w:r>
              <w:rPr>
                <w:rFonts w:hint="default" w:ascii="Times New Roman" w:hAnsi="Times New Roman" w:cs="Times New Roman"/>
                <w:color w:val="auto"/>
                <w:spacing w:val="0"/>
                <w:szCs w:val="21"/>
                <w:highlight w:val="none"/>
              </w:rPr>
              <w:t>委托</w:t>
            </w:r>
            <w:r>
              <w:rPr>
                <w:rFonts w:hint="eastAsia" w:ascii="Times New Roman" w:hAnsi="Times New Roman" w:cs="Times New Roman"/>
                <w:color w:val="auto"/>
                <w:spacing w:val="0"/>
                <w:szCs w:val="21"/>
                <w:highlight w:val="none"/>
                <w:lang w:eastAsia="zh-CN"/>
              </w:rPr>
              <w:t>浦江三阳环保科技有限公司</w:t>
            </w:r>
            <w:r>
              <w:rPr>
                <w:rFonts w:hint="eastAsia" w:ascii="Times New Roman" w:hAnsi="Times New Roman" w:cs="Times New Roman"/>
                <w:color w:val="auto"/>
                <w:spacing w:val="0"/>
                <w:szCs w:val="21"/>
                <w:highlight w:val="none"/>
                <w:lang w:val="en-US" w:eastAsia="zh-CN"/>
              </w:rPr>
              <w:t>进行</w:t>
            </w:r>
            <w:r>
              <w:rPr>
                <w:rFonts w:hint="default" w:ascii="Times New Roman" w:hAnsi="Times New Roman" w:cs="Times New Roman"/>
                <w:color w:val="auto"/>
                <w:spacing w:val="0"/>
                <w:szCs w:val="21"/>
                <w:highlight w:val="none"/>
              </w:rPr>
              <w:t>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2</w:t>
            </w:r>
          </w:p>
        </w:tc>
        <w:tc>
          <w:tcPr>
            <w:tcW w:w="1513" w:type="dxa"/>
            <w:shd w:val="clear" w:color="auto" w:fill="auto"/>
            <w:vAlign w:val="center"/>
          </w:tcPr>
          <w:p>
            <w:pPr>
              <w:pStyle w:val="82"/>
              <w:snapToGrid/>
              <w:rPr>
                <w:rFonts w:hint="default" w:ascii="Arial" w:hAnsi="Arial" w:eastAsia="宋体" w:cs="Arial"/>
                <w:spacing w:val="4"/>
                <w:kern w:val="0"/>
                <w:sz w:val="21"/>
                <w:szCs w:val="21"/>
                <w:lang w:val="en-US" w:eastAsia="zh-CN" w:bidi="ar-SA"/>
              </w:rPr>
            </w:pPr>
            <w:r>
              <w:rPr>
                <w:rFonts w:hint="default" w:ascii="Arial" w:hAnsi="Arial" w:eastAsia="宋体" w:cs="Arial"/>
                <w:spacing w:val="2"/>
                <w:kern w:val="2"/>
                <w:sz w:val="21"/>
                <w:szCs w:val="21"/>
                <w:lang w:val="en-US" w:eastAsia="zh-CN" w:bidi="ar-SA"/>
              </w:rPr>
              <w:t>废矿物油</w:t>
            </w:r>
          </w:p>
        </w:tc>
        <w:tc>
          <w:tcPr>
            <w:tcW w:w="1183" w:type="dxa"/>
            <w:shd w:val="clear" w:color="auto" w:fill="auto"/>
            <w:vAlign w:val="center"/>
          </w:tcPr>
          <w:p>
            <w:pPr>
              <w:pStyle w:val="82"/>
              <w:snapToGrid/>
              <w:rPr>
                <w:rFonts w:hint="default" w:ascii="Arial" w:hAnsi="Arial" w:eastAsia="宋体" w:cs="Arial"/>
                <w:spacing w:val="4"/>
                <w:kern w:val="0"/>
                <w:sz w:val="21"/>
                <w:szCs w:val="21"/>
                <w:lang w:val="en-US" w:eastAsia="zh-CN" w:bidi="ar-SA"/>
              </w:rPr>
            </w:pPr>
            <w:r>
              <w:rPr>
                <w:rFonts w:hint="eastAsia" w:ascii="Arial" w:hAnsi="Arial" w:cs="Arial"/>
                <w:spacing w:val="4"/>
                <w:kern w:val="0"/>
                <w:sz w:val="21"/>
                <w:szCs w:val="21"/>
                <w:lang w:val="en-US" w:eastAsia="zh-CN" w:bidi="ar-SA"/>
              </w:rPr>
              <w:t>设备检修</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当月未更换废机油，约</w:t>
            </w:r>
            <w:r>
              <w:rPr>
                <w:rFonts w:hint="eastAsia" w:ascii="Times New Roman" w:hAnsi="Times New Roman" w:cs="Times New Roman"/>
                <w:color w:val="auto"/>
                <w:spacing w:val="0"/>
                <w:szCs w:val="21"/>
                <w:highlight w:val="none"/>
                <w:lang w:val="en-US" w:eastAsia="zh-CN"/>
              </w:rPr>
              <w:t>3</w:t>
            </w:r>
            <w:r>
              <w:rPr>
                <w:rFonts w:hint="default" w:ascii="Times New Roman" w:hAnsi="Times New Roman" w:cs="Times New Roman"/>
                <w:color w:val="auto"/>
                <w:spacing w:val="0"/>
                <w:szCs w:val="21"/>
                <w:highlight w:val="none"/>
              </w:rPr>
              <w:t>年更换一次</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lang w:val="en-US" w:eastAsia="zh-CN"/>
              </w:rPr>
              <w:t>/</w:t>
            </w:r>
          </w:p>
        </w:tc>
        <w:tc>
          <w:tcPr>
            <w:tcW w:w="947"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89"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3</w:t>
            </w:r>
          </w:p>
        </w:tc>
        <w:tc>
          <w:tcPr>
            <w:tcW w:w="151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喷漆废液</w:t>
            </w:r>
          </w:p>
        </w:tc>
        <w:tc>
          <w:tcPr>
            <w:tcW w:w="118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喷漆</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0</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highlight w:val="none"/>
                <w:lang w:val="en-US" w:eastAsia="zh-CN" w:bidi="ar-SA"/>
              </w:rPr>
            </w:pPr>
            <w:r>
              <w:rPr>
                <w:rFonts w:hint="eastAsia" w:ascii="Times New Roman" w:hAnsi="Times New Roman" w:cs="Times New Roman"/>
                <w:color w:val="auto"/>
                <w:kern w:val="2"/>
                <w:sz w:val="21"/>
                <w:szCs w:val="22"/>
                <w:highlight w:val="none"/>
                <w:lang w:val="en-US" w:eastAsia="zh-CN" w:bidi="ar-SA"/>
              </w:rPr>
              <w:t>0</w:t>
            </w:r>
          </w:p>
        </w:tc>
        <w:tc>
          <w:tcPr>
            <w:tcW w:w="947" w:type="dxa"/>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eastAsia="宋体" w:cs="Times New Roman"/>
                <w:color w:val="auto"/>
                <w:spacing w:val="0"/>
                <w:szCs w:val="21"/>
                <w:lang w:val="en-US" w:eastAsia="zh-CN"/>
              </w:rPr>
            </w:pPr>
            <w:r>
              <w:rPr>
                <w:rFonts w:hint="eastAsia" w:ascii="Times New Roman" w:hAnsi="Times New Roman" w:cs="Times New Roman"/>
                <w:color w:val="auto"/>
                <w:spacing w:val="0"/>
                <w:szCs w:val="21"/>
                <w:lang w:val="en-US" w:eastAsia="zh-CN"/>
              </w:rPr>
              <w:t>不生产木衣架，故不产生</w:t>
            </w:r>
            <w:r>
              <w:rPr>
                <w:rFonts w:hint="default" w:ascii="Arial" w:hAnsi="Arial" w:eastAsia="宋体" w:cs="Arial"/>
                <w:spacing w:val="2"/>
                <w:kern w:val="2"/>
                <w:sz w:val="21"/>
                <w:szCs w:val="21"/>
                <w:lang w:val="en-US" w:eastAsia="zh-CN" w:bidi="ar-SA"/>
              </w:rPr>
              <w:t>喷漆废液</w:t>
            </w:r>
            <w:r>
              <w:rPr>
                <w:rFonts w:hint="eastAsia" w:cs="Arial"/>
                <w:spacing w:val="2"/>
                <w:kern w:val="2"/>
                <w:sz w:val="21"/>
                <w:szCs w:val="21"/>
                <w:lang w:val="en-US" w:eastAsia="zh-CN" w:bidi="ar-SA"/>
              </w:rPr>
              <w:t>、</w:t>
            </w:r>
            <w:r>
              <w:rPr>
                <w:rFonts w:hint="default" w:ascii="Arial" w:hAnsi="Arial" w:eastAsia="宋体" w:cs="Arial"/>
                <w:spacing w:val="2"/>
                <w:kern w:val="2"/>
                <w:sz w:val="21"/>
                <w:szCs w:val="21"/>
                <w:lang w:val="en-US" w:eastAsia="zh-CN" w:bidi="ar-SA"/>
              </w:rPr>
              <w:t>漆渣</w:t>
            </w:r>
            <w:r>
              <w:rPr>
                <w:rFonts w:hint="eastAsia" w:cs="Arial"/>
                <w:spacing w:val="2"/>
                <w:kern w:val="2"/>
                <w:sz w:val="21"/>
                <w:szCs w:val="21"/>
                <w:lang w:val="en-US" w:eastAsia="zh-CN" w:bidi="ar-SA"/>
              </w:rPr>
              <w:t>、</w:t>
            </w:r>
            <w:r>
              <w:rPr>
                <w:rFonts w:hint="default" w:ascii="Arial" w:hAnsi="Arial" w:eastAsia="宋体" w:cs="Arial"/>
                <w:spacing w:val="2"/>
                <w:kern w:val="2"/>
                <w:sz w:val="21"/>
                <w:szCs w:val="21"/>
                <w:lang w:val="en-US" w:eastAsia="zh-CN" w:bidi="ar-SA"/>
              </w:rPr>
              <w:t>废活性炭</w:t>
            </w:r>
            <w:r>
              <w:rPr>
                <w:rFonts w:hint="eastAsia" w:cs="Arial"/>
                <w:spacing w:val="2"/>
                <w:kern w:val="2"/>
                <w:sz w:val="21"/>
                <w:szCs w:val="21"/>
                <w:lang w:val="en-US" w:eastAsia="zh-CN" w:bidi="ar-SA"/>
              </w:rPr>
              <w:t>、</w:t>
            </w:r>
            <w:r>
              <w:rPr>
                <w:rFonts w:hint="default" w:ascii="Arial" w:hAnsi="Arial" w:eastAsia="宋体" w:cs="Arial"/>
                <w:spacing w:val="2"/>
                <w:kern w:val="2"/>
                <w:sz w:val="21"/>
                <w:szCs w:val="21"/>
                <w:lang w:val="en-US" w:eastAsia="zh-CN" w:bidi="ar-SA"/>
              </w:rPr>
              <w:t>初效过滤棉</w:t>
            </w:r>
            <w:r>
              <w:rPr>
                <w:rFonts w:hint="eastAsia" w:cs="Arial"/>
                <w:spacing w:val="2"/>
                <w:kern w:val="2"/>
                <w:sz w:val="21"/>
                <w:szCs w:val="21"/>
                <w:lang w:val="en-US" w:eastAsia="zh-CN" w:bidi="ar-SA"/>
              </w:rPr>
              <w:t>、</w:t>
            </w:r>
            <w:r>
              <w:rPr>
                <w:rFonts w:hint="default" w:ascii="Arial" w:hAnsi="Arial" w:eastAsia="宋体" w:cs="Arial"/>
                <w:spacing w:val="2"/>
                <w:kern w:val="2"/>
                <w:sz w:val="21"/>
                <w:szCs w:val="21"/>
                <w:lang w:val="en-US" w:eastAsia="zh-CN" w:bidi="ar-SA"/>
              </w:rPr>
              <w:t>废砂光轮</w:t>
            </w:r>
            <w:r>
              <w:rPr>
                <w:rFonts w:hint="eastAsia" w:cs="Arial"/>
                <w:spacing w:val="2"/>
                <w:kern w:val="2"/>
                <w:sz w:val="21"/>
                <w:szCs w:val="21"/>
                <w:lang w:val="en-US" w:eastAsia="zh-CN" w:bidi="ar-SA"/>
              </w:rPr>
              <w:t>等危废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4</w:t>
            </w:r>
          </w:p>
        </w:tc>
        <w:tc>
          <w:tcPr>
            <w:tcW w:w="151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漆渣</w:t>
            </w:r>
          </w:p>
        </w:tc>
        <w:tc>
          <w:tcPr>
            <w:tcW w:w="1183" w:type="dxa"/>
            <w:shd w:val="clear" w:color="auto" w:fill="auto"/>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喷漆</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0.3</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0</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highlight w:val="yellow"/>
                <w:lang w:val="en-US" w:eastAsia="zh-CN" w:bidi="ar-SA"/>
              </w:rPr>
            </w:pPr>
            <w:r>
              <w:rPr>
                <w:rFonts w:hint="eastAsia" w:ascii="Times New Roman" w:hAnsi="Times New Roman" w:cs="Times New Roman"/>
                <w:lang w:val="en-US" w:eastAsia="zh-CN"/>
              </w:rPr>
              <w:t>0</w:t>
            </w:r>
          </w:p>
        </w:tc>
        <w:tc>
          <w:tcPr>
            <w:tcW w:w="947"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5</w:t>
            </w:r>
          </w:p>
        </w:tc>
        <w:tc>
          <w:tcPr>
            <w:tcW w:w="151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废活性炭</w:t>
            </w:r>
          </w:p>
        </w:tc>
        <w:tc>
          <w:tcPr>
            <w:tcW w:w="118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废气处理</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4.175</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w:t>
            </w:r>
          </w:p>
        </w:tc>
        <w:tc>
          <w:tcPr>
            <w:tcW w:w="947"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6</w:t>
            </w:r>
          </w:p>
        </w:tc>
        <w:tc>
          <w:tcPr>
            <w:tcW w:w="1513" w:type="dxa"/>
            <w:shd w:val="clear" w:color="auto" w:fill="auto"/>
            <w:vAlign w:val="center"/>
          </w:tcPr>
          <w:p>
            <w:pPr>
              <w:pStyle w:val="82"/>
              <w:snapToGrid/>
              <w:rPr>
                <w:rFonts w:hint="eastAsia"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初效过滤棉</w:t>
            </w:r>
          </w:p>
        </w:tc>
        <w:tc>
          <w:tcPr>
            <w:tcW w:w="118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废气处理</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0.2</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w:t>
            </w:r>
          </w:p>
        </w:tc>
        <w:tc>
          <w:tcPr>
            <w:tcW w:w="947"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eastAsia="宋体" w:cs="Times New Roman"/>
                <w:color w:val="auto"/>
                <w:spacing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151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废砂光轮</w:t>
            </w:r>
          </w:p>
        </w:tc>
        <w:tc>
          <w:tcPr>
            <w:tcW w:w="1183" w:type="dxa"/>
            <w:shd w:val="clear" w:color="auto" w:fill="auto"/>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打磨</w:t>
            </w:r>
          </w:p>
        </w:tc>
        <w:tc>
          <w:tcPr>
            <w:tcW w:w="731" w:type="dxa"/>
            <w:shd w:val="clear" w:color="auto" w:fill="auto"/>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300个</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w:t>
            </w:r>
          </w:p>
        </w:tc>
        <w:tc>
          <w:tcPr>
            <w:tcW w:w="947"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eastAsia" w:ascii="Times New Roman" w:hAnsi="Times New Roman" w:cs="Times New Roman"/>
                <w:color w:val="auto"/>
                <w:spacing w:val="0"/>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8</w:t>
            </w:r>
          </w:p>
        </w:tc>
        <w:tc>
          <w:tcPr>
            <w:tcW w:w="151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rPr>
              <w:t>边角料</w:t>
            </w:r>
          </w:p>
        </w:tc>
        <w:tc>
          <w:tcPr>
            <w:tcW w:w="118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ascii="Arial" w:hAnsi="Arial" w:cs="Arial"/>
                <w:sz w:val="21"/>
                <w:szCs w:val="21"/>
              </w:rPr>
              <w:t>机械加工</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cs="Arial"/>
                <w:sz w:val="21"/>
                <w:szCs w:val="21"/>
                <w:lang w:val="en-US" w:eastAsia="zh-CN"/>
              </w:rPr>
              <w:t>一般固废</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0.07</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0.84</w:t>
            </w:r>
          </w:p>
        </w:tc>
        <w:tc>
          <w:tcPr>
            <w:tcW w:w="947" w:type="dxa"/>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r>
              <w:rPr>
                <w:rFonts w:hint="eastAsia" w:ascii="Times New Roman" w:hAnsi="Times New Roman" w:cs="Times New Roman"/>
                <w:color w:val="auto"/>
                <w:spacing w:val="0"/>
                <w:szCs w:val="21"/>
                <w:highlight w:val="none"/>
                <w:lang w:eastAsia="zh-CN"/>
              </w:rPr>
              <w:t>收集后</w:t>
            </w:r>
            <w:r>
              <w:rPr>
                <w:rFonts w:hint="eastAsia" w:ascii="Times New Roman" w:hAnsi="Times New Roman" w:cs="Times New Roman"/>
                <w:color w:val="auto"/>
                <w:spacing w:val="0"/>
                <w:szCs w:val="21"/>
                <w:highlight w:val="none"/>
                <w:lang w:val="en-US" w:eastAsia="zh-CN"/>
              </w:rPr>
              <w:t>外售综合利用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w:t>
            </w:r>
          </w:p>
        </w:tc>
        <w:tc>
          <w:tcPr>
            <w:tcW w:w="1513" w:type="dxa"/>
            <w:shd w:val="clear" w:color="auto" w:fill="auto"/>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z w:val="21"/>
                <w:szCs w:val="21"/>
              </w:rPr>
              <w:t>焊渣</w:t>
            </w:r>
          </w:p>
        </w:tc>
        <w:tc>
          <w:tcPr>
            <w:tcW w:w="1183" w:type="dxa"/>
            <w:shd w:val="clear" w:color="auto" w:fill="auto"/>
            <w:vAlign w:val="center"/>
          </w:tcPr>
          <w:p>
            <w:pPr>
              <w:pStyle w:val="82"/>
              <w:snapToGrid/>
              <w:rPr>
                <w:rFonts w:hint="eastAsia" w:ascii="Arial" w:hAnsi="Arial" w:eastAsia="宋体" w:cs="Arial"/>
                <w:spacing w:val="2"/>
                <w:kern w:val="2"/>
                <w:sz w:val="21"/>
                <w:szCs w:val="21"/>
                <w:lang w:val="en-US" w:eastAsia="zh-CN" w:bidi="ar-SA"/>
              </w:rPr>
            </w:pPr>
            <w:r>
              <w:rPr>
                <w:rFonts w:hint="eastAsia" w:ascii="Arial" w:hAnsi="Arial" w:cs="Arial"/>
                <w:sz w:val="21"/>
                <w:szCs w:val="21"/>
                <w:lang w:val="en-US" w:eastAsia="zh-CN"/>
              </w:rPr>
              <w:t>焊接</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cs="Arial"/>
                <w:sz w:val="21"/>
                <w:szCs w:val="21"/>
                <w:lang w:val="en-US" w:eastAsia="zh-CN"/>
              </w:rPr>
              <w:t>一般固废</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0.05</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0.003</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0.036</w:t>
            </w:r>
          </w:p>
        </w:tc>
        <w:tc>
          <w:tcPr>
            <w:tcW w:w="947"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151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rPr>
              <w:t>布袋除尘收集的粉尘</w:t>
            </w:r>
          </w:p>
        </w:tc>
        <w:tc>
          <w:tcPr>
            <w:tcW w:w="118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废气处理</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Times New Roman" w:hAnsi="Times New Roman" w:cs="Times New Roman"/>
                <w:color w:val="auto"/>
                <w:lang w:val="en-US" w:eastAsia="zh-CN"/>
              </w:rPr>
              <w:t>一般固废</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0.3564</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947" w:type="dxa"/>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rPr>
            </w:pPr>
            <w:r>
              <w:rPr>
                <w:rFonts w:hint="eastAsia" w:ascii="Times New Roman" w:hAnsi="Times New Roman" w:cs="Times New Roman"/>
                <w:color w:val="auto"/>
                <w:spacing w:val="0"/>
                <w:szCs w:val="21"/>
                <w:lang w:val="en-US" w:eastAsia="zh-CN"/>
              </w:rPr>
              <w:t>不生产木衣架，故不产生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w:t>
            </w:r>
          </w:p>
        </w:tc>
        <w:tc>
          <w:tcPr>
            <w:tcW w:w="151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pacing w:val="2"/>
                <w:kern w:val="2"/>
                <w:sz w:val="21"/>
                <w:szCs w:val="21"/>
                <w:lang w:val="en-US" w:eastAsia="zh-CN" w:bidi="ar-SA"/>
              </w:rPr>
              <w:t>含油废抹布等</w:t>
            </w:r>
          </w:p>
        </w:tc>
        <w:tc>
          <w:tcPr>
            <w:tcW w:w="118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Arial" w:hAnsi="Arial" w:eastAsia="宋体" w:cs="Arial"/>
                <w:spacing w:val="2"/>
                <w:kern w:val="2"/>
                <w:sz w:val="21"/>
                <w:szCs w:val="21"/>
                <w:lang w:val="en-US" w:eastAsia="zh-CN" w:bidi="ar-SA"/>
              </w:rPr>
              <w:t>设备检修</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eastAsia" w:ascii="Arial" w:hAnsi="Arial" w:cs="Arial"/>
                <w:sz w:val="21"/>
                <w:szCs w:val="21"/>
                <w:lang w:val="en-US" w:eastAsia="zh-CN"/>
              </w:rPr>
              <w:t>危险废物</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0.002</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0.0001</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lang w:val="en-US" w:eastAsia="zh-CN"/>
              </w:rPr>
              <w:t>0.0012</w:t>
            </w:r>
          </w:p>
        </w:tc>
        <w:tc>
          <w:tcPr>
            <w:tcW w:w="947" w:type="dxa"/>
            <w:vMerge w:val="restart"/>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eastAsia="zh-CN"/>
              </w:rPr>
              <w:t>收集后</w:t>
            </w:r>
            <w:r>
              <w:rPr>
                <w:rFonts w:hint="eastAsia" w:ascii="Times New Roman" w:hAnsi="Times New Roman" w:cs="Times New Roman"/>
                <w:color w:val="auto"/>
                <w:spacing w:val="0"/>
                <w:szCs w:val="21"/>
                <w:highlight w:val="none"/>
                <w:lang w:val="en-US" w:eastAsia="zh-CN"/>
              </w:rPr>
              <w:t>由</w:t>
            </w:r>
            <w:r>
              <w:rPr>
                <w:rFonts w:hint="default" w:ascii="Times New Roman" w:hAnsi="Times New Roman" w:cs="Times New Roman"/>
                <w:color w:val="auto"/>
                <w:spacing w:val="0"/>
                <w:szCs w:val="21"/>
                <w:highlight w:val="none"/>
              </w:rPr>
              <w:t>环卫部门统一清运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12</w:t>
            </w:r>
          </w:p>
        </w:tc>
        <w:tc>
          <w:tcPr>
            <w:tcW w:w="151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ascii="Arial" w:hAnsi="Arial" w:cs="Arial"/>
                <w:sz w:val="21"/>
                <w:szCs w:val="21"/>
              </w:rPr>
              <w:t>生活垃圾</w:t>
            </w:r>
          </w:p>
        </w:tc>
        <w:tc>
          <w:tcPr>
            <w:tcW w:w="1183"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ascii="Arial" w:hAnsi="Arial" w:cs="Arial"/>
                <w:sz w:val="21"/>
                <w:szCs w:val="21"/>
              </w:rPr>
              <w:t>日常生活</w:t>
            </w:r>
          </w:p>
        </w:tc>
        <w:tc>
          <w:tcPr>
            <w:tcW w:w="731" w:type="dxa"/>
            <w:shd w:val="clear" w:color="auto" w:fill="auto"/>
            <w:vAlign w:val="center"/>
          </w:tcPr>
          <w:p>
            <w:pPr>
              <w:pStyle w:val="82"/>
              <w:snapToGrid/>
              <w:rPr>
                <w:rFonts w:hint="default" w:ascii="Arial" w:hAnsi="Arial" w:eastAsia="宋体" w:cs="Arial"/>
                <w:spacing w:val="2"/>
                <w:kern w:val="2"/>
                <w:sz w:val="21"/>
                <w:szCs w:val="21"/>
                <w:lang w:val="en-US" w:eastAsia="zh-CN" w:bidi="ar-SA"/>
              </w:rPr>
            </w:pPr>
            <w:r>
              <w:rPr>
                <w:rFonts w:hint="default" w:ascii="Times New Roman" w:hAnsi="Times New Roman" w:cs="Times New Roman"/>
                <w:color w:val="auto"/>
                <w:lang w:val="en-US" w:eastAsia="zh-CN"/>
              </w:rPr>
              <w:t>一般固废</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10.5</w:t>
            </w:r>
          </w:p>
        </w:tc>
        <w:tc>
          <w:tcPr>
            <w:tcW w:w="142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0.8</w:t>
            </w:r>
          </w:p>
        </w:tc>
        <w:tc>
          <w:tcPr>
            <w:tcW w:w="100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highlight w:val="none"/>
                <w:lang w:val="en-US" w:eastAsia="zh-CN" w:bidi="ar-SA"/>
              </w:rPr>
            </w:pPr>
            <w:r>
              <w:rPr>
                <w:rFonts w:hint="eastAsia" w:ascii="Times New Roman" w:hAnsi="Times New Roman" w:cs="Times New Roman"/>
                <w:color w:val="auto"/>
                <w:kern w:val="2"/>
                <w:sz w:val="21"/>
                <w:szCs w:val="22"/>
                <w:highlight w:val="none"/>
                <w:lang w:val="en-US" w:eastAsia="zh-CN" w:bidi="ar-SA"/>
              </w:rPr>
              <w:t>9.6</w:t>
            </w:r>
          </w:p>
        </w:tc>
        <w:tc>
          <w:tcPr>
            <w:tcW w:w="947" w:type="dxa"/>
            <w:vMerge w:val="continue"/>
            <w:shd w:val="clear" w:color="auto" w:fill="auto"/>
            <w:vAlign w:val="center"/>
          </w:tcPr>
          <w:p>
            <w:pPr>
              <w:pStyle w:val="8"/>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cs="Times New Roman"/>
                <w:color w:val="auto"/>
                <w:spacing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备注</w:t>
            </w:r>
          </w:p>
        </w:tc>
        <w:tc>
          <w:tcPr>
            <w:tcW w:w="7871" w:type="dxa"/>
            <w:gridSpan w:val="7"/>
            <w:shd w:val="clear" w:color="auto" w:fill="auto"/>
            <w:vAlign w:val="center"/>
          </w:tcPr>
          <w:p>
            <w:pPr>
              <w:pStyle w:val="8"/>
              <w:keepNext w:val="0"/>
              <w:keepLines w:val="0"/>
              <w:pageBreakBefore w:val="0"/>
              <w:widowControl w:val="0"/>
              <w:numPr>
                <w:ilvl w:val="0"/>
                <w:numId w:val="6"/>
              </w:numPr>
              <w:kinsoku/>
              <w:wordWrap/>
              <w:overflowPunct/>
              <w:topLinePunct w:val="0"/>
              <w:autoSpaceDE/>
              <w:autoSpaceDN/>
              <w:bidi w:val="0"/>
              <w:adjustRightInd w:val="0"/>
              <w:snapToGrid w:val="0"/>
              <w:spacing w:beforeLines="0" w:afterLines="0" w:line="240" w:lineRule="exact"/>
              <w:jc w:val="left"/>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cs="Times New Roman"/>
                <w:highlight w:val="none"/>
                <w:lang w:val="en-US" w:eastAsia="zh-CN"/>
              </w:rPr>
              <w:t>本项目试运行至今，未</w:t>
            </w:r>
            <w:r>
              <w:rPr>
                <w:rFonts w:hint="eastAsia" w:ascii="Times New Roman" w:hAnsi="Times New Roman" w:cs="Times New Roman"/>
                <w:highlight w:val="none"/>
              </w:rPr>
              <w:t>更换</w:t>
            </w:r>
            <w:r>
              <w:rPr>
                <w:rFonts w:hint="eastAsia" w:ascii="Times New Roman" w:hAnsi="Times New Roman" w:cs="Times New Roman"/>
                <w:highlight w:val="none"/>
                <w:lang w:val="en-US" w:eastAsia="zh-CN"/>
              </w:rPr>
              <w:t>设备</w:t>
            </w:r>
            <w:r>
              <w:rPr>
                <w:rFonts w:hint="eastAsia" w:ascii="Times New Roman" w:hAnsi="Times New Roman" w:cs="Times New Roman"/>
                <w:highlight w:val="none"/>
              </w:rPr>
              <w:t>机油</w:t>
            </w:r>
            <w:r>
              <w:rPr>
                <w:rFonts w:hint="eastAsia" w:ascii="Times New Roman" w:hAnsi="Times New Roman" w:cs="Times New Roman"/>
                <w:highlight w:val="none"/>
                <w:lang w:eastAsia="zh-CN"/>
              </w:rPr>
              <w:t>，</w:t>
            </w:r>
            <w:r>
              <w:rPr>
                <w:rFonts w:hint="eastAsia" w:ascii="Times New Roman" w:hAnsi="Times New Roman" w:cs="Times New Roman"/>
                <w:highlight w:val="none"/>
              </w:rPr>
              <w:t>约3年更换一次，</w:t>
            </w:r>
            <w:r>
              <w:rPr>
                <w:rFonts w:hint="eastAsia" w:ascii="Times New Roman" w:hAnsi="Times New Roman" w:cs="Times New Roman"/>
                <w:highlight w:val="none"/>
                <w:lang w:val="en-US" w:eastAsia="zh-CN"/>
              </w:rPr>
              <w:t>故</w:t>
            </w:r>
            <w:r>
              <w:rPr>
                <w:rFonts w:hint="eastAsia" w:ascii="Times New Roman" w:hAnsi="Times New Roman" w:cs="Times New Roman"/>
                <w:highlight w:val="none"/>
              </w:rPr>
              <w:t>未</w:t>
            </w:r>
            <w:r>
              <w:rPr>
                <w:rFonts w:hint="eastAsia" w:ascii="Times New Roman" w:hAnsi="Times New Roman" w:cs="Times New Roman"/>
                <w:highlight w:val="none"/>
                <w:lang w:val="en-US" w:eastAsia="zh-CN"/>
              </w:rPr>
              <w:t>产生</w:t>
            </w:r>
            <w:r>
              <w:rPr>
                <w:rFonts w:hint="eastAsia" w:ascii="Times New Roman" w:hAnsi="Times New Roman" w:cs="Times New Roman"/>
                <w:highlight w:val="none"/>
              </w:rPr>
              <w:t>废</w:t>
            </w:r>
            <w:r>
              <w:rPr>
                <w:rFonts w:hint="eastAsia" w:ascii="Times New Roman" w:hAnsi="Times New Roman" w:cs="Times New Roman"/>
                <w:highlight w:val="none"/>
                <w:lang w:val="en-US" w:eastAsia="zh-CN"/>
              </w:rPr>
              <w:t>矿物油</w:t>
            </w:r>
            <w:r>
              <w:rPr>
                <w:rFonts w:hint="eastAsia" w:ascii="Times New Roman" w:hAnsi="Times New Roman" w:cs="Times New Roman"/>
                <w:highlight w:val="none"/>
              </w:rPr>
              <w:t>、废</w:t>
            </w:r>
            <w:r>
              <w:rPr>
                <w:rFonts w:hint="eastAsia" w:ascii="Times New Roman" w:hAnsi="Times New Roman" w:cs="Times New Roman"/>
                <w:highlight w:val="none"/>
                <w:lang w:val="en-US" w:eastAsia="zh-CN"/>
              </w:rPr>
              <w:t>包装</w:t>
            </w:r>
            <w:r>
              <w:rPr>
                <w:rFonts w:hint="eastAsia" w:ascii="Times New Roman" w:hAnsi="Times New Roman" w:cs="Times New Roman"/>
                <w:highlight w:val="none"/>
              </w:rPr>
              <w:t>桶</w:t>
            </w:r>
          </w:p>
        </w:tc>
      </w:tr>
    </w:tbl>
    <w:p>
      <w:pPr>
        <w:pStyle w:val="6"/>
      </w:pPr>
      <w:bookmarkStart w:id="97" w:name="_Toc3933"/>
      <w:bookmarkStart w:id="98" w:name="_Toc31969"/>
      <w:r>
        <w:rPr>
          <w:rFonts w:hint="eastAsia"/>
          <w:kern w:val="22"/>
        </w:rPr>
        <w:t>9.2.7</w:t>
      </w:r>
      <w:bookmarkStart w:id="99" w:name="_Toc496198362"/>
      <w:bookmarkStart w:id="100" w:name="_Toc11716"/>
      <w:bookmarkStart w:id="101" w:name="_Toc18797"/>
      <w:bookmarkStart w:id="102" w:name="_Toc496198281"/>
      <w:r>
        <w:t>环保设施去除效率监测结果</w:t>
      </w:r>
      <w:bookmarkEnd w:id="97"/>
      <w:bookmarkEnd w:id="98"/>
      <w:bookmarkEnd w:id="99"/>
      <w:bookmarkEnd w:id="100"/>
      <w:bookmarkEnd w:id="101"/>
      <w:bookmarkEnd w:id="102"/>
    </w:p>
    <w:p>
      <w:pPr>
        <w:snapToGrid w:val="0"/>
        <w:spacing w:line="360" w:lineRule="auto"/>
        <w:ind w:firstLine="480" w:firstLineChars="200"/>
        <w:rPr>
          <w:rFonts w:ascii="Times New Roman" w:hAnsi="Times New Roman" w:eastAsia="宋体" w:cs="Times New Roman"/>
          <w:kern w:val="22"/>
          <w:sz w:val="24"/>
          <w:szCs w:val="24"/>
        </w:rPr>
      </w:pPr>
      <w:r>
        <w:rPr>
          <w:rFonts w:hint="eastAsia" w:ascii="Times New Roman" w:hAnsi="Times New Roman" w:eastAsia="宋体" w:cs="Times New Roman"/>
          <w:kern w:val="22"/>
          <w:sz w:val="24"/>
          <w:szCs w:val="24"/>
        </w:rPr>
        <w:t>本次验收监测，环保设施处理效率见表9</w:t>
      </w:r>
      <w:r>
        <w:rPr>
          <w:rFonts w:ascii="Times New Roman" w:hAnsi="Times New Roman" w:eastAsia="宋体" w:cs="Times New Roman"/>
          <w:kern w:val="22"/>
          <w:sz w:val="24"/>
          <w:szCs w:val="24"/>
        </w:rPr>
        <w:t>.2.7</w:t>
      </w:r>
      <w:r>
        <w:rPr>
          <w:rFonts w:hint="eastAsia" w:ascii="Times New Roman" w:hAnsi="Times New Roman" w:eastAsia="宋体" w:cs="Times New Roman"/>
          <w:kern w:val="22"/>
          <w:sz w:val="24"/>
          <w:szCs w:val="24"/>
        </w:rPr>
        <w:t>-</w:t>
      </w:r>
      <w:r>
        <w:rPr>
          <w:rFonts w:ascii="Times New Roman" w:hAnsi="Times New Roman" w:eastAsia="宋体" w:cs="Times New Roman"/>
          <w:kern w:val="22"/>
          <w:sz w:val="24"/>
          <w:szCs w:val="24"/>
        </w:rPr>
        <w:t>1</w:t>
      </w:r>
      <w:r>
        <w:rPr>
          <w:rFonts w:hint="eastAsia" w:ascii="Times New Roman" w:hAnsi="Times New Roman" w:eastAsia="宋体" w:cs="Times New Roman"/>
          <w:kern w:val="22"/>
          <w:sz w:val="24"/>
          <w:szCs w:val="24"/>
        </w:rPr>
        <w:t>。</w:t>
      </w:r>
    </w:p>
    <w:p>
      <w:pPr>
        <w:snapToGrid w:val="0"/>
        <w:spacing w:line="360" w:lineRule="auto"/>
        <w:ind w:firstLine="482" w:firstLineChars="200"/>
        <w:jc w:val="center"/>
        <w:rPr>
          <w:rFonts w:ascii="Times New Roman" w:hAnsi="Times New Roman" w:eastAsia="宋体" w:cs="Times New Roman"/>
          <w:b/>
          <w:bCs/>
          <w:kern w:val="22"/>
          <w:sz w:val="24"/>
          <w:szCs w:val="24"/>
        </w:rPr>
      </w:pPr>
      <w:r>
        <w:rPr>
          <w:rFonts w:hint="eastAsia" w:ascii="Times New Roman" w:hAnsi="Times New Roman" w:eastAsia="宋体" w:cs="Times New Roman"/>
          <w:b/>
          <w:bCs/>
          <w:kern w:val="22"/>
          <w:sz w:val="24"/>
          <w:szCs w:val="24"/>
        </w:rPr>
        <w:t>表9</w:t>
      </w:r>
      <w:r>
        <w:rPr>
          <w:rFonts w:ascii="Times New Roman" w:hAnsi="Times New Roman" w:eastAsia="宋体" w:cs="Times New Roman"/>
          <w:b/>
          <w:bCs/>
          <w:kern w:val="22"/>
          <w:sz w:val="24"/>
          <w:szCs w:val="24"/>
        </w:rPr>
        <w:t>.2.7</w:t>
      </w:r>
      <w:r>
        <w:rPr>
          <w:rFonts w:hint="eastAsia" w:ascii="Times New Roman" w:hAnsi="Times New Roman" w:eastAsia="宋体" w:cs="Times New Roman"/>
          <w:b/>
          <w:bCs/>
          <w:kern w:val="22"/>
          <w:sz w:val="24"/>
          <w:szCs w:val="24"/>
        </w:rPr>
        <w:t>-</w:t>
      </w:r>
      <w:r>
        <w:rPr>
          <w:rFonts w:ascii="Times New Roman" w:hAnsi="Times New Roman" w:eastAsia="宋体" w:cs="Times New Roman"/>
          <w:b/>
          <w:bCs/>
          <w:kern w:val="22"/>
          <w:sz w:val="24"/>
          <w:szCs w:val="24"/>
        </w:rPr>
        <w:t>1</w:t>
      </w:r>
      <w:r>
        <w:rPr>
          <w:rFonts w:hint="eastAsia" w:ascii="Times New Roman" w:hAnsi="Times New Roman" w:eastAsia="宋体" w:cs="Times New Roman"/>
          <w:b/>
          <w:bCs/>
          <w:kern w:val="22"/>
          <w:sz w:val="24"/>
          <w:szCs w:val="24"/>
        </w:rPr>
        <w:t>环保设施去除效率</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096"/>
        <w:gridCol w:w="1350"/>
        <w:gridCol w:w="1742"/>
        <w:gridCol w:w="1742"/>
        <w:gridCol w:w="13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54"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处理设施</w:t>
            </w:r>
          </w:p>
        </w:tc>
        <w:tc>
          <w:tcPr>
            <w:tcW w:w="1096"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污染因子</w:t>
            </w:r>
          </w:p>
        </w:tc>
        <w:tc>
          <w:tcPr>
            <w:tcW w:w="1350"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日期</w:t>
            </w:r>
          </w:p>
        </w:tc>
        <w:tc>
          <w:tcPr>
            <w:tcW w:w="3484"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bCs/>
                <w:color w:val="auto"/>
                <w:lang w:eastAsia="zh-CN"/>
              </w:rPr>
            </w:pPr>
            <w:r>
              <w:rPr>
                <w:rFonts w:hint="default" w:ascii="Times New Roman" w:hAnsi="Times New Roman" w:cs="Times New Roman"/>
                <w:b/>
                <w:bCs/>
                <w:color w:val="auto"/>
                <w:lang w:eastAsia="zh-CN"/>
              </w:rPr>
              <w:t>排放速率</w:t>
            </w:r>
          </w:p>
        </w:tc>
        <w:tc>
          <w:tcPr>
            <w:tcW w:w="1305"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去除效率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54" w:type="dxa"/>
            <w:vMerge w:val="continue"/>
            <w:tcBorders>
              <w:tl2br w:val="nil"/>
              <w:tr2bl w:val="nil"/>
            </w:tcBorders>
            <w:vAlign w:val="center"/>
          </w:tcPr>
          <w:p>
            <w:pPr>
              <w:adjustRightInd w:val="0"/>
              <w:snapToGrid w:val="0"/>
              <w:jc w:val="center"/>
              <w:rPr>
                <w:rFonts w:hint="default" w:ascii="Times New Roman" w:hAnsi="Times New Roman" w:cs="Times New Roman"/>
              </w:rPr>
            </w:pPr>
          </w:p>
        </w:tc>
        <w:tc>
          <w:tcPr>
            <w:tcW w:w="1096" w:type="dxa"/>
            <w:vMerge w:val="continue"/>
            <w:tcBorders>
              <w:tl2br w:val="nil"/>
              <w:tr2bl w:val="nil"/>
            </w:tcBorders>
            <w:vAlign w:val="center"/>
          </w:tcPr>
          <w:p>
            <w:pPr>
              <w:adjustRightInd w:val="0"/>
              <w:snapToGrid w:val="0"/>
              <w:jc w:val="center"/>
              <w:rPr>
                <w:rFonts w:hint="default" w:ascii="Times New Roman" w:hAnsi="Times New Roman" w:cs="Times New Roman"/>
              </w:rPr>
            </w:pPr>
          </w:p>
        </w:tc>
        <w:tc>
          <w:tcPr>
            <w:tcW w:w="1350" w:type="dxa"/>
            <w:vMerge w:val="continue"/>
            <w:tcBorders>
              <w:tl2br w:val="nil"/>
              <w:tr2bl w:val="nil"/>
            </w:tcBorders>
            <w:vAlign w:val="center"/>
          </w:tcPr>
          <w:p>
            <w:pPr>
              <w:adjustRightInd w:val="0"/>
              <w:snapToGrid w:val="0"/>
              <w:jc w:val="center"/>
              <w:rPr>
                <w:rFonts w:hint="default" w:ascii="Times New Roman" w:hAnsi="Times New Roman" w:cs="Times New Roman"/>
              </w:rPr>
            </w:pPr>
          </w:p>
        </w:tc>
        <w:tc>
          <w:tcPr>
            <w:tcW w:w="1742" w:type="dxa"/>
            <w:tcBorders>
              <w:tl2br w:val="nil"/>
              <w:tr2bl w:val="nil"/>
            </w:tcBorders>
            <w:vAlign w:val="center"/>
          </w:tcPr>
          <w:p>
            <w:pPr>
              <w:adjustRightInd w:val="0"/>
              <w:snapToGrid w:val="0"/>
              <w:jc w:val="center"/>
              <w:rPr>
                <w:rFonts w:hint="default" w:ascii="Times New Roman" w:hAnsi="Times New Roman" w:cs="Times New Roman" w:eastAsiaTheme="minorEastAsia"/>
                <w:b/>
                <w:bCs/>
                <w:color w:val="auto"/>
                <w:kern w:val="2"/>
                <w:sz w:val="21"/>
                <w:szCs w:val="22"/>
                <w:lang w:val="en-US" w:eastAsia="zh-CN" w:bidi="ar-SA"/>
              </w:rPr>
            </w:pPr>
            <w:r>
              <w:rPr>
                <w:rFonts w:hint="default" w:ascii="Times New Roman" w:hAnsi="Times New Roman" w:cs="Times New Roman"/>
                <w:b/>
                <w:bCs/>
                <w:color w:val="auto"/>
                <w:lang w:eastAsia="zh-CN"/>
              </w:rPr>
              <w:t>进口</w:t>
            </w:r>
          </w:p>
        </w:tc>
        <w:tc>
          <w:tcPr>
            <w:tcW w:w="1742" w:type="dxa"/>
            <w:tcBorders>
              <w:tl2br w:val="nil"/>
              <w:tr2bl w:val="nil"/>
            </w:tcBorders>
            <w:vAlign w:val="center"/>
          </w:tcPr>
          <w:p>
            <w:pPr>
              <w:adjustRightInd w:val="0"/>
              <w:snapToGrid w:val="0"/>
              <w:jc w:val="center"/>
              <w:rPr>
                <w:rFonts w:hint="default" w:ascii="Times New Roman" w:hAnsi="Times New Roman" w:cs="Times New Roman" w:eastAsiaTheme="minorEastAsia"/>
                <w:b/>
                <w:bCs/>
                <w:color w:val="auto"/>
                <w:kern w:val="2"/>
                <w:sz w:val="21"/>
                <w:szCs w:val="22"/>
                <w:lang w:val="en-US" w:eastAsia="zh-CN" w:bidi="ar-SA"/>
              </w:rPr>
            </w:pPr>
            <w:r>
              <w:rPr>
                <w:rFonts w:hint="default" w:ascii="Times New Roman" w:hAnsi="Times New Roman" w:cs="Times New Roman"/>
                <w:b/>
                <w:bCs/>
                <w:color w:val="auto"/>
                <w:lang w:eastAsia="zh-CN"/>
              </w:rPr>
              <w:t>出口</w:t>
            </w:r>
          </w:p>
        </w:tc>
        <w:tc>
          <w:tcPr>
            <w:tcW w:w="1305"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54" w:type="dxa"/>
            <w:vMerge w:val="restart"/>
            <w:tcBorders>
              <w:tl2br w:val="nil"/>
              <w:tr2bl w:val="nil"/>
            </w:tcBorders>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eastAsia"/>
              </w:rPr>
              <w:t>浸塑、固化废气处理设施排气筒G1</w:t>
            </w:r>
          </w:p>
        </w:tc>
        <w:tc>
          <w:tcPr>
            <w:tcW w:w="1096" w:type="dxa"/>
            <w:vMerge w:val="restart"/>
            <w:tcBorders>
              <w:tl2br w:val="nil"/>
              <w:tr2bl w:val="nil"/>
            </w:tcBorders>
            <w:vAlign w:val="center"/>
          </w:tcPr>
          <w:p>
            <w:pPr>
              <w:adjustRightInd w:val="0"/>
              <w:snapToGrid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非甲烷总烃</w:t>
            </w:r>
          </w:p>
        </w:tc>
        <w:tc>
          <w:tcPr>
            <w:tcW w:w="1350"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bCs/>
                <w:kern w:val="0"/>
                <w:sz w:val="21"/>
                <w:szCs w:val="21"/>
                <w:lang w:val="en-US" w:eastAsia="zh-CN"/>
              </w:rPr>
              <w:t>2022.10.09</w:t>
            </w:r>
          </w:p>
        </w:tc>
        <w:tc>
          <w:tcPr>
            <w:tcW w:w="1742"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 xml:space="preserve">0.184 </w:t>
            </w:r>
          </w:p>
        </w:tc>
        <w:tc>
          <w:tcPr>
            <w:tcW w:w="1742"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7.37×10</w:t>
            </w:r>
            <w:r>
              <w:rPr>
                <w:rFonts w:hint="default" w:ascii="Times New Roman" w:hAnsi="Times New Roman" w:cs="Times New Roman"/>
                <w:bCs/>
                <w:kern w:val="0"/>
                <w:sz w:val="21"/>
                <w:szCs w:val="21"/>
                <w:vertAlign w:val="superscript"/>
                <w:lang w:val="en-US" w:eastAsia="zh-CN"/>
              </w:rPr>
              <w:t>-2</w:t>
            </w:r>
          </w:p>
        </w:tc>
        <w:tc>
          <w:tcPr>
            <w:tcW w:w="1305"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4" w:type="dxa"/>
            <w:vMerge w:val="continue"/>
            <w:tcBorders>
              <w:tl2br w:val="nil"/>
              <w:tr2bl w:val="nil"/>
            </w:tcBorders>
            <w:vAlign w:val="center"/>
          </w:tcPr>
          <w:p>
            <w:pPr>
              <w:adjustRightInd w:val="0"/>
              <w:snapToGrid w:val="0"/>
              <w:jc w:val="center"/>
              <w:rPr>
                <w:rFonts w:hint="default" w:ascii="Times New Roman" w:hAnsi="Times New Roman" w:cs="Times New Roman"/>
                <w:color w:val="auto"/>
              </w:rPr>
            </w:pPr>
          </w:p>
        </w:tc>
        <w:tc>
          <w:tcPr>
            <w:tcW w:w="1096" w:type="dxa"/>
            <w:vMerge w:val="continue"/>
            <w:tcBorders>
              <w:tl2br w:val="nil"/>
              <w:tr2bl w:val="nil"/>
            </w:tcBorders>
            <w:vAlign w:val="center"/>
          </w:tcPr>
          <w:p>
            <w:pPr>
              <w:adjustRightInd w:val="0"/>
              <w:snapToGrid w:val="0"/>
              <w:jc w:val="center"/>
              <w:rPr>
                <w:rFonts w:hint="default" w:ascii="Times New Roman" w:hAnsi="Times New Roman" w:cs="Times New Roman"/>
                <w:color w:val="auto"/>
              </w:rPr>
            </w:pPr>
          </w:p>
        </w:tc>
        <w:tc>
          <w:tcPr>
            <w:tcW w:w="1350"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bCs/>
                <w:kern w:val="0"/>
                <w:sz w:val="21"/>
                <w:szCs w:val="21"/>
                <w:lang w:val="en-US" w:eastAsia="zh-CN"/>
              </w:rPr>
              <w:t>2022.10.10</w:t>
            </w:r>
          </w:p>
        </w:tc>
        <w:tc>
          <w:tcPr>
            <w:tcW w:w="1742"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 xml:space="preserve">0.190 </w:t>
            </w:r>
          </w:p>
        </w:tc>
        <w:tc>
          <w:tcPr>
            <w:tcW w:w="1742"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7.18×10</w:t>
            </w:r>
            <w:r>
              <w:rPr>
                <w:rFonts w:hint="default" w:ascii="Times New Roman" w:hAnsi="Times New Roman" w:cs="Times New Roman"/>
                <w:bCs/>
                <w:kern w:val="0"/>
                <w:sz w:val="21"/>
                <w:szCs w:val="21"/>
                <w:vertAlign w:val="superscript"/>
                <w:lang w:val="en-US" w:eastAsia="zh-CN"/>
              </w:rPr>
              <w:t>-2</w:t>
            </w:r>
          </w:p>
        </w:tc>
        <w:tc>
          <w:tcPr>
            <w:tcW w:w="1305"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62.2</w:t>
            </w:r>
          </w:p>
        </w:tc>
      </w:tr>
    </w:tbl>
    <w:p>
      <w:pPr>
        <w:pStyle w:val="5"/>
        <w:rPr>
          <w:rFonts w:eastAsia="宋体"/>
          <w:kern w:val="22"/>
        </w:rPr>
      </w:pPr>
      <w:bookmarkStart w:id="103" w:name="_Toc32207"/>
      <w:bookmarkStart w:id="104" w:name="_Toc4694246"/>
      <w:bookmarkStart w:id="105" w:name="_Toc28357513"/>
      <w:bookmarkStart w:id="106" w:name="_Hlk534923511"/>
      <w:r>
        <w:rPr>
          <w:rFonts w:hint="eastAsia" w:eastAsia="宋体"/>
          <w:kern w:val="22"/>
        </w:rPr>
        <w:t>9.3工程建设对环境的影响</w:t>
      </w:r>
      <w:bookmarkEnd w:id="103"/>
      <w:bookmarkEnd w:id="104"/>
      <w:bookmarkEnd w:id="105"/>
    </w:p>
    <w:bookmarkEnd w:id="106"/>
    <w:p>
      <w:pPr>
        <w:snapToGrid w:val="0"/>
        <w:spacing w:line="360" w:lineRule="auto"/>
        <w:ind w:firstLine="480" w:firstLineChars="200"/>
        <w:rPr>
          <w:rFonts w:hint="eastAsia" w:ascii="Times New Roman" w:hAnsi="Times New Roman" w:eastAsia="宋体" w:cs="Times New Roman"/>
          <w:kern w:val="22"/>
          <w:sz w:val="24"/>
          <w:szCs w:val="24"/>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Times New Roman" w:hAnsi="Times New Roman" w:eastAsia="宋体" w:cs="Times New Roman"/>
          <w:kern w:val="22"/>
          <w:sz w:val="24"/>
          <w:szCs w:val="24"/>
          <w:lang w:eastAsia="zh-CN"/>
        </w:rPr>
        <w:t>项目厂界外</w:t>
      </w:r>
      <w:r>
        <w:rPr>
          <w:rFonts w:hint="eastAsia" w:ascii="Times New Roman" w:hAnsi="Times New Roman" w:eastAsia="宋体" w:cs="Times New Roman"/>
          <w:kern w:val="22"/>
          <w:sz w:val="24"/>
          <w:szCs w:val="24"/>
          <w:lang w:val="en-US" w:eastAsia="zh-CN"/>
        </w:rPr>
        <w:t>200</w:t>
      </w:r>
      <w:r>
        <w:rPr>
          <w:rFonts w:hint="eastAsia" w:ascii="Times New Roman" w:hAnsi="Times New Roman" w:eastAsia="宋体" w:cs="Times New Roman"/>
          <w:kern w:val="22"/>
          <w:sz w:val="24"/>
          <w:szCs w:val="24"/>
          <w:lang w:eastAsia="zh-CN"/>
        </w:rPr>
        <w:t>m范围内无居民区等声环境保护目标，故不检测本项目污染物对周边敏感点的影响。</w:t>
      </w:r>
    </w:p>
    <w:p>
      <w:pPr>
        <w:pStyle w:val="4"/>
      </w:pPr>
      <w:bookmarkStart w:id="107" w:name="_Toc22763"/>
      <w:r>
        <w:rPr>
          <w:rFonts w:hint="eastAsia"/>
        </w:rPr>
        <w:t>10验收监测结论</w:t>
      </w:r>
      <w:bookmarkEnd w:id="107"/>
    </w:p>
    <w:p>
      <w:pPr>
        <w:pStyle w:val="5"/>
        <w:rPr>
          <w:rFonts w:hint="eastAsia" w:eastAsia="宋体"/>
          <w:kern w:val="22"/>
        </w:rPr>
      </w:pPr>
      <w:bookmarkStart w:id="108" w:name="_Toc21908"/>
      <w:r>
        <w:rPr>
          <w:rFonts w:hint="eastAsia" w:eastAsia="宋体"/>
          <w:kern w:val="22"/>
        </w:rPr>
        <w:t>10.1环保设施调试运行效果</w:t>
      </w:r>
      <w:bookmarkEnd w:id="108"/>
    </w:p>
    <w:p>
      <w:pPr>
        <w:pStyle w:val="6"/>
        <w:rPr>
          <w:kern w:val="22"/>
        </w:rPr>
      </w:pPr>
      <w:bookmarkStart w:id="109" w:name="_Toc32399"/>
      <w:bookmarkStart w:id="110" w:name="_Toc86844215"/>
      <w:r>
        <w:rPr>
          <w:rFonts w:hint="eastAsia"/>
          <w:kern w:val="22"/>
        </w:rPr>
        <w:t>10.1.1环保设施处理效率监测结果</w:t>
      </w:r>
      <w:bookmarkEnd w:id="109"/>
      <w:bookmarkEnd w:id="110"/>
    </w:p>
    <w:p>
      <w:pPr>
        <w:snapToGrid w:val="0"/>
        <w:spacing w:line="360" w:lineRule="auto"/>
        <w:ind w:firstLine="480" w:firstLineChars="200"/>
        <w:rPr>
          <w:rFonts w:hint="eastAsia" w:ascii="Times New Roman" w:hAnsi="Times New Roman" w:eastAsia="宋体" w:cs="Times New Roman"/>
          <w:kern w:val="22"/>
          <w:sz w:val="24"/>
          <w:szCs w:val="24"/>
          <w:lang w:val="en-US" w:eastAsia="zh-CN"/>
        </w:rPr>
      </w:pPr>
      <w:r>
        <w:rPr>
          <w:rFonts w:hint="eastAsia" w:ascii="Times New Roman" w:hAnsi="Times New Roman" w:eastAsia="宋体" w:cs="Times New Roman"/>
          <w:kern w:val="22"/>
          <w:sz w:val="24"/>
          <w:szCs w:val="24"/>
          <w:lang w:eastAsia="zh-CN"/>
        </w:rPr>
        <w:t>本项目</w:t>
      </w:r>
      <w:r>
        <w:rPr>
          <w:rFonts w:hint="eastAsia" w:ascii="Times New Roman" w:hAnsi="Times New Roman" w:eastAsia="宋体" w:cs="Times New Roman"/>
          <w:kern w:val="22"/>
          <w:sz w:val="24"/>
          <w:szCs w:val="24"/>
          <w:lang w:val="en-US" w:eastAsia="zh-CN"/>
        </w:rPr>
        <w:t>浸塑、固化废气处理设施排气筒（G1）非甲烷总烃</w:t>
      </w:r>
      <w:r>
        <w:rPr>
          <w:rFonts w:hint="eastAsia" w:ascii="Times New Roman" w:hAnsi="Times New Roman" w:eastAsia="宋体" w:cs="Times New Roman"/>
          <w:kern w:val="22"/>
          <w:sz w:val="24"/>
          <w:szCs w:val="24"/>
          <w:lang w:eastAsia="zh-CN"/>
        </w:rPr>
        <w:t>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60.6%和62.2</w:t>
      </w:r>
      <w:r>
        <w:rPr>
          <w:rFonts w:hint="eastAsia" w:ascii="Times New Roman" w:hAnsi="Times New Roman" w:eastAsia="宋体" w:cs="Times New Roman"/>
          <w:kern w:val="22"/>
          <w:sz w:val="24"/>
          <w:szCs w:val="24"/>
          <w:lang w:val="en-US" w:eastAsia="zh-CN"/>
        </w:rPr>
        <w:t>%。</w:t>
      </w:r>
    </w:p>
    <w:p>
      <w:pPr>
        <w:pStyle w:val="6"/>
        <w:rPr>
          <w:kern w:val="22"/>
        </w:rPr>
      </w:pPr>
      <w:bookmarkStart w:id="111" w:name="_Toc86844216"/>
      <w:bookmarkStart w:id="112" w:name="_Toc3047"/>
      <w:r>
        <w:rPr>
          <w:rFonts w:hint="eastAsia"/>
          <w:kern w:val="22"/>
        </w:rPr>
        <w:t>10.1.2污染设施排放监测结果</w:t>
      </w:r>
      <w:bookmarkEnd w:id="111"/>
      <w:bookmarkEnd w:id="112"/>
    </w:p>
    <w:p>
      <w:pPr>
        <w:snapToGrid w:val="0"/>
        <w:spacing w:line="360" w:lineRule="auto"/>
        <w:ind w:firstLine="480" w:firstLineChars="200"/>
        <w:rPr>
          <w:rFonts w:hint="eastAsia" w:ascii="Times New Roman" w:hAnsi="Times New Roman" w:eastAsia="宋体" w:cs="Times New Roman"/>
          <w:kern w:val="22"/>
          <w:sz w:val="24"/>
          <w:szCs w:val="24"/>
          <w:lang w:eastAsia="zh-CN"/>
        </w:rPr>
      </w:pPr>
      <w:bookmarkStart w:id="113" w:name="_Hlk523338546"/>
      <w:r>
        <w:rPr>
          <w:rFonts w:hint="eastAsia" w:ascii="Times New Roman" w:hAnsi="Times New Roman"/>
          <w:sz w:val="24"/>
          <w:szCs w:val="24"/>
          <w:lang w:eastAsia="zh-CN"/>
        </w:rPr>
        <w:t>浦江金理衣架有限公司年产1430万个衣架生产线建设项目</w:t>
      </w:r>
      <w:r>
        <w:rPr>
          <w:rFonts w:hint="eastAsia" w:ascii="Times New Roman" w:hAnsi="Times New Roman"/>
          <w:sz w:val="24"/>
          <w:szCs w:val="24"/>
        </w:rPr>
        <w:t>已建成，生产能力为</w:t>
      </w:r>
      <w:r>
        <w:rPr>
          <w:rFonts w:hint="eastAsia" w:ascii="Times New Roman" w:hAnsi="Times New Roman"/>
          <w:sz w:val="24"/>
          <w:szCs w:val="24"/>
          <w:lang w:eastAsia="zh-CN"/>
        </w:rPr>
        <w:t>年产1</w:t>
      </w:r>
      <w:r>
        <w:rPr>
          <w:rFonts w:hint="eastAsia" w:ascii="Times New Roman" w:hAnsi="Times New Roman"/>
          <w:sz w:val="24"/>
          <w:szCs w:val="24"/>
          <w:lang w:val="en-US" w:eastAsia="zh-CN"/>
        </w:rPr>
        <w:t>2</w:t>
      </w:r>
      <w:r>
        <w:rPr>
          <w:rFonts w:hint="eastAsia" w:ascii="Times New Roman" w:hAnsi="Times New Roman"/>
          <w:sz w:val="24"/>
          <w:szCs w:val="24"/>
          <w:lang w:eastAsia="zh-CN"/>
        </w:rPr>
        <w:t>30万个衣架生产线建设项目（</w:t>
      </w:r>
      <w:r>
        <w:rPr>
          <w:rFonts w:hint="eastAsia" w:ascii="Times New Roman" w:hAnsi="Times New Roman"/>
          <w:sz w:val="24"/>
          <w:szCs w:val="24"/>
          <w:lang w:val="en-US" w:eastAsia="zh-CN"/>
        </w:rPr>
        <w:t>不包含木衣架</w:t>
      </w:r>
      <w:r>
        <w:rPr>
          <w:rFonts w:hint="eastAsia" w:ascii="Times New Roman" w:hAnsi="Times New Roman"/>
          <w:sz w:val="24"/>
          <w:szCs w:val="24"/>
          <w:lang w:eastAsia="zh-CN"/>
        </w:rPr>
        <w:t>）</w:t>
      </w:r>
      <w:r>
        <w:rPr>
          <w:rFonts w:hint="eastAsia" w:ascii="Times New Roman" w:hAnsi="Times New Roman"/>
          <w:sz w:val="24"/>
          <w:szCs w:val="24"/>
        </w:rPr>
        <w:t>，</w:t>
      </w:r>
      <w:r>
        <w:rPr>
          <w:rFonts w:hint="eastAsia" w:ascii="Times New Roman" w:hAnsi="Times New Roman"/>
          <w:sz w:val="24"/>
          <w:szCs w:val="24"/>
          <w:lang w:eastAsia="zh-CN"/>
        </w:rPr>
        <w:t>采用白班制</w:t>
      </w:r>
      <w:r>
        <w:rPr>
          <w:rFonts w:hint="eastAsia" w:ascii="Times New Roman" w:hAnsi="Times New Roman"/>
          <w:sz w:val="24"/>
          <w:szCs w:val="24"/>
        </w:rPr>
        <w:t>，</w:t>
      </w:r>
      <w:r>
        <w:rPr>
          <w:rFonts w:hint="eastAsia" w:ascii="Times New Roman" w:hAnsi="Times New Roman"/>
          <w:sz w:val="24"/>
          <w:szCs w:val="24"/>
          <w:lang w:eastAsia="zh-CN"/>
        </w:rPr>
        <w:t>白班</w:t>
      </w:r>
      <w:r>
        <w:rPr>
          <w:rFonts w:hint="eastAsia" w:ascii="Times New Roman" w:hAnsi="Times New Roman"/>
          <w:sz w:val="24"/>
          <w:szCs w:val="24"/>
        </w:rPr>
        <w:t>作业时间</w:t>
      </w:r>
      <w:r>
        <w:rPr>
          <w:rFonts w:hint="eastAsia" w:ascii="Times New Roman" w:hAnsi="Times New Roman"/>
          <w:sz w:val="24"/>
          <w:szCs w:val="24"/>
          <w:lang w:val="en-US" w:eastAsia="zh-CN"/>
        </w:rPr>
        <w:t>8</w:t>
      </w:r>
      <w:r>
        <w:rPr>
          <w:rFonts w:hint="eastAsia" w:ascii="Times New Roman" w:hAnsi="Times New Roman"/>
          <w:sz w:val="24"/>
          <w:szCs w:val="24"/>
        </w:rPr>
        <w:t>h</w:t>
      </w:r>
      <w:r>
        <w:rPr>
          <w:rFonts w:hint="eastAsia" w:ascii="Times New Roman" w:hAnsi="Times New Roman"/>
          <w:sz w:val="24"/>
          <w:szCs w:val="24"/>
          <w:lang w:val="en-US" w:eastAsia="zh-CN"/>
        </w:rPr>
        <w:t>/d</w:t>
      </w:r>
      <w:r>
        <w:rPr>
          <w:rFonts w:hint="eastAsia" w:ascii="Times New Roman" w:hAnsi="Times New Roman"/>
          <w:sz w:val="24"/>
          <w:szCs w:val="24"/>
        </w:rPr>
        <w:t>，年工作日为3</w:t>
      </w:r>
      <w:r>
        <w:rPr>
          <w:rFonts w:hint="eastAsia" w:ascii="Times New Roman" w:hAnsi="Times New Roman"/>
          <w:sz w:val="24"/>
          <w:szCs w:val="24"/>
          <w:lang w:val="en-US" w:eastAsia="zh-CN"/>
        </w:rPr>
        <w:t>0</w:t>
      </w:r>
      <w:r>
        <w:rPr>
          <w:rFonts w:hint="eastAsia" w:ascii="Times New Roman" w:hAnsi="Times New Roman"/>
          <w:sz w:val="24"/>
          <w:szCs w:val="24"/>
        </w:rPr>
        <w:t>0天。根据企业提供的监测期间工况证明，</w:t>
      </w:r>
      <w:r>
        <w:rPr>
          <w:rFonts w:ascii="Times New Roman" w:hAnsi="Times New Roman"/>
          <w:sz w:val="24"/>
          <w:szCs w:val="24"/>
        </w:rPr>
        <w:t>在验收监测期间，该公司生产负荷</w:t>
      </w:r>
      <w:r>
        <w:rPr>
          <w:rFonts w:hint="eastAsia" w:ascii="Times New Roman" w:hAnsi="Times New Roman"/>
          <w:sz w:val="24"/>
          <w:szCs w:val="24"/>
        </w:rPr>
        <w:t>在</w:t>
      </w:r>
      <w:r>
        <w:rPr>
          <w:rFonts w:hint="eastAsia" w:ascii="Times New Roman" w:hAnsi="Times New Roman"/>
          <w:sz w:val="24"/>
          <w:szCs w:val="24"/>
          <w:lang w:val="en-US" w:eastAsia="zh-CN"/>
        </w:rPr>
        <w:t>89.7</w:t>
      </w:r>
      <w:r>
        <w:rPr>
          <w:rFonts w:ascii="Times New Roman" w:hAnsi="Times New Roman"/>
          <w:sz w:val="24"/>
          <w:szCs w:val="24"/>
        </w:rPr>
        <w:t>%</w:t>
      </w:r>
      <w:r>
        <w:rPr>
          <w:rFonts w:hint="eastAsia" w:ascii="Times New Roman" w:hAnsi="Times New Roman"/>
          <w:sz w:val="24"/>
          <w:szCs w:val="24"/>
        </w:rPr>
        <w:t>~</w:t>
      </w:r>
      <w:r>
        <w:rPr>
          <w:rFonts w:hint="eastAsia" w:ascii="Times New Roman" w:hAnsi="Times New Roman"/>
          <w:sz w:val="24"/>
          <w:szCs w:val="24"/>
          <w:lang w:val="en-US" w:eastAsia="zh-CN"/>
        </w:rPr>
        <w:t>91.0</w:t>
      </w:r>
      <w:r>
        <w:rPr>
          <w:rFonts w:ascii="Times New Roman" w:hAnsi="Times New Roman"/>
          <w:sz w:val="24"/>
          <w:szCs w:val="24"/>
        </w:rPr>
        <w:t>%</w:t>
      </w:r>
      <w:r>
        <w:rPr>
          <w:rFonts w:hint="eastAsia" w:ascii="Times New Roman" w:hAnsi="Times New Roman"/>
          <w:sz w:val="24"/>
          <w:szCs w:val="24"/>
        </w:rPr>
        <w:t>之间</w:t>
      </w:r>
      <w:r>
        <w:rPr>
          <w:rFonts w:ascii="Times New Roman" w:hAnsi="Times New Roman"/>
          <w:sz w:val="24"/>
          <w:szCs w:val="24"/>
        </w:rPr>
        <w:t>，满足国家环保总局《建设项目竣工环境保护验收管理办法》中要求设计能力75%以上的负荷要求</w:t>
      </w:r>
      <w:r>
        <w:rPr>
          <w:rFonts w:hint="eastAsia" w:ascii="Times New Roman" w:hAnsi="Times New Roman"/>
          <w:sz w:val="24"/>
          <w:szCs w:val="24"/>
        </w:rPr>
        <w:t>。</w:t>
      </w:r>
      <w:r>
        <w:rPr>
          <w:rFonts w:ascii="Times New Roman" w:hAnsi="Times New Roman" w:eastAsia="宋体" w:cs="Times New Roman"/>
          <w:kern w:val="22"/>
          <w:sz w:val="24"/>
          <w:szCs w:val="24"/>
        </w:rPr>
        <w:t>在主体设备运行正常的情况下，其验收监</w:t>
      </w:r>
      <w:r>
        <w:rPr>
          <w:rFonts w:ascii="Times New Roman" w:hAnsi="Times New Roman" w:eastAsia="宋体" w:cs="Times New Roman"/>
          <w:color w:val="000000" w:themeColor="text1"/>
          <w:kern w:val="22"/>
          <w:sz w:val="24"/>
          <w:szCs w:val="24"/>
          <w14:textFill>
            <w14:solidFill>
              <w14:schemeClr w14:val="tx1"/>
            </w14:solidFill>
          </w14:textFill>
        </w:rPr>
        <w:t>测结果如下</w:t>
      </w:r>
      <w:r>
        <w:rPr>
          <w:rFonts w:hint="eastAsia" w:ascii="Times New Roman" w:hAnsi="Times New Roman" w:eastAsia="宋体" w:cs="Times New Roman"/>
          <w:color w:val="000000" w:themeColor="text1"/>
          <w:kern w:val="22"/>
          <w:sz w:val="24"/>
          <w:szCs w:val="24"/>
          <w:lang w:eastAsia="zh-CN"/>
          <w14:textFill>
            <w14:solidFill>
              <w14:schemeClr w14:val="tx1"/>
            </w14:solidFill>
          </w14:textFill>
        </w:rPr>
        <w:t>：</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114" w:name="_Hlk3904130"/>
      <w:r>
        <w:rPr>
          <w:rFonts w:ascii="Times New Roman" w:hAnsi="Times New Roman" w:cs="Times New Roman"/>
          <w:sz w:val="24"/>
        </w:rPr>
        <w:t>（1）</w:t>
      </w:r>
      <w:bookmarkEnd w:id="114"/>
      <w:r>
        <w:rPr>
          <w:rFonts w:hint="eastAsia" w:ascii="Times New Roman" w:hAnsi="Times New Roman" w:eastAsia="宋体" w:cs="Times New Roman"/>
          <w:color w:val="000000" w:themeColor="text1"/>
          <w:sz w:val="24"/>
          <w:lang w:val="en-US" w:eastAsia="zh-CN"/>
          <w14:textFill>
            <w14:solidFill>
              <w14:schemeClr w14:val="tx1"/>
            </w14:solidFill>
          </w14:textFill>
        </w:rPr>
        <w:t>生活污水排放口的废水pH范围为8.1-8.1，其他污染物最大日均浓度分别为：悬浮物67mg/L、化学需氧量156mg/L、氨氮13.3mg/L、总磷2.12mg/L、动植物油类0.69mg/L；其中pH、悬浮物、石油类、动植物油类、化学需氧量均符合《污水综合排放标准》（GB 8978-1996）表4中的三级排放标准要求，氨氮符合浙江省地方标准《工业企业废水氮、磷污染物间接排放限值》（DB33/887-2013）表 1 中其他企业的排放限值要求</w:t>
      </w:r>
      <w:r>
        <w:rPr>
          <w:rFonts w:hint="eastAsia"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sz w:val="24"/>
        </w:rPr>
        <w:t>（2）</w:t>
      </w:r>
      <w:r>
        <w:rPr>
          <w:rFonts w:hint="eastAsia" w:ascii="Times New Roman" w:hAnsi="Times New Roman" w:cs="Times New Roman"/>
          <w:sz w:val="24"/>
          <w:szCs w:val="24"/>
        </w:rPr>
        <w:t>验收监测期间，</w:t>
      </w:r>
      <w:r>
        <w:rPr>
          <w:rFonts w:hint="eastAsia" w:ascii="Times New Roman" w:hAnsi="Times New Roman" w:cs="Times New Roman"/>
          <w:sz w:val="24"/>
          <w:szCs w:val="24"/>
          <w:lang w:val="en-US" w:eastAsia="zh-CN"/>
        </w:rPr>
        <w:t>浸塑、固化废气处理设施排气筒（G1-2）</w:t>
      </w:r>
      <w:r>
        <w:rPr>
          <w:rFonts w:hint="default" w:ascii="Times New Roman" w:hAnsi="Times New Roman" w:cs="Times New Roman"/>
          <w:sz w:val="24"/>
          <w:szCs w:val="24"/>
          <w:lang w:val="en-US" w:eastAsia="zh-CN"/>
        </w:rPr>
        <w:t>出口</w:t>
      </w:r>
      <w:r>
        <w:rPr>
          <w:rFonts w:hint="eastAsia" w:ascii="Times New Roman" w:hAnsi="Times New Roman" w:cs="Times New Roman"/>
          <w:sz w:val="24"/>
          <w:szCs w:val="24"/>
          <w:lang w:val="en-US" w:eastAsia="zh-CN"/>
        </w:rPr>
        <w:t>非甲烷总烃</w:t>
      </w:r>
      <w:r>
        <w:rPr>
          <w:rFonts w:hint="eastAsia" w:ascii="Times New Roman" w:hAnsi="Times New Roman" w:cs="Times New Roman"/>
          <w:sz w:val="24"/>
          <w:szCs w:val="24"/>
        </w:rPr>
        <w:t>排放浓度</w:t>
      </w:r>
      <w:r>
        <w:rPr>
          <w:rFonts w:hint="eastAsia" w:ascii="Times New Roman" w:hAnsi="Times New Roman" w:cs="Times New Roman"/>
          <w:sz w:val="24"/>
          <w:szCs w:val="24"/>
          <w:lang w:val="en-US" w:eastAsia="zh-CN"/>
        </w:rPr>
        <w:t>最大值</w:t>
      </w:r>
      <w:r>
        <w:rPr>
          <w:rFonts w:ascii="Times New Roman" w:hAnsi="Times New Roman" w:cs="Times New Roman"/>
          <w:sz w:val="24"/>
          <w:szCs w:val="24"/>
        </w:rPr>
        <w:t>为</w:t>
      </w:r>
      <w:r>
        <w:rPr>
          <w:rFonts w:hint="eastAsia" w:ascii="Times New Roman" w:hAnsi="Times New Roman" w:cs="Times New Roman"/>
          <w:sz w:val="24"/>
          <w:szCs w:val="24"/>
          <w:lang w:val="en-US" w:eastAsia="zh-CN"/>
        </w:rPr>
        <w:t>5.75</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rPr>
        <w:t>；</w:t>
      </w:r>
      <w:r>
        <w:rPr>
          <w:rFonts w:hint="eastAsia" w:ascii="Times New Roman" w:hAnsi="Times New Roman" w:eastAsia="宋体" w:cs="Times New Roman"/>
          <w:bCs/>
          <w:kern w:val="0"/>
          <w:sz w:val="24"/>
          <w:szCs w:val="24"/>
        </w:rPr>
        <w:t>符合</w:t>
      </w:r>
      <w:r>
        <w:rPr>
          <w:rFonts w:hint="eastAsia" w:ascii="Times New Roman" w:hAnsi="Times New Roman" w:eastAsia="宋体" w:cs="Times New Roman"/>
          <w:bCs/>
          <w:kern w:val="0"/>
          <w:sz w:val="24"/>
          <w:szCs w:val="24"/>
          <w:lang w:eastAsia="zh-CN"/>
        </w:rPr>
        <w:t>《工业涂装工序大气污染物排放标准》DB 33/2146-2018表1</w:t>
      </w:r>
      <w:r>
        <w:rPr>
          <w:rFonts w:hint="eastAsia" w:ascii="Times New Roman" w:hAnsi="Times New Roman" w:cs="Times New Roman"/>
          <w:sz w:val="24"/>
          <w:szCs w:val="24"/>
        </w:rPr>
        <w:t>新污染源的二级标准限值</w:t>
      </w:r>
      <w:r>
        <w:rPr>
          <w:rFonts w:ascii="Times New Roman" w:hAnsi="Times New Roman" w:cs="Times New Roman"/>
          <w:sz w:val="24"/>
          <w:szCs w:val="24"/>
        </w:rPr>
        <w:t>。</w:t>
      </w:r>
    </w:p>
    <w:p>
      <w:pPr>
        <w:spacing w:line="360" w:lineRule="auto"/>
        <w:ind w:firstLine="480" w:firstLineChars="200"/>
        <w:rPr>
          <w:rFonts w:ascii="Times New Roman" w:hAnsi="Times New Roman" w:eastAsia="宋体" w:cs="Times New Roman"/>
          <w:bCs/>
          <w:kern w:val="22"/>
          <w:sz w:val="24"/>
          <w:szCs w:val="24"/>
        </w:rPr>
      </w:pPr>
      <w:r>
        <w:rPr>
          <w:rFonts w:ascii="Times New Roman" w:hAnsi="Times New Roman" w:cs="Times New Roman"/>
          <w:sz w:val="24"/>
        </w:rPr>
        <w:t>（3）</w:t>
      </w:r>
      <w:r>
        <w:rPr>
          <w:rFonts w:hint="default" w:ascii="Times New Roman" w:hAnsi="Times New Roman" w:eastAsia="宋体" w:cs="Times New Roman"/>
          <w:kern w:val="22"/>
          <w:sz w:val="24"/>
          <w:szCs w:val="24"/>
        </w:rPr>
        <w:t>验收监测期间，</w:t>
      </w:r>
      <w:r>
        <w:rPr>
          <w:rFonts w:hint="eastAsia" w:ascii="Times New Roman" w:hAnsi="Times New Roman" w:eastAsia="宋体" w:cs="Times New Roman"/>
          <w:kern w:val="22"/>
          <w:sz w:val="24"/>
          <w:szCs w:val="24"/>
          <w:lang w:val="en-US" w:eastAsia="zh-CN"/>
        </w:rPr>
        <w:t>厂界非甲烷总烃</w:t>
      </w:r>
      <w:r>
        <w:rPr>
          <w:rFonts w:hint="default" w:ascii="Times New Roman" w:hAnsi="Times New Roman" w:eastAsia="宋体" w:cs="Times New Roman"/>
          <w:kern w:val="22"/>
          <w:sz w:val="24"/>
          <w:szCs w:val="24"/>
        </w:rPr>
        <w:t>的最大小时浓度值为</w:t>
      </w:r>
      <w:r>
        <w:rPr>
          <w:rFonts w:hint="eastAsia" w:ascii="Times New Roman" w:hAnsi="Times New Roman" w:eastAsia="宋体" w:cs="Times New Roman"/>
          <w:kern w:val="22"/>
          <w:sz w:val="24"/>
          <w:szCs w:val="24"/>
          <w:lang w:val="en-US" w:eastAsia="zh-CN"/>
        </w:rPr>
        <w:t>0.96</w:t>
      </w:r>
      <w:r>
        <w:rPr>
          <w:rFonts w:hint="default" w:ascii="Times New Roman" w:hAnsi="Times New Roman" w:eastAsia="宋体" w:cs="Times New Roman"/>
          <w:kern w:val="22"/>
          <w:sz w:val="24"/>
          <w:szCs w:val="24"/>
        </w:rPr>
        <w:t>mg/m</w:t>
      </w:r>
      <w:r>
        <w:rPr>
          <w:rFonts w:hint="default" w:ascii="Times New Roman" w:hAnsi="Times New Roman" w:eastAsia="宋体" w:cs="Times New Roman"/>
          <w:kern w:val="22"/>
          <w:sz w:val="24"/>
          <w:szCs w:val="24"/>
          <w:vertAlign w:val="superscript"/>
        </w:rPr>
        <w:t>3</w:t>
      </w:r>
      <w:r>
        <w:rPr>
          <w:rFonts w:hint="default" w:ascii="Times New Roman" w:hAnsi="Times New Roman" w:eastAsia="宋体" w:cs="Times New Roman"/>
          <w:kern w:val="22"/>
          <w:sz w:val="24"/>
          <w:szCs w:val="24"/>
        </w:rPr>
        <w:t>，符合《工业涂装工序大气污染物排放标准》（DB33/2146-2018）表6</w:t>
      </w:r>
      <w:r>
        <w:rPr>
          <w:rFonts w:hint="eastAsia" w:ascii="Times New Roman" w:hAnsi="Times New Roman" w:eastAsia="宋体" w:cs="Times New Roman"/>
          <w:kern w:val="22"/>
          <w:sz w:val="24"/>
          <w:szCs w:val="24"/>
          <w:lang w:val="en-US" w:eastAsia="zh-CN"/>
        </w:rPr>
        <w:t>中</w:t>
      </w:r>
      <w:r>
        <w:rPr>
          <w:rFonts w:hint="default" w:ascii="Times New Roman" w:hAnsi="Times New Roman" w:eastAsia="宋体" w:cs="Times New Roman"/>
          <w:bCs/>
          <w:kern w:val="0"/>
          <w:sz w:val="24"/>
          <w:szCs w:val="21"/>
        </w:rPr>
        <w:t>相关标准限值要求</w:t>
      </w:r>
      <w:r>
        <w:rPr>
          <w:rFonts w:hint="default" w:ascii="Times New Roman" w:hAnsi="Times New Roman" w:eastAsia="宋体" w:cs="Times New Roman"/>
          <w:bCs/>
          <w:kern w:val="0"/>
          <w:sz w:val="24"/>
          <w:szCs w:val="21"/>
          <w:lang w:eastAsia="zh-CN"/>
        </w:rPr>
        <w:t>；</w:t>
      </w:r>
      <w:r>
        <w:rPr>
          <w:rFonts w:hint="default" w:ascii="Times New Roman" w:hAnsi="Times New Roman" w:eastAsia="宋体" w:cs="Times New Roman"/>
          <w:kern w:val="22"/>
          <w:sz w:val="24"/>
          <w:szCs w:val="24"/>
        </w:rPr>
        <w:t>厂界颗粒物的最大小时浓度值为</w:t>
      </w:r>
      <w:r>
        <w:rPr>
          <w:rFonts w:hint="eastAsia" w:ascii="Times New Roman" w:hAnsi="Times New Roman" w:eastAsia="宋体" w:cs="Times New Roman"/>
          <w:kern w:val="22"/>
          <w:sz w:val="24"/>
          <w:szCs w:val="24"/>
          <w:lang w:val="en-US" w:eastAsia="zh-CN"/>
        </w:rPr>
        <w:t>0.320</w:t>
      </w:r>
      <w:r>
        <w:rPr>
          <w:rFonts w:hint="default" w:ascii="Times New Roman" w:hAnsi="Times New Roman" w:eastAsia="宋体" w:cs="Times New Roman"/>
          <w:kern w:val="22"/>
          <w:sz w:val="24"/>
          <w:szCs w:val="24"/>
        </w:rPr>
        <w:t>mg/m</w:t>
      </w:r>
      <w:r>
        <w:rPr>
          <w:rFonts w:hint="default" w:ascii="Times New Roman" w:hAnsi="Times New Roman" w:eastAsia="宋体" w:cs="Times New Roman"/>
          <w:kern w:val="22"/>
          <w:sz w:val="24"/>
          <w:szCs w:val="24"/>
          <w:vertAlign w:val="superscript"/>
        </w:rPr>
        <w:t>3</w:t>
      </w:r>
      <w:r>
        <w:rPr>
          <w:rFonts w:hint="default" w:ascii="Times New Roman" w:hAnsi="Times New Roman" w:eastAsia="宋体" w:cs="Times New Roman"/>
          <w:kern w:val="22"/>
          <w:sz w:val="24"/>
          <w:szCs w:val="24"/>
        </w:rPr>
        <w:t>，</w:t>
      </w:r>
      <w:r>
        <w:rPr>
          <w:rFonts w:hint="default" w:ascii="Times New Roman" w:hAnsi="Times New Roman" w:eastAsia="宋体" w:cs="Times New Roman"/>
          <w:kern w:val="22"/>
          <w:sz w:val="24"/>
          <w:szCs w:val="24"/>
          <w:lang w:val="en-US" w:eastAsia="zh-CN"/>
        </w:rPr>
        <w:t>符合《大气污染物综合排放标准》（GB16297-1996）表2</w:t>
      </w:r>
      <w:r>
        <w:rPr>
          <w:rFonts w:hint="eastAsia" w:ascii="Times New Roman" w:hAnsi="Times New Roman" w:eastAsia="宋体" w:cs="Times New Roman"/>
          <w:kern w:val="22"/>
          <w:sz w:val="24"/>
          <w:szCs w:val="24"/>
          <w:lang w:val="en-US" w:eastAsia="zh-CN"/>
        </w:rPr>
        <w:t>中</w:t>
      </w:r>
      <w:r>
        <w:rPr>
          <w:rFonts w:ascii="Times New Roman" w:hAnsi="Times New Roman" w:eastAsia="宋体" w:cs="Times New Roman"/>
          <w:bCs/>
          <w:kern w:val="0"/>
          <w:sz w:val="24"/>
          <w:szCs w:val="21"/>
        </w:rPr>
        <w:t>相关标准</w:t>
      </w:r>
      <w:r>
        <w:rPr>
          <w:rFonts w:hint="eastAsia" w:ascii="Times New Roman" w:hAnsi="Times New Roman" w:eastAsia="宋体" w:cs="Times New Roman"/>
          <w:bCs/>
          <w:kern w:val="0"/>
          <w:sz w:val="24"/>
          <w:szCs w:val="21"/>
        </w:rPr>
        <w:t>限值要求</w:t>
      </w:r>
      <w:r>
        <w:rPr>
          <w:rFonts w:hint="eastAsia" w:ascii="Times New Roman" w:hAnsi="Times New Roman" w:eastAsia="宋体" w:cs="Times New Roman"/>
          <w:bCs/>
          <w:kern w:val="0"/>
          <w:sz w:val="24"/>
          <w:szCs w:val="21"/>
          <w:lang w:eastAsia="zh-CN"/>
        </w:rPr>
        <w:t>；</w:t>
      </w:r>
      <w:r>
        <w:rPr>
          <w:rFonts w:hint="eastAsia" w:ascii="Times New Roman" w:hAnsi="Times New Roman" w:eastAsia="宋体" w:cs="Times New Roman"/>
          <w:bCs/>
          <w:color w:val="auto"/>
          <w:kern w:val="0"/>
          <w:sz w:val="24"/>
          <w:szCs w:val="21"/>
          <w:lang w:val="en-US" w:eastAsia="zh-CN"/>
        </w:rPr>
        <w:t>厂区内浸塑、固化2F车间外</w:t>
      </w:r>
      <w:r>
        <w:rPr>
          <w:rFonts w:hint="eastAsia" w:ascii="Times New Roman" w:hAnsi="Times New Roman" w:eastAsia="宋体" w:cs="Times New Roman"/>
          <w:color w:val="auto"/>
          <w:kern w:val="22"/>
          <w:sz w:val="24"/>
          <w:szCs w:val="24"/>
          <w:lang w:eastAsia="zh-CN"/>
        </w:rPr>
        <w:t>非甲烷总烃</w:t>
      </w:r>
      <w:r>
        <w:rPr>
          <w:rFonts w:hint="eastAsia" w:ascii="Times New Roman" w:hAnsi="Times New Roman" w:eastAsia="宋体" w:cs="Times New Roman"/>
          <w:color w:val="auto"/>
          <w:kern w:val="22"/>
          <w:sz w:val="24"/>
          <w:szCs w:val="24"/>
        </w:rPr>
        <w:t>的最大小时浓度值为</w:t>
      </w:r>
      <w:r>
        <w:rPr>
          <w:rFonts w:hint="eastAsia" w:ascii="Times New Roman" w:hAnsi="Times New Roman" w:eastAsia="宋体" w:cs="Times New Roman"/>
          <w:color w:val="auto"/>
          <w:kern w:val="22"/>
          <w:sz w:val="24"/>
          <w:szCs w:val="24"/>
          <w:lang w:val="en-US" w:eastAsia="zh-CN"/>
        </w:rPr>
        <w:t>1.32</w:t>
      </w:r>
      <w:r>
        <w:rPr>
          <w:rFonts w:ascii="Times New Roman" w:hAnsi="Times New Roman" w:eastAsia="宋体" w:cs="Times New Roman"/>
          <w:color w:val="auto"/>
          <w:kern w:val="22"/>
          <w:sz w:val="24"/>
          <w:szCs w:val="24"/>
        </w:rPr>
        <w:t>mg/m</w:t>
      </w:r>
      <w:r>
        <w:rPr>
          <w:rFonts w:ascii="Times New Roman" w:hAnsi="Times New Roman" w:eastAsia="宋体" w:cs="Times New Roman"/>
          <w:color w:val="auto"/>
          <w:kern w:val="22"/>
          <w:sz w:val="24"/>
          <w:szCs w:val="24"/>
          <w:vertAlign w:val="superscript"/>
        </w:rPr>
        <w:t>3</w:t>
      </w:r>
      <w:r>
        <w:rPr>
          <w:rFonts w:hint="eastAsia" w:ascii="Times New Roman" w:hAnsi="Times New Roman" w:eastAsia="宋体" w:cs="Times New Roman"/>
          <w:color w:val="auto"/>
          <w:kern w:val="22"/>
          <w:sz w:val="24"/>
          <w:szCs w:val="24"/>
        </w:rPr>
        <w:t>，符合《挥发性有机物无组织排放控制标准》（GB37822-2019）表A.1</w:t>
      </w:r>
      <w:r>
        <w:rPr>
          <w:rFonts w:ascii="Times New Roman" w:hAnsi="Times New Roman" w:eastAsia="宋体" w:cs="Times New Roman"/>
          <w:bCs/>
          <w:color w:val="auto"/>
          <w:kern w:val="0"/>
          <w:sz w:val="24"/>
          <w:szCs w:val="21"/>
        </w:rPr>
        <w:t>相关标准</w:t>
      </w:r>
      <w:r>
        <w:rPr>
          <w:rFonts w:hint="eastAsia" w:ascii="Times New Roman" w:hAnsi="Times New Roman" w:eastAsia="宋体" w:cs="Times New Roman"/>
          <w:bCs/>
          <w:color w:val="auto"/>
          <w:kern w:val="0"/>
          <w:sz w:val="24"/>
          <w:szCs w:val="21"/>
        </w:rPr>
        <w:t>限值要求</w:t>
      </w:r>
      <w:r>
        <w:rPr>
          <w:rFonts w:hint="eastAsia" w:ascii="Times New Roman" w:hAnsi="Times New Roman" w:eastAsia="宋体" w:cs="Times New Roman"/>
          <w:bCs/>
          <w:kern w:val="22"/>
          <w:sz w:val="24"/>
          <w:szCs w:val="24"/>
        </w:rPr>
        <w:t>。</w:t>
      </w:r>
    </w:p>
    <w:p>
      <w:pPr>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（4）</w:t>
      </w:r>
      <w:bookmarkStart w:id="115" w:name="_Hlk74832278"/>
      <w:r>
        <w:rPr>
          <w:rFonts w:hint="eastAsia" w:ascii="Times New Roman" w:hAnsi="Times New Roman" w:cs="Times New Roman"/>
          <w:color w:val="000000"/>
          <w:sz w:val="24"/>
          <w:lang w:val="en-US" w:eastAsia="zh-CN"/>
        </w:rPr>
        <w:t>验收监测期间，</w:t>
      </w:r>
      <w:r>
        <w:rPr>
          <w:rFonts w:hint="default" w:ascii="Times New Roman" w:hAnsi="Times New Roman" w:cs="Times New Roman"/>
          <w:sz w:val="24"/>
          <w:lang w:eastAsia="zh-CN"/>
        </w:rPr>
        <w:t>本项目</w:t>
      </w:r>
      <w:r>
        <w:rPr>
          <w:rFonts w:hint="eastAsia" w:ascii="Times New Roman" w:hAnsi="Times New Roman" w:cs="Times New Roman"/>
          <w:sz w:val="24"/>
          <w:lang w:val="en-US" w:eastAsia="zh-CN"/>
        </w:rPr>
        <w:t>厂界东、西、北侧昼间</w:t>
      </w:r>
      <w:r>
        <w:rPr>
          <w:rFonts w:hint="eastAsia" w:ascii="Times New Roman" w:hAnsi="Times New Roman" w:cs="Times New Roman"/>
          <w:sz w:val="24"/>
          <w:lang w:eastAsia="zh-CN"/>
        </w:rPr>
        <w:t>噪声</w:t>
      </w:r>
      <w:r>
        <w:rPr>
          <w:rFonts w:hint="eastAsia" w:ascii="Times New Roman" w:hAnsi="Times New Roman" w:cs="Times New Roman"/>
          <w:sz w:val="24"/>
          <w:lang w:val="en-US" w:eastAsia="zh-CN"/>
        </w:rPr>
        <w:t>最大值分别为62</w:t>
      </w:r>
      <w:r>
        <w:rPr>
          <w:rFonts w:ascii="Times New Roman" w:hAnsi="Times New Roman" w:cs="Times New Roman"/>
          <w:sz w:val="24"/>
        </w:rPr>
        <w:t>dB(A)</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59</w:t>
      </w:r>
      <w:r>
        <w:rPr>
          <w:rFonts w:ascii="Times New Roman" w:hAnsi="Times New Roman" w:cs="Times New Roman"/>
          <w:sz w:val="24"/>
        </w:rPr>
        <w:t>dB(A)</w:t>
      </w:r>
      <w:r>
        <w:rPr>
          <w:rFonts w:hint="eastAsia" w:ascii="Times New Roman" w:hAnsi="Times New Roman" w:cs="Times New Roman"/>
          <w:sz w:val="24"/>
          <w:lang w:val="en-US" w:eastAsia="zh-CN"/>
        </w:rPr>
        <w:t>和60</w:t>
      </w:r>
      <w:r>
        <w:rPr>
          <w:rFonts w:ascii="Times New Roman" w:hAnsi="Times New Roman" w:cs="Times New Roman"/>
          <w:sz w:val="24"/>
        </w:rPr>
        <w:t>dB(A)</w:t>
      </w:r>
      <w:r>
        <w:rPr>
          <w:rFonts w:hint="eastAsia" w:ascii="Times New Roman" w:hAnsi="Times New Roman" w:cs="Times New Roman"/>
          <w:sz w:val="24"/>
        </w:rPr>
        <w:t>，均</w:t>
      </w:r>
      <w:r>
        <w:rPr>
          <w:rFonts w:hint="eastAsia" w:ascii="Times New Roman" w:hAnsi="Times New Roman" w:cs="Times New Roman"/>
          <w:color w:val="000000"/>
          <w:sz w:val="24"/>
        </w:rPr>
        <w:t>符合</w:t>
      </w:r>
      <w:r>
        <w:rPr>
          <w:rFonts w:ascii="Times New Roman" w:hAnsi="Times New Roman" w:cs="Times New Roman"/>
          <w:color w:val="000000"/>
          <w:sz w:val="24"/>
        </w:rPr>
        <w:t>《工业企业厂界噪声排放标准》</w:t>
      </w:r>
      <w:r>
        <w:rPr>
          <w:rFonts w:hint="eastAsia" w:ascii="Times New Roman" w:hAnsi="Times New Roman" w:cs="Times New Roman"/>
          <w:color w:val="000000"/>
          <w:sz w:val="24"/>
        </w:rPr>
        <w:t>(</w:t>
      </w:r>
      <w:r>
        <w:rPr>
          <w:rFonts w:ascii="Times New Roman" w:hAnsi="Times New Roman" w:cs="Times New Roman"/>
          <w:color w:val="000000"/>
          <w:sz w:val="24"/>
        </w:rPr>
        <w:t>GB</w:t>
      </w:r>
      <w:r>
        <w:rPr>
          <w:rFonts w:hint="eastAsia" w:ascii="Times New Roman" w:hAnsi="Times New Roman" w:cs="Times New Roman"/>
          <w:color w:val="000000"/>
          <w:sz w:val="24"/>
          <w:lang w:val="en-US" w:eastAsia="zh-CN"/>
        </w:rPr>
        <w:t xml:space="preserve"> </w:t>
      </w:r>
      <w:r>
        <w:rPr>
          <w:rFonts w:ascii="Times New Roman" w:hAnsi="Times New Roman" w:cs="Times New Roman"/>
          <w:color w:val="000000"/>
          <w:sz w:val="24"/>
        </w:rPr>
        <w:t>12348-2008</w:t>
      </w:r>
      <w:r>
        <w:rPr>
          <w:rFonts w:hint="eastAsia" w:ascii="Times New Roman" w:hAnsi="Times New Roman" w:cs="Times New Roman"/>
          <w:color w:val="000000"/>
          <w:sz w:val="24"/>
        </w:rPr>
        <w:t>)中3</w:t>
      </w:r>
      <w:r>
        <w:rPr>
          <w:rFonts w:ascii="Times New Roman" w:hAnsi="Times New Roman" w:cs="Times New Roman"/>
          <w:color w:val="000000"/>
          <w:sz w:val="24"/>
        </w:rPr>
        <w:t>类</w:t>
      </w:r>
      <w:r>
        <w:rPr>
          <w:rFonts w:hint="eastAsia" w:ascii="Times New Roman" w:hAnsi="Times New Roman" w:cs="Times New Roman"/>
          <w:color w:val="000000"/>
          <w:sz w:val="24"/>
        </w:rPr>
        <w:t>区</w:t>
      </w:r>
      <w:r>
        <w:rPr>
          <w:rFonts w:ascii="Times New Roman" w:hAnsi="Times New Roman" w:cs="Times New Roman"/>
          <w:color w:val="000000"/>
          <w:sz w:val="24"/>
        </w:rPr>
        <w:t>标准</w:t>
      </w:r>
      <w:r>
        <w:rPr>
          <w:rFonts w:hint="eastAsia" w:ascii="Times New Roman" w:hAnsi="Times New Roman" w:cs="Times New Roman"/>
          <w:sz w:val="24"/>
        </w:rPr>
        <w:t>。</w:t>
      </w:r>
      <w:bookmarkEnd w:id="115"/>
    </w:p>
    <w:p>
      <w:pPr>
        <w:spacing w:line="360" w:lineRule="auto"/>
        <w:ind w:firstLine="420" w:firstLineChars="200"/>
        <w:rPr>
          <w:rFonts w:ascii="Times New Roman" w:hAnsi="Times New Roman" w:cs="Times New Roman"/>
        </w:rPr>
      </w:pPr>
      <w:r>
        <w:rPr>
          <w:rFonts w:ascii="Times New Roman" w:hAnsi="Times New Roman" w:cs="Times New Roman"/>
        </w:rPr>
        <w:t>（5）</w:t>
      </w:r>
      <w:bookmarkStart w:id="116" w:name="_Hlk74832291"/>
      <w:r>
        <w:rPr>
          <w:rFonts w:ascii="Times New Roman" w:hAnsi="Times New Roman" w:cs="Times New Roman"/>
          <w:color w:val="000000" w:themeColor="text1"/>
          <w:sz w:val="24"/>
          <w:szCs w:val="24"/>
          <w14:textFill>
            <w14:solidFill>
              <w14:schemeClr w14:val="tx1"/>
            </w14:solidFill>
          </w14:textFill>
        </w:rPr>
        <w:t>固废结论</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sz w:val="24"/>
          <w:lang w:eastAsia="zh-CN"/>
        </w:rPr>
        <w:t>废包装桶、废矿物油等委托</w:t>
      </w:r>
      <w:r>
        <w:rPr>
          <w:rFonts w:hint="eastAsia" w:ascii="Times New Roman" w:hAnsi="Times New Roman" w:cs="Times New Roman"/>
          <w:sz w:val="24"/>
          <w:highlight w:val="none"/>
          <w:lang w:eastAsia="zh-CN"/>
        </w:rPr>
        <w:t>浦江三阳环保科技有限公司处置</w:t>
      </w:r>
      <w:r>
        <w:rPr>
          <w:rFonts w:hint="eastAsia" w:ascii="Times New Roman" w:hAnsi="Times New Roman" w:cs="Times New Roman"/>
          <w:sz w:val="24"/>
          <w:lang w:eastAsia="zh-CN"/>
        </w:rPr>
        <w:t>；边角料、焊渣外售物资回收公司进性再利用；生活垃圾、含油废抹布等由环卫部门统一清运</w:t>
      </w:r>
      <w:r>
        <w:rPr>
          <w:rFonts w:hint="eastAsia" w:ascii="Times New Roman" w:hAnsi="Times New Roman" w:cs="Times New Roman"/>
          <w:color w:val="auto"/>
          <w:sz w:val="24"/>
        </w:rPr>
        <w:t>。</w:t>
      </w:r>
    </w:p>
    <w:bookmarkEnd w:id="116"/>
    <w:p>
      <w:pPr>
        <w:spacing w:line="360" w:lineRule="auto"/>
        <w:ind w:firstLine="480" w:firstLineChars="200"/>
        <w:rPr>
          <w:rFonts w:ascii="Times New Roman" w:hAnsi="Times New Roman" w:cs="Times New Roman"/>
          <w:sz w:val="24"/>
        </w:rPr>
      </w:pPr>
      <w:r>
        <w:rPr>
          <w:rFonts w:ascii="Times New Roman" w:hAnsi="Times New Roman" w:cs="Times New Roman"/>
          <w:sz w:val="24"/>
        </w:rPr>
        <w:t>（6）</w:t>
      </w:r>
      <w:bookmarkStart w:id="117" w:name="_Hlk12191863"/>
      <w:r>
        <w:rPr>
          <w:rFonts w:hint="eastAsia" w:ascii="Times New Roman" w:hAnsi="Times New Roman" w:eastAsia="宋体" w:cs="Times New Roman"/>
          <w:color w:val="000000" w:themeColor="text1"/>
          <w:sz w:val="24"/>
          <w:szCs w:val="24"/>
          <w14:textFill>
            <w14:solidFill>
              <w14:schemeClr w14:val="tx1"/>
            </w14:solidFill>
          </w14:textFill>
        </w:rPr>
        <w:t>总量核算</w:t>
      </w:r>
      <w:r>
        <w:rPr>
          <w:rFonts w:ascii="Times New Roman" w:hAnsi="Times New Roman" w:eastAsia="宋体" w:cs="Times New Roman"/>
          <w:color w:val="000000" w:themeColor="text1"/>
          <w:sz w:val="24"/>
          <w:szCs w:val="24"/>
          <w14:textFill>
            <w14:solidFill>
              <w14:schemeClr w14:val="tx1"/>
            </w14:solidFill>
          </w14:textFill>
        </w:rPr>
        <w:t>结论</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kern w:val="0"/>
          <w:sz w:val="24"/>
          <w:szCs w:val="24"/>
        </w:rPr>
        <w:t>本项目</w:t>
      </w:r>
      <w:r>
        <w:rPr>
          <w:rFonts w:hint="eastAsia" w:ascii="Times New Roman" w:hAnsi="Times New Roman" w:cs="Times New Roman"/>
          <w:sz w:val="24"/>
          <w:szCs w:val="24"/>
        </w:rPr>
        <w:t>污染物排放量分别为，</w:t>
      </w:r>
      <w:r>
        <w:rPr>
          <w:rFonts w:hint="eastAsia" w:ascii="Times New Roman" w:hAnsi="Times New Roman" w:eastAsia="宋体" w:cs="Times New Roman"/>
          <w:sz w:val="24"/>
          <w:szCs w:val="24"/>
        </w:rPr>
        <w:t>CODcr</w:t>
      </w:r>
      <w:r>
        <w:rPr>
          <w:rFonts w:hint="eastAsia" w:ascii="Times New Roman" w:hAnsi="Times New Roman" w:eastAsia="宋体" w:cs="Times New Roman"/>
          <w:sz w:val="24"/>
          <w:szCs w:val="24"/>
          <w:lang w:val="en-US" w:eastAsia="zh-CN"/>
        </w:rPr>
        <w:t xml:space="preserve"> 0.040</w:t>
      </w:r>
      <w:r>
        <w:rPr>
          <w:rFonts w:hint="eastAsia" w:ascii="Times New Roman" w:hAnsi="Times New Roman" w:eastAsia="宋体" w:cs="Times New Roman"/>
          <w:sz w:val="24"/>
          <w:szCs w:val="24"/>
        </w:rPr>
        <w:t>吨/年、氨氮0.</w:t>
      </w:r>
      <w:r>
        <w:rPr>
          <w:rFonts w:hint="eastAsia" w:ascii="Times New Roman" w:hAnsi="Times New Roman" w:eastAsia="宋体" w:cs="Times New Roman"/>
          <w:sz w:val="24"/>
          <w:szCs w:val="24"/>
          <w:lang w:val="en-US" w:eastAsia="zh-CN"/>
        </w:rPr>
        <w:t>004</w:t>
      </w:r>
      <w:r>
        <w:rPr>
          <w:rFonts w:hint="eastAsia" w:ascii="Times New Roman" w:hAnsi="Times New Roman" w:eastAsia="宋体" w:cs="Times New Roman"/>
          <w:sz w:val="24"/>
          <w:szCs w:val="24"/>
        </w:rPr>
        <w:t>吨/年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VOC</w:t>
      </w:r>
      <w:r>
        <w:rPr>
          <w:rFonts w:hint="eastAsia" w:ascii="Times New Roman" w:hAnsi="Times New Roman" w:eastAsia="宋体" w:cs="Times New Roman"/>
          <w:sz w:val="24"/>
          <w:szCs w:val="24"/>
          <w:vertAlign w:val="subscript"/>
          <w:lang w:val="en-US" w:eastAsia="zh-CN"/>
        </w:rPr>
        <w:t xml:space="preserve">S </w:t>
      </w:r>
      <w:r>
        <w:rPr>
          <w:rFonts w:hint="eastAsia" w:ascii="Times New Roman" w:hAnsi="Times New Roman" w:eastAsia="宋体" w:cs="Times New Roman"/>
          <w:sz w:val="24"/>
          <w:szCs w:val="24"/>
          <w:vertAlign w:val="baseline"/>
          <w:lang w:val="en-US" w:eastAsia="zh-CN"/>
        </w:rPr>
        <w:t>0.175</w:t>
      </w:r>
      <w:r>
        <w:rPr>
          <w:rFonts w:hint="eastAsia" w:ascii="Times New Roman" w:hAnsi="Times New Roman" w:eastAsia="宋体" w:cs="Times New Roman"/>
          <w:sz w:val="24"/>
          <w:szCs w:val="24"/>
        </w:rPr>
        <w:t>吨/年，符合</w:t>
      </w:r>
      <w:r>
        <w:rPr>
          <w:rFonts w:hint="eastAsia" w:ascii="Times New Roman" w:hAnsi="Times New Roman" w:eastAsia="宋体" w:cs="Times New Roman"/>
          <w:sz w:val="24"/>
          <w:szCs w:val="24"/>
          <w:lang w:val="en-US" w:eastAsia="zh-CN"/>
        </w:rPr>
        <w:t>环评报告表及</w:t>
      </w:r>
      <w:r>
        <w:rPr>
          <w:rFonts w:hint="eastAsia" w:ascii="Times New Roman" w:hAnsi="Times New Roman" w:eastAsia="宋体" w:cs="Times New Roman"/>
          <w:sz w:val="24"/>
          <w:szCs w:val="24"/>
        </w:rPr>
        <w:t>环评批复中主要污染物排放总量控制指标“CODcr</w:t>
      </w:r>
      <w:r>
        <w:rPr>
          <w:rFonts w:hint="eastAsia" w:ascii="Times New Roman" w:hAnsi="Times New Roman" w:eastAsia="宋体" w:cs="Times New Roman"/>
          <w:sz w:val="24"/>
          <w:szCs w:val="24"/>
          <w:lang w:val="en-US" w:eastAsia="zh-CN"/>
        </w:rPr>
        <w:t xml:space="preserve"> 0.047</w:t>
      </w:r>
      <w:r>
        <w:rPr>
          <w:rFonts w:hint="eastAsia" w:ascii="Times New Roman" w:hAnsi="Times New Roman" w:eastAsia="宋体" w:cs="Times New Roman"/>
          <w:sz w:val="24"/>
          <w:szCs w:val="24"/>
        </w:rPr>
        <w:t>吨/年、氨氮0.</w:t>
      </w:r>
      <w:r>
        <w:rPr>
          <w:rFonts w:hint="eastAsia" w:ascii="Times New Roman" w:hAnsi="Times New Roman" w:eastAsia="宋体" w:cs="Times New Roman"/>
          <w:sz w:val="24"/>
          <w:szCs w:val="24"/>
          <w:lang w:val="en-US" w:eastAsia="zh-CN"/>
        </w:rPr>
        <w:t>0047</w:t>
      </w:r>
      <w:r>
        <w:rPr>
          <w:rFonts w:hint="eastAsia" w:ascii="Times New Roman" w:hAnsi="Times New Roman" w:eastAsia="宋体" w:cs="Times New Roman"/>
          <w:sz w:val="24"/>
          <w:szCs w:val="24"/>
        </w:rPr>
        <w:t>吨/年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VOC</w:t>
      </w:r>
      <w:r>
        <w:rPr>
          <w:rFonts w:hint="eastAsia" w:ascii="Times New Roman" w:hAnsi="Times New Roman" w:eastAsia="宋体" w:cs="Times New Roman"/>
          <w:sz w:val="24"/>
          <w:szCs w:val="24"/>
          <w:vertAlign w:val="subscript"/>
          <w:lang w:val="en-US" w:eastAsia="zh-CN"/>
        </w:rPr>
        <w:t xml:space="preserve">S </w:t>
      </w:r>
      <w:r>
        <w:rPr>
          <w:rFonts w:hint="eastAsia" w:ascii="Times New Roman" w:hAnsi="Times New Roman" w:eastAsia="宋体" w:cs="Times New Roman"/>
          <w:sz w:val="24"/>
          <w:szCs w:val="24"/>
          <w:vertAlign w:val="baseline"/>
          <w:lang w:val="en-US" w:eastAsia="zh-CN"/>
        </w:rPr>
        <w:t>0.787吨/年</w:t>
      </w:r>
      <w:r>
        <w:rPr>
          <w:rFonts w:hint="eastAsia" w:ascii="Times New Roman" w:hAnsi="Times New Roman" w:eastAsia="宋体" w:cs="Times New Roman"/>
          <w:sz w:val="24"/>
          <w:szCs w:val="24"/>
        </w:rPr>
        <w:t>”的总量控制要求</w:t>
      </w:r>
      <w:r>
        <w:rPr>
          <w:rFonts w:ascii="Times New Roman" w:hAnsi="Times New Roman" w:cs="Times New Roman"/>
          <w:sz w:val="24"/>
        </w:rPr>
        <w:t>。</w:t>
      </w:r>
      <w:bookmarkEnd w:id="117"/>
    </w:p>
    <w:bookmarkEnd w:id="113"/>
    <w:p>
      <w:pPr>
        <w:pStyle w:val="5"/>
        <w:rPr>
          <w:rFonts w:eastAsia="宋体"/>
          <w:kern w:val="22"/>
        </w:rPr>
      </w:pPr>
      <w:bookmarkStart w:id="118" w:name="_Toc23413"/>
      <w:r>
        <w:rPr>
          <w:rFonts w:hint="eastAsia" w:eastAsia="宋体"/>
          <w:kern w:val="22"/>
        </w:rPr>
        <w:t>10.</w:t>
      </w:r>
      <w:r>
        <w:rPr>
          <w:rFonts w:eastAsia="宋体"/>
          <w:kern w:val="22"/>
        </w:rPr>
        <w:t>2建议</w:t>
      </w:r>
      <w:bookmarkEnd w:id="118"/>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1</w:t>
      </w:r>
      <w:r>
        <w:rPr>
          <w:rFonts w:hint="eastAsia" w:ascii="Times New Roman"/>
          <w:kern w:val="22"/>
          <w:sz w:val="24"/>
          <w:szCs w:val="24"/>
        </w:rPr>
        <w:t>）公司实际生产规模已达到环保批复规模，应严格按照环评批复内容实施，不得突破环评批复规模。</w:t>
      </w:r>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2</w:t>
      </w:r>
      <w:r>
        <w:rPr>
          <w:rFonts w:hint="eastAsia" w:ascii="Times New Roman"/>
          <w:kern w:val="22"/>
          <w:sz w:val="24"/>
          <w:szCs w:val="24"/>
        </w:rPr>
        <w:t>）完善固废、危废管理制度，做好收集、处置台账。</w:t>
      </w:r>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3</w:t>
      </w:r>
      <w:r>
        <w:rPr>
          <w:rFonts w:hint="eastAsia" w:ascii="Times New Roman"/>
          <w:kern w:val="22"/>
          <w:sz w:val="24"/>
          <w:szCs w:val="24"/>
        </w:rPr>
        <w:t>）设置规范化排污口</w:t>
      </w:r>
      <w:r>
        <w:rPr>
          <w:rFonts w:hint="eastAsia" w:ascii="Times New Roman"/>
          <w:kern w:val="22"/>
          <w:sz w:val="24"/>
          <w:szCs w:val="24"/>
          <w:lang w:eastAsia="zh-CN"/>
        </w:rPr>
        <w:t>，</w:t>
      </w:r>
      <w:r>
        <w:rPr>
          <w:rFonts w:hint="eastAsia" w:ascii="Times New Roman"/>
          <w:kern w:val="22"/>
          <w:sz w:val="24"/>
          <w:szCs w:val="24"/>
        </w:rPr>
        <w:t>加强监测平台的日常管理。</w:t>
      </w:r>
    </w:p>
    <w:p>
      <w:pPr>
        <w:spacing w:line="360" w:lineRule="auto"/>
        <w:ind w:firstLine="480" w:firstLineChars="200"/>
        <w:rPr>
          <w:rFonts w:hint="eastAsia" w:ascii="Times New Roman"/>
          <w:kern w:val="22"/>
          <w:sz w:val="24"/>
          <w:szCs w:val="24"/>
          <w:lang w:eastAsia="zh-CN"/>
        </w:rPr>
      </w:pPr>
      <w:r>
        <w:rPr>
          <w:rFonts w:hint="eastAsia" w:ascii="Times New Roman"/>
          <w:kern w:val="22"/>
          <w:sz w:val="24"/>
          <w:szCs w:val="24"/>
          <w:lang w:eastAsia="zh-CN"/>
        </w:rPr>
        <w:t>（</w:t>
      </w:r>
      <w:r>
        <w:rPr>
          <w:rFonts w:hint="eastAsia" w:ascii="Times New Roman"/>
          <w:kern w:val="22"/>
          <w:sz w:val="24"/>
          <w:szCs w:val="24"/>
          <w:lang w:val="en-US" w:eastAsia="zh-CN"/>
        </w:rPr>
        <w:t>4</w:t>
      </w:r>
      <w:r>
        <w:rPr>
          <w:rFonts w:hint="eastAsia" w:ascii="Times New Roman"/>
          <w:kern w:val="22"/>
          <w:sz w:val="24"/>
          <w:szCs w:val="24"/>
          <w:lang w:eastAsia="zh-CN"/>
        </w:rPr>
        <w:t>）落实公司制定的各有关环保管理制度，增强员工的环保意识；加强安全生产管理，避免环境污染事故发生。</w:t>
      </w:r>
    </w:p>
    <w:p>
      <w:pPr>
        <w:spacing w:line="360" w:lineRule="auto"/>
        <w:ind w:firstLine="480" w:firstLineChars="200"/>
        <w:rPr>
          <w:rFonts w:hint="default" w:ascii="Times New Roman"/>
          <w:kern w:val="22"/>
          <w:sz w:val="24"/>
          <w:szCs w:val="24"/>
          <w:lang w:val="en-US"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Times New Roman"/>
          <w:kern w:val="22"/>
          <w:sz w:val="24"/>
          <w:szCs w:val="24"/>
          <w:lang w:eastAsia="zh-CN"/>
        </w:rPr>
        <w:t>（</w:t>
      </w:r>
      <w:r>
        <w:rPr>
          <w:rFonts w:hint="eastAsia" w:ascii="Times New Roman"/>
          <w:kern w:val="22"/>
          <w:sz w:val="24"/>
          <w:szCs w:val="24"/>
          <w:lang w:val="en-US" w:eastAsia="zh-CN"/>
        </w:rPr>
        <w:t>5</w:t>
      </w:r>
      <w:r>
        <w:rPr>
          <w:rFonts w:hint="eastAsia" w:ascii="Times New Roman"/>
          <w:kern w:val="22"/>
          <w:sz w:val="24"/>
          <w:szCs w:val="24"/>
          <w:lang w:eastAsia="zh-CN"/>
        </w:rPr>
        <w:t>）</w:t>
      </w:r>
      <w:r>
        <w:rPr>
          <w:rFonts w:hint="eastAsia" w:ascii="Times New Roman"/>
          <w:kern w:val="22"/>
          <w:sz w:val="24"/>
          <w:szCs w:val="24"/>
          <w:lang w:val="en-US" w:eastAsia="zh-CN"/>
        </w:rPr>
        <w:t>建议企业在废气处理设施场所设置标识标牌，如处理设施工艺流程图、活性炭箱标识等；在废气收集管路上用箭头标明废气走向。</w:t>
      </w:r>
    </w:p>
    <w:p>
      <w:pPr>
        <w:pStyle w:val="4"/>
        <w:adjustRightInd w:val="0"/>
        <w:snapToGrid w:val="0"/>
        <w:spacing w:before="0" w:after="0" w:line="240" w:lineRule="auto"/>
        <w:rPr>
          <w:rFonts w:eastAsiaTheme="majorEastAsia" w:cstheme="majorBidi"/>
          <w:bCs w:val="0"/>
          <w:sz w:val="32"/>
          <w:szCs w:val="32"/>
        </w:rPr>
      </w:pPr>
      <w:bookmarkStart w:id="119" w:name="_Toc5310"/>
      <w:r>
        <w:rPr>
          <w:rFonts w:hint="eastAsia" w:eastAsiaTheme="majorEastAsia" w:cstheme="majorBidi"/>
          <w:bCs w:val="0"/>
          <w:sz w:val="32"/>
          <w:szCs w:val="32"/>
        </w:rPr>
        <w:t>附件1</w:t>
      </w:r>
      <w:r>
        <w:rPr>
          <w:rFonts w:eastAsiaTheme="majorEastAsia" w:cstheme="majorBidi"/>
          <w:bCs w:val="0"/>
          <w:sz w:val="32"/>
          <w:szCs w:val="32"/>
        </w:rPr>
        <w:t xml:space="preserve"> </w:t>
      </w:r>
      <w:r>
        <w:rPr>
          <w:rFonts w:hint="eastAsia" w:eastAsiaTheme="majorEastAsia" w:cstheme="majorBidi"/>
          <w:bCs w:val="0"/>
          <w:sz w:val="32"/>
          <w:szCs w:val="32"/>
        </w:rPr>
        <w:t>建设项目环境保护“三同时”竣工验收报告表</w:t>
      </w:r>
      <w:bookmarkEnd w:id="119"/>
    </w:p>
    <w:p>
      <w:pPr>
        <w:jc w:val="distribute"/>
        <w:rPr>
          <w:rFonts w:ascii="宋体" w:hAnsi="宋体" w:eastAsia="宋体"/>
          <w:b/>
          <w:color w:val="000000"/>
          <w:sz w:val="16"/>
          <w:szCs w:val="21"/>
        </w:rPr>
      </w:pPr>
      <w:bookmarkStart w:id="120" w:name="_Hlk531809148"/>
      <w:r>
        <w:rPr>
          <w:rFonts w:ascii="宋体" w:hAnsi="宋体" w:eastAsia="宋体"/>
          <w:b/>
          <w:color w:val="000000"/>
          <w:sz w:val="16"/>
          <w:szCs w:val="21"/>
        </w:rPr>
        <w:t>填表单位（盖章）：</w:t>
      </w:r>
      <w:r>
        <w:rPr>
          <w:rFonts w:hint="eastAsia" w:ascii="宋体" w:hAnsi="宋体" w:eastAsia="宋体"/>
          <w:bCs/>
          <w:color w:val="000000"/>
          <w:sz w:val="16"/>
          <w:szCs w:val="21"/>
          <w:lang w:eastAsia="zh-CN"/>
        </w:rPr>
        <w:t>浦江金理衣架有限公司</w:t>
      </w:r>
      <w:r>
        <w:rPr>
          <w:rFonts w:ascii="宋体" w:hAnsi="宋体" w:eastAsia="宋体"/>
          <w:bCs/>
          <w:color w:val="000000"/>
          <w:sz w:val="16"/>
          <w:szCs w:val="21"/>
        </w:rPr>
        <w:t xml:space="preserve"> </w:t>
      </w:r>
      <w:r>
        <w:rPr>
          <w:rFonts w:ascii="宋体" w:hAnsi="宋体" w:eastAsia="宋体"/>
          <w:b/>
          <w:color w:val="000000"/>
          <w:sz w:val="16"/>
          <w:szCs w:val="21"/>
        </w:rPr>
        <w:t xml:space="preserve">     </w:t>
      </w:r>
      <w:r>
        <w:rPr>
          <w:rFonts w:hint="eastAsia" w:ascii="宋体" w:hAnsi="宋体" w:eastAsia="宋体"/>
          <w:b/>
          <w:color w:val="000000"/>
          <w:sz w:val="16"/>
          <w:szCs w:val="21"/>
          <w:lang w:val="en-US" w:eastAsia="zh-CN"/>
        </w:rPr>
        <w:t xml:space="preserve">       </w:t>
      </w:r>
      <w:r>
        <w:rPr>
          <w:rFonts w:ascii="宋体" w:hAnsi="宋体" w:eastAsia="宋体"/>
          <w:b/>
          <w:color w:val="000000"/>
          <w:sz w:val="16"/>
          <w:szCs w:val="21"/>
        </w:rPr>
        <w:t xml:space="preserve">            填表人（签字）：                              项目经办人（签字）：</w:t>
      </w:r>
    </w:p>
    <w:tbl>
      <w:tblPr>
        <w:tblStyle w:val="32"/>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446"/>
        <w:gridCol w:w="1134"/>
        <w:gridCol w:w="851"/>
        <w:gridCol w:w="549"/>
        <w:gridCol w:w="443"/>
        <w:gridCol w:w="1282"/>
        <w:gridCol w:w="1018"/>
        <w:gridCol w:w="1952"/>
        <w:gridCol w:w="839"/>
        <w:gridCol w:w="862"/>
        <w:gridCol w:w="382"/>
        <w:gridCol w:w="752"/>
        <w:gridCol w:w="350"/>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ind w:left="113" w:right="113"/>
              <w:jc w:val="center"/>
              <w:rPr>
                <w:b/>
                <w:color w:val="000000"/>
                <w:sz w:val="15"/>
                <w:szCs w:val="15"/>
              </w:rPr>
            </w:pPr>
            <w:r>
              <w:rPr>
                <w:b/>
                <w:color w:val="000000"/>
                <w:sz w:val="15"/>
                <w:szCs w:val="15"/>
              </w:rPr>
              <w:t>建设项目</w:t>
            </w:r>
          </w:p>
        </w:tc>
        <w:tc>
          <w:tcPr>
            <w:tcW w:w="1964" w:type="dxa"/>
            <w:gridSpan w:val="3"/>
            <w:tcMar>
              <w:left w:w="57" w:type="dxa"/>
              <w:right w:w="57" w:type="dxa"/>
            </w:tcMar>
            <w:vAlign w:val="cente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项目名称</w:t>
            </w:r>
          </w:p>
        </w:tc>
        <w:tc>
          <w:tcPr>
            <w:tcW w:w="5251" w:type="dxa"/>
            <w:gridSpan w:val="6"/>
            <w:tcMar>
              <w:left w:w="57" w:type="dxa"/>
              <w:right w:w="57" w:type="dxa"/>
            </w:tcMar>
            <w:vAlign w:val="center"/>
          </w:tcPr>
          <w:p>
            <w:pPr>
              <w:spacing w:line="240" w:lineRule="exact"/>
              <w:jc w:val="left"/>
              <w:rPr>
                <w:rFonts w:hint="eastAsia" w:ascii="Times New Roman" w:hAnsi="Times New Roman" w:eastAsia="宋体" w:cs="Times New Roman"/>
                <w:color w:val="000000"/>
                <w:sz w:val="13"/>
                <w:szCs w:val="13"/>
                <w:lang w:eastAsia="zh-CN"/>
              </w:rPr>
            </w:pPr>
            <w:r>
              <w:rPr>
                <w:rFonts w:hint="eastAsia" w:ascii="Times New Roman" w:hAnsi="Times New Roman" w:eastAsia="宋体" w:cs="Times New Roman"/>
                <w:bCs/>
                <w:color w:val="000000"/>
                <w:sz w:val="13"/>
                <w:szCs w:val="13"/>
                <w:lang w:eastAsia="zh-CN"/>
              </w:rPr>
              <w:t>浦江金理衣架有限公司年产1430万个衣架生产线建设项目</w:t>
            </w:r>
          </w:p>
        </w:tc>
        <w:tc>
          <w:tcPr>
            <w:tcW w:w="2300" w:type="dxa"/>
            <w:gridSpan w:val="2"/>
            <w:tcMar>
              <w:left w:w="57" w:type="dxa"/>
              <w:right w:w="57" w:type="dxa"/>
            </w:tcMar>
            <w:vAlign w:val="center"/>
          </w:tcPr>
          <w:p>
            <w:pPr>
              <w:tabs>
                <w:tab w:val="center" w:pos="1093"/>
              </w:tabs>
              <w:rPr>
                <w:rFonts w:hint="eastAsia" w:ascii="Times New Roman" w:hAnsi="Times New Roman" w:eastAsia="宋体" w:cs="Times New Roman"/>
                <w:b/>
                <w:color w:val="000000"/>
                <w:sz w:val="15"/>
                <w:szCs w:val="15"/>
                <w:lang w:eastAsia="zh-CN"/>
              </w:rPr>
            </w:pPr>
            <w:r>
              <w:rPr>
                <w:rFonts w:ascii="Times New Roman" w:hAnsi="Times New Roman" w:eastAsia="宋体" w:cs="Times New Roman"/>
                <w:b/>
                <w:color w:val="000000"/>
                <w:sz w:val="15"/>
                <w:szCs w:val="15"/>
              </w:rPr>
              <w:t>项目代码</w:t>
            </w:r>
            <w:r>
              <w:rPr>
                <w:rFonts w:hint="eastAsia" w:ascii="Times New Roman" w:hAnsi="Times New Roman" w:eastAsia="宋体" w:cs="Times New Roman"/>
                <w:b/>
                <w:color w:val="000000"/>
                <w:sz w:val="15"/>
                <w:szCs w:val="15"/>
                <w:lang w:eastAsia="zh-CN"/>
              </w:rPr>
              <w:tab/>
            </w:r>
          </w:p>
        </w:tc>
        <w:tc>
          <w:tcPr>
            <w:tcW w:w="1952" w:type="dxa"/>
            <w:tcMar>
              <w:left w:w="57" w:type="dxa"/>
              <w:right w:w="57" w:type="dxa"/>
            </w:tcMar>
            <w:vAlign w:val="center"/>
          </w:tcPr>
          <w:p>
            <w:pPr>
              <w:snapToGrid w:val="0"/>
              <w:rPr>
                <w:rFonts w:hint="eastAsia" w:ascii="Times New Roman" w:hAnsi="Times New Roman" w:eastAsia="宋体" w:cs="Times New Roman"/>
                <w:color w:val="000000" w:themeColor="text1"/>
                <w:kern w:val="0"/>
                <w:sz w:val="13"/>
                <w:lang w:eastAsia="zh-CN"/>
                <w14:textFill>
                  <w14:solidFill>
                    <w14:schemeClr w14:val="tx1"/>
                  </w14:solidFill>
                </w14:textFill>
              </w:rPr>
            </w:pPr>
            <w:r>
              <w:rPr>
                <w:rFonts w:hint="eastAsia" w:ascii="Times New Roman" w:hAnsi="Times New Roman" w:eastAsia="宋体" w:cs="Times New Roman"/>
                <w:color w:val="000000" w:themeColor="text1"/>
                <w:kern w:val="0"/>
                <w:sz w:val="13"/>
                <w:lang w:eastAsia="zh-CN"/>
                <w14:textFill>
                  <w14:solidFill>
                    <w14:schemeClr w14:val="tx1"/>
                  </w14:solidFill>
                </w14:textFill>
              </w:rPr>
              <w:t>2018-330726-33-03-047324-000</w:t>
            </w:r>
          </w:p>
        </w:tc>
        <w:tc>
          <w:tcPr>
            <w:tcW w:w="1701" w:type="dxa"/>
            <w:gridSpan w:val="2"/>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建设地点</w:t>
            </w:r>
          </w:p>
        </w:tc>
        <w:tc>
          <w:tcPr>
            <w:tcW w:w="2278" w:type="dxa"/>
            <w:gridSpan w:val="4"/>
            <w:tcMar>
              <w:left w:w="57" w:type="dxa"/>
              <w:right w:w="57" w:type="dxa"/>
            </w:tcMar>
            <w:vAlign w:val="center"/>
          </w:tcPr>
          <w:p>
            <w:pPr>
              <w:adjustRightInd w:val="0"/>
              <w:snapToGrid w:val="0"/>
              <w:rPr>
                <w:rFonts w:hint="eastAsia" w:ascii="Times New Roman" w:hAnsi="Times New Roman" w:eastAsia="宋体" w:cs="Times New Roman"/>
                <w:color w:val="000000"/>
                <w:sz w:val="15"/>
                <w:szCs w:val="15"/>
                <w:lang w:eastAsia="zh-CN"/>
              </w:rPr>
            </w:pPr>
            <w:r>
              <w:rPr>
                <w:rFonts w:hint="eastAsia" w:ascii="Times New Roman" w:hAnsi="Times New Roman" w:eastAsia="宋体" w:cs="Times New Roman"/>
                <w:color w:val="000000" w:themeColor="text1"/>
                <w:kern w:val="0"/>
                <w:sz w:val="13"/>
                <w:lang w:eastAsia="zh-CN"/>
                <w14:textFill>
                  <w14:solidFill>
                    <w14:schemeClr w14:val="tx1"/>
                  </w14:solidFill>
                </w14:textFill>
              </w:rPr>
              <w:t>浦江县黄宅镇中兴路99号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行业类别（分类管理名录）</w:t>
            </w:r>
          </w:p>
        </w:tc>
        <w:tc>
          <w:tcPr>
            <w:tcW w:w="5251" w:type="dxa"/>
            <w:gridSpan w:val="6"/>
            <w:tcMar>
              <w:left w:w="57" w:type="dxa"/>
              <w:right w:w="57" w:type="dxa"/>
            </w:tcMar>
            <w:vAlign w:val="center"/>
          </w:tcPr>
          <w:p>
            <w:pPr>
              <w:jc w:val="left"/>
              <w:rPr>
                <w:rFonts w:hint="default" w:ascii="Times New Roman" w:hAnsi="Times New Roman" w:eastAsia="宋体" w:cs="Times New Roman"/>
                <w:bCs/>
                <w:sz w:val="13"/>
                <w:szCs w:val="13"/>
                <w:lang w:val="en-US" w:eastAsia="zh-CN"/>
              </w:rPr>
            </w:pPr>
            <w:r>
              <w:rPr>
                <w:rFonts w:hint="eastAsia" w:ascii="Times New Roman" w:hAnsi="Times New Roman" w:eastAsia="宋体" w:cs="Times New Roman"/>
                <w:bCs/>
                <w:sz w:val="13"/>
                <w:szCs w:val="13"/>
              </w:rPr>
              <w:t>C3</w:t>
            </w:r>
            <w:r>
              <w:rPr>
                <w:rFonts w:hint="eastAsia" w:ascii="Times New Roman" w:hAnsi="Times New Roman" w:eastAsia="宋体" w:cs="Times New Roman"/>
                <w:bCs/>
                <w:sz w:val="13"/>
                <w:szCs w:val="13"/>
                <w:lang w:val="en-US" w:eastAsia="zh-CN"/>
              </w:rPr>
              <w:t>389 其他金属制日用品制造</w:t>
            </w:r>
          </w:p>
        </w:tc>
        <w:tc>
          <w:tcPr>
            <w:tcW w:w="2300" w:type="dxa"/>
            <w:gridSpan w:val="2"/>
            <w:tcMar>
              <w:left w:w="57" w:type="dxa"/>
              <w:right w:w="57" w:type="dxa"/>
            </w:tcMar>
            <w:vAlign w:val="cente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建设性质</w:t>
            </w:r>
          </w:p>
        </w:tc>
        <w:tc>
          <w:tcPr>
            <w:tcW w:w="3653" w:type="dxa"/>
            <w:gridSpan w:val="3"/>
            <w:tcMar>
              <w:left w:w="57" w:type="dxa"/>
              <w:right w:w="57" w:type="dxa"/>
            </w:tcMar>
            <w:vAlign w:val="center"/>
          </w:tcPr>
          <w:p>
            <w:pPr>
              <w:jc w:val="both"/>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highlight w:val="none"/>
              </w:rPr>
              <w:t xml:space="preserve"> </w:t>
            </w:r>
            <w:r>
              <w:rPr>
                <w:rFonts w:ascii="Times New Roman" w:hAnsi="Times New Roman" w:eastAsia="宋体" w:cs="Times New Roman"/>
                <w:b/>
                <w:color w:val="000000"/>
                <w:sz w:val="15"/>
                <w:szCs w:val="15"/>
                <w:highlight w:val="none"/>
              </w:rPr>
              <w:sym w:font="Wingdings 2" w:char="0052"/>
            </w:r>
            <w:r>
              <w:rPr>
                <w:rFonts w:ascii="Times New Roman" w:hAnsi="Times New Roman" w:eastAsia="宋体" w:cs="Times New Roman"/>
                <w:b/>
                <w:color w:val="000000"/>
                <w:sz w:val="15"/>
                <w:szCs w:val="15"/>
                <w:highlight w:val="none"/>
              </w:rPr>
              <w:t xml:space="preserve">新建  </w:t>
            </w:r>
            <w:r>
              <w:rPr>
                <w:rFonts w:ascii="Times New Roman" w:hAnsi="Times New Roman" w:eastAsia="宋体" w:cs="Times New Roman"/>
                <w:b/>
                <w:color w:val="000000"/>
                <w:sz w:val="15"/>
                <w:szCs w:val="15"/>
                <w:highlight w:val="none"/>
              </w:rPr>
              <w:sym w:font="Wingdings 2" w:char="00A3"/>
            </w:r>
            <w:r>
              <w:rPr>
                <w:rFonts w:hint="eastAsia" w:ascii="Times New Roman" w:hAnsi="Times New Roman" w:eastAsia="宋体" w:cs="Times New Roman"/>
                <w:b/>
                <w:color w:val="000000"/>
                <w:sz w:val="15"/>
                <w:szCs w:val="15"/>
                <w:highlight w:val="none"/>
                <w:lang w:val="en-US" w:eastAsia="zh-CN"/>
              </w:rPr>
              <w:t>改扩</w:t>
            </w:r>
            <w:r>
              <w:rPr>
                <w:rFonts w:ascii="Times New Roman" w:hAnsi="Times New Roman" w:eastAsia="宋体" w:cs="Times New Roman"/>
                <w:b/>
                <w:color w:val="000000"/>
                <w:sz w:val="15"/>
                <w:szCs w:val="15"/>
                <w:highlight w:val="none"/>
              </w:rPr>
              <w:t xml:space="preserve">建  </w:t>
            </w:r>
            <w:r>
              <w:rPr>
                <w:rFonts w:hint="eastAsia" w:ascii="Times New Roman" w:hAnsi="Times New Roman" w:eastAsia="宋体" w:cs="Times New Roman"/>
                <w:b/>
                <w:color w:val="000000"/>
                <w:sz w:val="15"/>
                <w:szCs w:val="15"/>
                <w:highlight w:val="none"/>
                <w:lang w:eastAsia="zh-CN"/>
              </w:rPr>
              <w:t>□</w:t>
            </w:r>
            <w:r>
              <w:rPr>
                <w:rFonts w:ascii="Times New Roman" w:hAnsi="Times New Roman" w:eastAsia="宋体" w:cs="Times New Roman"/>
                <w:b/>
                <w:color w:val="000000"/>
                <w:sz w:val="15"/>
                <w:szCs w:val="15"/>
                <w:highlight w:val="none"/>
              </w:rPr>
              <w:t>技术改造</w:t>
            </w:r>
          </w:p>
        </w:tc>
        <w:tc>
          <w:tcPr>
            <w:tcW w:w="1134" w:type="dxa"/>
            <w:gridSpan w:val="2"/>
            <w:tcMar>
              <w:left w:w="57" w:type="dxa"/>
              <w:right w:w="57" w:type="dxa"/>
            </w:tcMar>
          </w:tcPr>
          <w:p>
            <w:pPr>
              <w:spacing w:line="240" w:lineRule="exact"/>
              <w:rPr>
                <w:rFonts w:cs="Times New Roman" w:asciiTheme="minorEastAsia" w:hAnsiTheme="minorEastAsia"/>
                <w:b/>
                <w:bCs/>
                <w:color w:val="000000"/>
                <w:sz w:val="15"/>
                <w:szCs w:val="15"/>
              </w:rPr>
            </w:pPr>
            <w:r>
              <w:rPr>
                <w:rFonts w:cs="Times New Roman" w:asciiTheme="minorEastAsia" w:hAnsiTheme="minorEastAsia"/>
                <w:b/>
                <w:bCs/>
                <w:color w:val="000000"/>
                <w:sz w:val="15"/>
                <w:szCs w:val="15"/>
              </w:rPr>
              <w:t>项目厂区中心经度/纬度</w:t>
            </w:r>
          </w:p>
        </w:tc>
        <w:tc>
          <w:tcPr>
            <w:tcW w:w="1144" w:type="dxa"/>
            <w:gridSpan w:val="2"/>
            <w:tcMar>
              <w:left w:w="57" w:type="dxa"/>
              <w:right w:w="57" w:type="dxa"/>
            </w:tcMar>
          </w:tcPr>
          <w:p>
            <w:pPr>
              <w:spacing w:line="240" w:lineRule="exact"/>
              <w:rPr>
                <w:rFonts w:hint="eastAsia" w:ascii="Times New Roman" w:hAnsi="Times New Roman" w:eastAsia="宋体" w:cs="Times New Roman"/>
                <w:color w:val="333333"/>
                <w:sz w:val="13"/>
                <w:szCs w:val="13"/>
                <w:highlight w:val="none"/>
              </w:rPr>
            </w:pPr>
            <w:r>
              <w:rPr>
                <w:rFonts w:hint="eastAsia" w:ascii="Times New Roman" w:hAnsi="Times New Roman" w:eastAsia="宋体" w:cs="Times New Roman"/>
                <w:color w:val="333333"/>
                <w:sz w:val="13"/>
                <w:szCs w:val="13"/>
                <w:highlight w:val="none"/>
                <w:lang w:eastAsia="zh-CN"/>
              </w:rPr>
              <w:t>120.012460</w:t>
            </w:r>
            <w:r>
              <w:rPr>
                <w:rFonts w:hint="eastAsia" w:ascii="Times New Roman" w:hAnsi="Times New Roman" w:eastAsia="宋体" w:cs="Times New Roman"/>
                <w:color w:val="333333"/>
                <w:sz w:val="13"/>
                <w:szCs w:val="13"/>
                <w:highlight w:val="none"/>
              </w:rPr>
              <w:t>；</w:t>
            </w:r>
          </w:p>
          <w:p>
            <w:pPr>
              <w:spacing w:line="240" w:lineRule="exact"/>
              <w:rPr>
                <w:rFonts w:hint="eastAsia" w:ascii="Times New Roman" w:hAnsi="Times New Roman" w:eastAsia="宋体" w:cs="Times New Roman"/>
                <w:sz w:val="13"/>
                <w:szCs w:val="13"/>
                <w:lang w:eastAsia="zh-CN"/>
              </w:rPr>
            </w:pPr>
            <w:r>
              <w:rPr>
                <w:rFonts w:hint="eastAsia" w:ascii="Times New Roman" w:hAnsi="Times New Roman" w:eastAsia="宋体" w:cs="Times New Roman"/>
                <w:color w:val="333333"/>
                <w:sz w:val="13"/>
                <w:szCs w:val="13"/>
                <w:highlight w:val="none"/>
                <w:lang w:eastAsia="zh-CN"/>
              </w:rPr>
              <w:t>29.436440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设计生产能力</w:t>
            </w:r>
          </w:p>
        </w:tc>
        <w:tc>
          <w:tcPr>
            <w:tcW w:w="5251" w:type="dxa"/>
            <w:gridSpan w:val="6"/>
            <w:tcMar>
              <w:left w:w="57" w:type="dxa"/>
              <w:right w:w="57" w:type="dxa"/>
            </w:tcMar>
            <w:vAlign w:val="center"/>
          </w:tcPr>
          <w:p>
            <w:pPr>
              <w:rPr>
                <w:rFonts w:ascii="Times New Roman" w:hAnsi="Times New Roman" w:eastAsia="宋体" w:cs="Times New Roman"/>
                <w:color w:val="000000"/>
                <w:sz w:val="15"/>
                <w:szCs w:val="15"/>
              </w:rPr>
            </w:pPr>
            <w:r>
              <w:rPr>
                <w:rFonts w:hint="eastAsia" w:ascii="Times New Roman" w:hAnsi="Times New Roman" w:eastAsia="宋体" w:cs="Times New Roman"/>
                <w:bCs/>
                <w:color w:val="000000"/>
                <w:sz w:val="13"/>
                <w:szCs w:val="13"/>
                <w:lang w:eastAsia="zh-CN"/>
              </w:rPr>
              <w:t>年产1430万个衣架生产线建设项目</w:t>
            </w:r>
          </w:p>
        </w:tc>
        <w:tc>
          <w:tcPr>
            <w:tcW w:w="2300" w:type="dxa"/>
            <w:gridSpan w:val="2"/>
            <w:tcMar>
              <w:left w:w="57" w:type="dxa"/>
              <w:right w:w="57" w:type="dxa"/>
            </w:tcMa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实际生产能力</w:t>
            </w:r>
          </w:p>
        </w:tc>
        <w:tc>
          <w:tcPr>
            <w:tcW w:w="1952" w:type="dxa"/>
            <w:tcMar>
              <w:left w:w="57" w:type="dxa"/>
              <w:right w:w="57" w:type="dxa"/>
            </w:tcMar>
            <w:vAlign w:val="center"/>
          </w:tcPr>
          <w:p>
            <w:pPr>
              <w:snapToGrid w:val="0"/>
              <w:rPr>
                <w:rFonts w:ascii="Times New Roman" w:hAnsi="Times New Roman" w:eastAsia="宋体" w:cs="Times New Roman"/>
                <w:b/>
                <w:color w:val="000000"/>
                <w:sz w:val="13"/>
                <w:szCs w:val="13"/>
              </w:rPr>
            </w:pPr>
            <w:r>
              <w:rPr>
                <w:rFonts w:hint="eastAsia" w:ascii="Times New Roman" w:hAnsi="Times New Roman" w:eastAsia="宋体" w:cs="Times New Roman"/>
                <w:bCs/>
                <w:color w:val="000000"/>
                <w:sz w:val="13"/>
                <w:szCs w:val="13"/>
                <w:lang w:eastAsia="zh-CN"/>
              </w:rPr>
              <w:t>年产1</w:t>
            </w:r>
            <w:r>
              <w:rPr>
                <w:rFonts w:hint="eastAsia" w:ascii="Times New Roman" w:hAnsi="Times New Roman" w:eastAsia="宋体" w:cs="Times New Roman"/>
                <w:bCs/>
                <w:color w:val="000000"/>
                <w:sz w:val="13"/>
                <w:szCs w:val="13"/>
                <w:lang w:val="en-US" w:eastAsia="zh-CN"/>
              </w:rPr>
              <w:t>2</w:t>
            </w:r>
            <w:r>
              <w:rPr>
                <w:rFonts w:hint="eastAsia" w:ascii="Times New Roman" w:hAnsi="Times New Roman" w:eastAsia="宋体" w:cs="Times New Roman"/>
                <w:bCs/>
                <w:color w:val="000000"/>
                <w:sz w:val="13"/>
                <w:szCs w:val="13"/>
                <w:lang w:eastAsia="zh-CN"/>
              </w:rPr>
              <w:t>30万个衣架生产线建设项目</w:t>
            </w:r>
          </w:p>
        </w:tc>
        <w:tc>
          <w:tcPr>
            <w:tcW w:w="1701" w:type="dxa"/>
            <w:gridSpan w:val="2"/>
            <w:tcMar>
              <w:left w:w="57" w:type="dxa"/>
              <w:right w:w="57" w:type="dxa"/>
            </w:tcMar>
            <w:vAlign w:val="center"/>
          </w:tcPr>
          <w:p>
            <w:pPr>
              <w:jc w:val="both"/>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环评单位</w:t>
            </w:r>
          </w:p>
        </w:tc>
        <w:tc>
          <w:tcPr>
            <w:tcW w:w="2278" w:type="dxa"/>
            <w:gridSpan w:val="4"/>
            <w:tcMar>
              <w:left w:w="57" w:type="dxa"/>
              <w:right w:w="57" w:type="dxa"/>
            </w:tcMar>
            <w:vAlign w:val="center"/>
          </w:tcPr>
          <w:p>
            <w:pPr>
              <w:snapToGrid w:val="0"/>
              <w:rPr>
                <w:rFonts w:hint="eastAsia" w:ascii="Times New Roman" w:hAnsi="Times New Roman" w:eastAsia="宋体" w:cs="Times New Roman"/>
                <w:bCs/>
                <w:color w:val="000000"/>
                <w:sz w:val="13"/>
                <w:szCs w:val="13"/>
                <w:lang w:eastAsia="zh-CN"/>
              </w:rPr>
            </w:pPr>
            <w:r>
              <w:rPr>
                <w:rFonts w:hint="eastAsia" w:ascii="Times New Roman" w:hAnsi="Times New Roman" w:eastAsia="宋体" w:cs="Times New Roman"/>
                <w:bCs/>
                <w:color w:val="000000"/>
                <w:sz w:val="13"/>
                <w:szCs w:val="13"/>
                <w:lang w:eastAsia="zh-CN"/>
              </w:rPr>
              <w:t>浙江瀚邦环保科技有限公司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环评文件审批机关</w:t>
            </w:r>
          </w:p>
        </w:tc>
        <w:tc>
          <w:tcPr>
            <w:tcW w:w="5251" w:type="dxa"/>
            <w:gridSpan w:val="6"/>
            <w:tcMar>
              <w:left w:w="57" w:type="dxa"/>
              <w:right w:w="57" w:type="dxa"/>
            </w:tcMar>
          </w:tcPr>
          <w:p>
            <w:pPr>
              <w:jc w:val="left"/>
              <w:rPr>
                <w:rFonts w:hint="eastAsia" w:ascii="Times New Roman" w:hAnsi="Times New Roman" w:eastAsia="宋体" w:cs="Times New Roman"/>
                <w:bCs/>
                <w:sz w:val="13"/>
                <w:szCs w:val="13"/>
                <w:lang w:eastAsia="zh-CN"/>
              </w:rPr>
            </w:pPr>
            <w:r>
              <w:rPr>
                <w:rFonts w:hint="eastAsia" w:ascii="Times New Roman" w:hAnsi="Times New Roman" w:eastAsia="宋体" w:cs="Times New Roman"/>
                <w:bCs/>
                <w:sz w:val="13"/>
                <w:szCs w:val="13"/>
                <w:lang w:eastAsia="zh-CN"/>
              </w:rPr>
              <w:t>金华市生态环境局</w:t>
            </w:r>
          </w:p>
        </w:tc>
        <w:tc>
          <w:tcPr>
            <w:tcW w:w="2300" w:type="dxa"/>
            <w:gridSpan w:val="2"/>
            <w:tcMar>
              <w:left w:w="57" w:type="dxa"/>
              <w:right w:w="57" w:type="dxa"/>
            </w:tcMar>
            <w:vAlign w:val="cente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审批文号</w:t>
            </w:r>
          </w:p>
        </w:tc>
        <w:tc>
          <w:tcPr>
            <w:tcW w:w="1952" w:type="dxa"/>
            <w:tcMar>
              <w:left w:w="57" w:type="dxa"/>
              <w:right w:w="57" w:type="dxa"/>
            </w:tcMar>
            <w:vAlign w:val="center"/>
          </w:tcPr>
          <w:p>
            <w:pPr>
              <w:snapToGrid w:val="0"/>
              <w:rPr>
                <w:rFonts w:hint="eastAsia" w:ascii="Times New Roman" w:hAnsi="Times New Roman" w:eastAsia="宋体" w:cs="Times New Roman"/>
                <w:bCs/>
                <w:color w:val="000000"/>
                <w:sz w:val="13"/>
                <w:szCs w:val="13"/>
                <w:lang w:eastAsia="zh-CN"/>
              </w:rPr>
            </w:pPr>
            <w:r>
              <w:rPr>
                <w:rFonts w:hint="eastAsia" w:ascii="Times New Roman" w:hAnsi="Times New Roman" w:eastAsia="宋体" w:cs="Times New Roman"/>
                <w:bCs/>
                <w:color w:val="000000"/>
                <w:sz w:val="13"/>
                <w:szCs w:val="13"/>
                <w:lang w:eastAsia="zh-CN"/>
              </w:rPr>
              <w:t>金环建浦[2019]55号</w:t>
            </w:r>
          </w:p>
        </w:tc>
        <w:tc>
          <w:tcPr>
            <w:tcW w:w="1701" w:type="dxa"/>
            <w:gridSpan w:val="2"/>
            <w:tcMar>
              <w:left w:w="57" w:type="dxa"/>
              <w:right w:w="57" w:type="dxa"/>
            </w:tcMar>
            <w:vAlign w:val="cente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环评文件类型</w:t>
            </w:r>
          </w:p>
        </w:tc>
        <w:tc>
          <w:tcPr>
            <w:tcW w:w="2278" w:type="dxa"/>
            <w:gridSpan w:val="4"/>
            <w:tcMar>
              <w:left w:w="57" w:type="dxa"/>
              <w:right w:w="57" w:type="dxa"/>
            </w:tcMar>
            <w:vAlign w:val="center"/>
          </w:tcPr>
          <w:p>
            <w:pPr>
              <w:snapToGrid w:val="0"/>
              <w:jc w:val="both"/>
              <w:rPr>
                <w:rFonts w:hint="default" w:ascii="Times New Roman" w:hAnsi="Times New Roman" w:eastAsia="宋体" w:cs="Times New Roman"/>
                <w:bCs/>
                <w:color w:val="000000"/>
                <w:sz w:val="13"/>
                <w:szCs w:val="13"/>
                <w:lang w:val="en-US" w:eastAsia="zh-CN"/>
              </w:rPr>
            </w:pPr>
            <w:r>
              <w:rPr>
                <w:rFonts w:hint="eastAsia" w:ascii="Times New Roman" w:hAnsi="Times New Roman" w:eastAsia="宋体" w:cs="Times New Roman"/>
                <w:bCs/>
                <w:color w:val="000000"/>
                <w:sz w:val="13"/>
                <w:szCs w:val="13"/>
                <w:lang w:val="en-US" w:eastAsia="zh-CN"/>
              </w:rPr>
              <w:t>环评报告表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themeColor="text1"/>
                <w:sz w:val="15"/>
                <w:szCs w:val="15"/>
                <w14:textFill>
                  <w14:solidFill>
                    <w14:schemeClr w14:val="tx1"/>
                  </w14:solidFill>
                </w14:textFill>
              </w:rPr>
            </w:pPr>
            <w:r>
              <w:rPr>
                <w:rFonts w:ascii="Times New Roman" w:hAnsi="Times New Roman" w:eastAsia="宋体" w:cs="Times New Roman"/>
                <w:b/>
                <w:color w:val="000000" w:themeColor="text1"/>
                <w:sz w:val="15"/>
                <w:szCs w:val="15"/>
                <w14:textFill>
                  <w14:solidFill>
                    <w14:schemeClr w14:val="tx1"/>
                  </w14:solidFill>
                </w14:textFill>
              </w:rPr>
              <w:t>开工日期</w:t>
            </w:r>
          </w:p>
        </w:tc>
        <w:tc>
          <w:tcPr>
            <w:tcW w:w="5251" w:type="dxa"/>
            <w:gridSpan w:val="6"/>
            <w:tcMar>
              <w:left w:w="57" w:type="dxa"/>
              <w:right w:w="57" w:type="dxa"/>
            </w:tcMar>
            <w:vAlign w:val="center"/>
          </w:tcPr>
          <w:p>
            <w:pPr>
              <w:adjustRightInd w:val="0"/>
              <w:snapToGrid w:val="0"/>
              <w:rPr>
                <w:rFonts w:hint="default" w:ascii="Times New Roman" w:hAnsi="Times New Roman" w:eastAsia="宋体" w:cs="Times New Roman"/>
                <w:color w:val="000000"/>
                <w:sz w:val="13"/>
                <w:szCs w:val="13"/>
                <w:lang w:val="en-US" w:eastAsia="zh-CN"/>
              </w:rPr>
            </w:pPr>
            <w:r>
              <w:rPr>
                <w:rFonts w:hint="eastAsia" w:ascii="Times New Roman" w:hAnsi="Times New Roman" w:eastAsia="宋体" w:cs="Times New Roman"/>
                <w:color w:val="000000"/>
                <w:sz w:val="13"/>
                <w:szCs w:val="13"/>
                <w:lang w:val="en-US" w:eastAsia="zh-CN"/>
              </w:rPr>
              <w:t>2019年07月</w:t>
            </w:r>
          </w:p>
        </w:tc>
        <w:tc>
          <w:tcPr>
            <w:tcW w:w="2300" w:type="dxa"/>
            <w:gridSpan w:val="2"/>
            <w:tcMar>
              <w:left w:w="57" w:type="dxa"/>
              <w:right w:w="57" w:type="dxa"/>
            </w:tcMar>
            <w:vAlign w:val="cente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竣工日期</w:t>
            </w:r>
          </w:p>
        </w:tc>
        <w:tc>
          <w:tcPr>
            <w:tcW w:w="1952" w:type="dxa"/>
            <w:tcMar>
              <w:left w:w="57" w:type="dxa"/>
              <w:right w:w="57" w:type="dxa"/>
            </w:tcMar>
            <w:vAlign w:val="center"/>
          </w:tcPr>
          <w:p>
            <w:pPr>
              <w:snapToGrid w:val="0"/>
              <w:rPr>
                <w:rFonts w:hint="default" w:ascii="Times New Roman" w:hAnsi="Times New Roman" w:eastAsia="宋体" w:cs="Times New Roman"/>
                <w:bCs/>
                <w:color w:val="000000"/>
                <w:sz w:val="13"/>
                <w:szCs w:val="13"/>
                <w:lang w:val="en-US" w:eastAsia="zh-CN"/>
              </w:rPr>
            </w:pPr>
            <w:r>
              <w:rPr>
                <w:rFonts w:hint="eastAsia" w:ascii="Times New Roman" w:hAnsi="Times New Roman" w:eastAsia="宋体" w:cs="Times New Roman"/>
                <w:bCs/>
                <w:color w:val="000000"/>
                <w:sz w:val="13"/>
                <w:szCs w:val="13"/>
                <w:lang w:eastAsia="zh-CN"/>
              </w:rPr>
              <w:t>202</w:t>
            </w:r>
            <w:r>
              <w:rPr>
                <w:rFonts w:hint="eastAsia" w:ascii="Times New Roman" w:hAnsi="Times New Roman" w:eastAsia="宋体" w:cs="Times New Roman"/>
                <w:bCs/>
                <w:color w:val="000000"/>
                <w:sz w:val="13"/>
                <w:szCs w:val="13"/>
                <w:lang w:val="en-US" w:eastAsia="zh-CN"/>
              </w:rPr>
              <w:t>2</w:t>
            </w:r>
            <w:r>
              <w:rPr>
                <w:rFonts w:hint="eastAsia" w:ascii="Times New Roman" w:hAnsi="Times New Roman" w:eastAsia="宋体" w:cs="Times New Roman"/>
                <w:bCs/>
                <w:color w:val="000000"/>
                <w:sz w:val="13"/>
                <w:szCs w:val="13"/>
                <w:lang w:eastAsia="zh-CN"/>
              </w:rPr>
              <w:t>.</w:t>
            </w:r>
            <w:r>
              <w:rPr>
                <w:rFonts w:hint="eastAsia" w:ascii="Times New Roman" w:hAnsi="Times New Roman" w:eastAsia="宋体" w:cs="Times New Roman"/>
                <w:bCs/>
                <w:color w:val="000000"/>
                <w:sz w:val="13"/>
                <w:szCs w:val="13"/>
                <w:lang w:val="en-US" w:eastAsia="zh-CN"/>
              </w:rPr>
              <w:t>08</w:t>
            </w:r>
          </w:p>
        </w:tc>
        <w:tc>
          <w:tcPr>
            <w:tcW w:w="1701" w:type="dxa"/>
            <w:gridSpan w:val="2"/>
            <w:tcMar>
              <w:left w:w="57" w:type="dxa"/>
              <w:right w:w="57" w:type="dxa"/>
            </w:tcMar>
            <w:vAlign w:val="center"/>
          </w:tcPr>
          <w:p>
            <w:pPr>
              <w:rPr>
                <w:rFonts w:ascii="Times New Roman" w:hAnsi="Times New Roman" w:eastAsia="宋体" w:cs="Times New Roman"/>
                <w:b/>
                <w:color w:val="auto"/>
                <w:sz w:val="15"/>
                <w:szCs w:val="15"/>
                <w:highlight w:val="none"/>
              </w:rPr>
            </w:pPr>
            <w:r>
              <w:rPr>
                <w:rFonts w:ascii="Times New Roman" w:hAnsi="Times New Roman" w:eastAsia="宋体" w:cs="Times New Roman"/>
                <w:b/>
                <w:color w:val="auto"/>
                <w:sz w:val="15"/>
                <w:szCs w:val="15"/>
                <w:highlight w:val="none"/>
              </w:rPr>
              <w:t>排污许可证申领时间</w:t>
            </w:r>
          </w:p>
        </w:tc>
        <w:tc>
          <w:tcPr>
            <w:tcW w:w="2278" w:type="dxa"/>
            <w:gridSpan w:val="4"/>
            <w:tcMar>
              <w:left w:w="57" w:type="dxa"/>
              <w:right w:w="57" w:type="dxa"/>
            </w:tcMar>
            <w:vAlign w:val="center"/>
          </w:tcPr>
          <w:p>
            <w:pPr>
              <w:snapToGrid w:val="0"/>
              <w:jc w:val="both"/>
              <w:rPr>
                <w:rFonts w:hint="default" w:ascii="Times New Roman" w:hAnsi="Times New Roman" w:eastAsia="宋体" w:cs="Times New Roman"/>
                <w:bCs/>
                <w:color w:val="000000"/>
                <w:sz w:val="13"/>
                <w:szCs w:val="13"/>
                <w:highlight w:val="none"/>
                <w:lang w:val="en-US" w:eastAsia="zh-CN"/>
              </w:rPr>
            </w:pPr>
            <w:r>
              <w:rPr>
                <w:rFonts w:hint="eastAsia" w:ascii="Times New Roman" w:hAnsi="Times New Roman" w:eastAsia="宋体" w:cs="Times New Roman"/>
                <w:bCs/>
                <w:color w:val="000000"/>
                <w:sz w:val="13"/>
                <w:szCs w:val="13"/>
                <w:highlight w:val="none"/>
                <w:lang w:val="en-US" w:eastAsia="zh-CN"/>
              </w:rPr>
              <w:t>2020年5月27日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环保设施设计单位</w:t>
            </w:r>
          </w:p>
        </w:tc>
        <w:tc>
          <w:tcPr>
            <w:tcW w:w="5251" w:type="dxa"/>
            <w:gridSpan w:val="6"/>
            <w:tcMar>
              <w:left w:w="57" w:type="dxa"/>
              <w:right w:w="57" w:type="dxa"/>
            </w:tcMar>
            <w:vAlign w:val="center"/>
          </w:tcPr>
          <w:p>
            <w:pPr>
              <w:adjustRightInd w:val="0"/>
              <w:snapToGrid w:val="0"/>
              <w:jc w:val="both"/>
              <w:rPr>
                <w:rFonts w:hint="default" w:ascii="Times New Roman" w:hAnsi="Times New Roman" w:eastAsia="宋体" w:cs="Times New Roman"/>
                <w:color w:val="000000"/>
                <w:sz w:val="13"/>
                <w:szCs w:val="13"/>
                <w:lang w:val="en-US" w:eastAsia="zh-CN"/>
              </w:rPr>
            </w:pPr>
            <w:r>
              <w:rPr>
                <w:rFonts w:hint="eastAsia" w:ascii="Times New Roman" w:hAnsi="Times New Roman" w:eastAsia="宋体" w:cs="Times New Roman"/>
                <w:color w:val="000000"/>
                <w:sz w:val="13"/>
                <w:szCs w:val="13"/>
                <w:lang w:val="en-US" w:eastAsia="zh-CN"/>
              </w:rPr>
              <w:t>/</w:t>
            </w:r>
          </w:p>
        </w:tc>
        <w:tc>
          <w:tcPr>
            <w:tcW w:w="2300" w:type="dxa"/>
            <w:gridSpan w:val="2"/>
            <w:tcMar>
              <w:left w:w="57" w:type="dxa"/>
              <w:right w:w="57" w:type="dxa"/>
            </w:tcMar>
            <w:vAlign w:val="center"/>
          </w:tcPr>
          <w:p>
            <w:pPr>
              <w:jc w:val="both"/>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环保设施施工单位</w:t>
            </w:r>
          </w:p>
        </w:tc>
        <w:tc>
          <w:tcPr>
            <w:tcW w:w="1952" w:type="dxa"/>
            <w:tcMar>
              <w:left w:w="57" w:type="dxa"/>
              <w:right w:w="57" w:type="dxa"/>
            </w:tcMar>
            <w:vAlign w:val="center"/>
          </w:tcPr>
          <w:p>
            <w:pPr>
              <w:adjustRightInd w:val="0"/>
              <w:snapToGrid w:val="0"/>
              <w:jc w:val="both"/>
              <w:rPr>
                <w:rFonts w:hint="eastAsia" w:ascii="Times New Roman" w:hAnsi="Times New Roman" w:eastAsia="宋体" w:cs="Times New Roman"/>
                <w:color w:val="000000"/>
                <w:sz w:val="13"/>
                <w:szCs w:val="13"/>
                <w:lang w:eastAsia="zh-CN"/>
              </w:rPr>
            </w:pPr>
            <w:r>
              <w:rPr>
                <w:rFonts w:hint="eastAsia" w:ascii="Times New Roman" w:hAnsi="Times New Roman" w:eastAsia="宋体" w:cs="Times New Roman"/>
                <w:color w:val="000000"/>
                <w:sz w:val="13"/>
                <w:szCs w:val="13"/>
                <w:lang w:val="en-US" w:eastAsia="zh-CN"/>
              </w:rPr>
              <w:t>/</w:t>
            </w:r>
          </w:p>
        </w:tc>
        <w:tc>
          <w:tcPr>
            <w:tcW w:w="1701" w:type="dxa"/>
            <w:gridSpan w:val="2"/>
            <w:tcMar>
              <w:left w:w="57" w:type="dxa"/>
              <w:right w:w="57" w:type="dxa"/>
            </w:tcMar>
            <w:vAlign w:val="center"/>
          </w:tcPr>
          <w:p>
            <w:pPr>
              <w:rPr>
                <w:rFonts w:ascii="Times New Roman" w:hAnsi="Times New Roman" w:eastAsia="宋体" w:cs="Times New Roman"/>
                <w:b/>
                <w:color w:val="auto"/>
                <w:sz w:val="15"/>
                <w:szCs w:val="15"/>
                <w:highlight w:val="none"/>
              </w:rPr>
            </w:pPr>
            <w:r>
              <w:rPr>
                <w:rFonts w:ascii="Times New Roman" w:hAnsi="Times New Roman" w:eastAsia="宋体" w:cs="Times New Roman"/>
                <w:b/>
                <w:color w:val="auto"/>
                <w:sz w:val="15"/>
                <w:szCs w:val="15"/>
                <w:highlight w:val="none"/>
              </w:rPr>
              <w:t>本工程排污许可证编号</w:t>
            </w:r>
          </w:p>
        </w:tc>
        <w:tc>
          <w:tcPr>
            <w:tcW w:w="2278" w:type="dxa"/>
            <w:gridSpan w:val="4"/>
            <w:tcMar>
              <w:left w:w="57" w:type="dxa"/>
              <w:right w:w="57" w:type="dxa"/>
            </w:tcMar>
            <w:vAlign w:val="center"/>
          </w:tcPr>
          <w:p>
            <w:pPr>
              <w:snapToGrid w:val="0"/>
              <w:rPr>
                <w:rFonts w:hint="default" w:ascii="Times New Roman" w:hAnsi="Times New Roman" w:eastAsia="宋体" w:cs="Times New Roman"/>
                <w:bCs/>
                <w:color w:val="000000"/>
                <w:sz w:val="13"/>
                <w:szCs w:val="13"/>
                <w:highlight w:val="none"/>
                <w:lang w:val="en-US" w:eastAsia="zh-CN"/>
              </w:rPr>
            </w:pPr>
            <w:r>
              <w:rPr>
                <w:rFonts w:hint="eastAsia" w:ascii="Times New Roman" w:hAnsi="Times New Roman" w:eastAsia="宋体" w:cs="Times New Roman"/>
                <w:bCs/>
                <w:color w:val="000000"/>
                <w:sz w:val="13"/>
                <w:szCs w:val="13"/>
                <w:highlight w:val="none"/>
                <w:lang w:val="en-US" w:eastAsia="zh-CN"/>
              </w:rPr>
              <w:t>91330726307777500J001X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验收单位</w:t>
            </w:r>
          </w:p>
        </w:tc>
        <w:tc>
          <w:tcPr>
            <w:tcW w:w="5251" w:type="dxa"/>
            <w:gridSpan w:val="6"/>
            <w:tcMar>
              <w:left w:w="57" w:type="dxa"/>
              <w:right w:w="57" w:type="dxa"/>
            </w:tcMar>
            <w:vAlign w:val="center"/>
          </w:tcPr>
          <w:p>
            <w:pPr>
              <w:jc w:val="left"/>
              <w:rPr>
                <w:rFonts w:hint="eastAsia" w:ascii="Times New Roman" w:hAnsi="Times New Roman" w:eastAsia="宋体" w:cs="Times New Roman"/>
                <w:b/>
                <w:color w:val="000000"/>
                <w:sz w:val="13"/>
                <w:szCs w:val="13"/>
                <w:lang w:eastAsia="zh-CN"/>
              </w:rPr>
            </w:pPr>
            <w:r>
              <w:rPr>
                <w:rFonts w:hint="eastAsia" w:ascii="Times New Roman" w:hAnsi="Times New Roman" w:eastAsia="宋体" w:cs="Times New Roman"/>
                <w:bCs/>
                <w:color w:val="000000"/>
                <w:sz w:val="13"/>
                <w:szCs w:val="13"/>
                <w:lang w:eastAsia="zh-CN"/>
              </w:rPr>
              <w:t>浦江金理衣架有限公司</w:t>
            </w:r>
          </w:p>
        </w:tc>
        <w:tc>
          <w:tcPr>
            <w:tcW w:w="2300" w:type="dxa"/>
            <w:gridSpan w:val="2"/>
            <w:tcMar>
              <w:left w:w="57" w:type="dxa"/>
              <w:right w:w="57" w:type="dxa"/>
            </w:tcMar>
            <w:vAlign w:val="cente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环保设施监测单位</w:t>
            </w:r>
          </w:p>
        </w:tc>
        <w:tc>
          <w:tcPr>
            <w:tcW w:w="1952" w:type="dxa"/>
            <w:tcMar>
              <w:left w:w="57" w:type="dxa"/>
              <w:right w:w="57" w:type="dxa"/>
            </w:tcMar>
          </w:tcPr>
          <w:p>
            <w:pPr>
              <w:spacing w:line="240" w:lineRule="exact"/>
              <w:jc w:val="left"/>
              <w:rPr>
                <w:rFonts w:ascii="Times New Roman" w:hAnsi="Times New Roman" w:eastAsia="宋体" w:cs="Times New Roman"/>
                <w:bCs/>
                <w:color w:val="000000"/>
                <w:sz w:val="13"/>
                <w:szCs w:val="13"/>
              </w:rPr>
            </w:pPr>
            <w:r>
              <w:rPr>
                <w:rFonts w:ascii="Times New Roman" w:hAnsi="Times New Roman" w:eastAsia="宋体" w:cs="Times New Roman"/>
                <w:bCs/>
                <w:color w:val="000000"/>
                <w:sz w:val="13"/>
                <w:szCs w:val="13"/>
              </w:rPr>
              <w:t>浙江高鑫安全检测科技有限公司</w:t>
            </w:r>
          </w:p>
        </w:tc>
        <w:tc>
          <w:tcPr>
            <w:tcW w:w="1701" w:type="dxa"/>
            <w:gridSpan w:val="2"/>
            <w:tcMar>
              <w:left w:w="57" w:type="dxa"/>
              <w:right w:w="57" w:type="dxa"/>
            </w:tcMa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验收监测时工况</w:t>
            </w:r>
          </w:p>
        </w:tc>
        <w:tc>
          <w:tcPr>
            <w:tcW w:w="2278" w:type="dxa"/>
            <w:gridSpan w:val="4"/>
            <w:tcMar>
              <w:left w:w="57" w:type="dxa"/>
              <w:right w:w="57" w:type="dxa"/>
            </w:tcMar>
            <w:vAlign w:val="center"/>
          </w:tcPr>
          <w:p>
            <w:pPr>
              <w:snapToGrid w:val="0"/>
              <w:rPr>
                <w:rFonts w:hint="eastAsia" w:ascii="Times New Roman" w:hAnsi="Times New Roman" w:eastAsia="宋体" w:cs="Times New Roman"/>
                <w:bCs/>
                <w:color w:val="000000"/>
                <w:sz w:val="13"/>
                <w:szCs w:val="13"/>
                <w:lang w:eastAsia="zh-CN"/>
              </w:rPr>
            </w:pPr>
            <w:r>
              <w:rPr>
                <w:rFonts w:hint="eastAsia" w:ascii="Times New Roman" w:hAnsi="Times New Roman" w:eastAsia="宋体" w:cs="Times New Roman"/>
                <w:bCs/>
                <w:color w:val="000000"/>
                <w:sz w:val="13"/>
                <w:szCs w:val="13"/>
                <w:lang w:val="en-US" w:eastAsia="zh-CN"/>
              </w:rPr>
              <w:t>99.0</w:t>
            </w:r>
            <w:r>
              <w:rPr>
                <w:rFonts w:hint="eastAsia" w:ascii="Times New Roman" w:hAnsi="Times New Roman" w:eastAsia="宋体" w:cs="Times New Roman"/>
                <w:bCs/>
                <w:color w:val="000000"/>
                <w:sz w:val="13"/>
                <w:szCs w:val="13"/>
                <w:lang w:eastAsia="zh-CN"/>
              </w:rPr>
              <w:t>%以上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投资总概算（万元）</w:t>
            </w:r>
          </w:p>
        </w:tc>
        <w:tc>
          <w:tcPr>
            <w:tcW w:w="5251" w:type="dxa"/>
            <w:gridSpan w:val="6"/>
            <w:tcMar>
              <w:left w:w="57" w:type="dxa"/>
              <w:right w:w="57" w:type="dxa"/>
            </w:tcMar>
            <w:vAlign w:val="center"/>
          </w:tcPr>
          <w:p>
            <w:pPr>
              <w:jc w:val="left"/>
              <w:rPr>
                <w:rFonts w:hint="default" w:ascii="Times New Roman" w:hAnsi="Times New Roman" w:eastAsia="宋体" w:cs="Times New Roman"/>
                <w:bCs/>
                <w:color w:val="000000"/>
                <w:sz w:val="13"/>
                <w:szCs w:val="13"/>
                <w:lang w:val="en-US" w:eastAsia="zh-CN"/>
              </w:rPr>
            </w:pPr>
            <w:r>
              <w:rPr>
                <w:rFonts w:hint="eastAsia" w:ascii="Times New Roman" w:hAnsi="Times New Roman" w:eastAsia="宋体" w:cs="Times New Roman"/>
                <w:bCs/>
                <w:color w:val="000000"/>
                <w:sz w:val="13"/>
                <w:szCs w:val="13"/>
                <w:lang w:val="en-US" w:eastAsia="zh-CN"/>
              </w:rPr>
              <w:t>600</w:t>
            </w:r>
          </w:p>
        </w:tc>
        <w:tc>
          <w:tcPr>
            <w:tcW w:w="2300" w:type="dxa"/>
            <w:gridSpan w:val="2"/>
            <w:tcMar>
              <w:left w:w="57" w:type="dxa"/>
              <w:right w:w="57" w:type="dxa"/>
            </w:tcMar>
            <w:vAlign w:val="center"/>
          </w:tcPr>
          <w:p>
            <w:pPr>
              <w:tabs>
                <w:tab w:val="left" w:pos="690"/>
              </w:tabs>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环保投资总概算（万元）</w:t>
            </w:r>
          </w:p>
        </w:tc>
        <w:tc>
          <w:tcPr>
            <w:tcW w:w="1952" w:type="dxa"/>
            <w:tcMar>
              <w:left w:w="57" w:type="dxa"/>
              <w:right w:w="57" w:type="dxa"/>
            </w:tcMar>
            <w:vAlign w:val="center"/>
          </w:tcPr>
          <w:p>
            <w:pPr>
              <w:jc w:val="left"/>
              <w:rPr>
                <w:rFonts w:hint="default" w:ascii="Times New Roman" w:hAnsi="Times New Roman" w:eastAsia="宋体" w:cs="Times New Roman"/>
                <w:bCs/>
                <w:sz w:val="13"/>
                <w:szCs w:val="13"/>
                <w:lang w:val="en-US" w:eastAsia="zh-CN"/>
              </w:rPr>
            </w:pPr>
            <w:r>
              <w:rPr>
                <w:rFonts w:hint="eastAsia" w:ascii="Times New Roman" w:hAnsi="Times New Roman" w:eastAsia="宋体" w:cs="Times New Roman"/>
                <w:bCs/>
                <w:sz w:val="13"/>
                <w:szCs w:val="13"/>
                <w:lang w:val="en-US" w:eastAsia="zh-CN"/>
              </w:rPr>
              <w:t>63</w:t>
            </w:r>
          </w:p>
        </w:tc>
        <w:tc>
          <w:tcPr>
            <w:tcW w:w="1701" w:type="dxa"/>
            <w:gridSpan w:val="2"/>
            <w:tcMar>
              <w:left w:w="57" w:type="dxa"/>
              <w:right w:w="57" w:type="dxa"/>
            </w:tcMar>
            <w:vAlign w:val="center"/>
          </w:tcPr>
          <w:p>
            <w:pPr>
              <w:tabs>
                <w:tab w:val="left" w:pos="690"/>
              </w:tabs>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所占比例（%）</w:t>
            </w:r>
          </w:p>
        </w:tc>
        <w:tc>
          <w:tcPr>
            <w:tcW w:w="2278" w:type="dxa"/>
            <w:gridSpan w:val="4"/>
            <w:tcMar>
              <w:left w:w="57" w:type="dxa"/>
              <w:right w:w="57" w:type="dxa"/>
            </w:tcMar>
            <w:vAlign w:val="center"/>
          </w:tcPr>
          <w:p>
            <w:pPr>
              <w:jc w:val="left"/>
              <w:rPr>
                <w:rFonts w:hint="default" w:ascii="Times New Roman" w:hAnsi="Times New Roman" w:eastAsia="宋体" w:cs="Times New Roman"/>
                <w:bCs/>
                <w:sz w:val="13"/>
                <w:szCs w:val="13"/>
                <w:lang w:val="en-US" w:eastAsia="zh-CN"/>
              </w:rPr>
            </w:pPr>
            <w:r>
              <w:rPr>
                <w:rFonts w:hint="eastAsia" w:ascii="Times New Roman" w:hAnsi="Times New Roman" w:eastAsia="宋体" w:cs="Times New Roman"/>
                <w:bCs/>
                <w:sz w:val="13"/>
                <w:szCs w:val="13"/>
                <w:lang w:val="en-US" w:eastAsia="zh-CN"/>
              </w:rPr>
              <w:t>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实际总投资</w:t>
            </w:r>
          </w:p>
        </w:tc>
        <w:tc>
          <w:tcPr>
            <w:tcW w:w="5251" w:type="dxa"/>
            <w:gridSpan w:val="6"/>
            <w:tcMar>
              <w:left w:w="57" w:type="dxa"/>
              <w:right w:w="57" w:type="dxa"/>
            </w:tcMar>
          </w:tcPr>
          <w:p>
            <w:pPr>
              <w:jc w:val="left"/>
              <w:rPr>
                <w:rFonts w:hint="default" w:ascii="Times New Roman" w:hAnsi="Times New Roman" w:eastAsia="宋体" w:cs="Times New Roman"/>
                <w:bCs/>
                <w:color w:val="000000"/>
                <w:sz w:val="13"/>
                <w:szCs w:val="13"/>
                <w:lang w:val="en-US" w:eastAsia="zh-CN"/>
              </w:rPr>
            </w:pPr>
            <w:r>
              <w:rPr>
                <w:rFonts w:hint="eastAsia" w:ascii="Times New Roman" w:hAnsi="Times New Roman" w:eastAsia="宋体" w:cs="Times New Roman"/>
                <w:bCs/>
                <w:color w:val="000000"/>
                <w:sz w:val="13"/>
                <w:szCs w:val="13"/>
                <w:lang w:val="en-US" w:eastAsia="zh-CN"/>
              </w:rPr>
              <w:t>450</w:t>
            </w:r>
          </w:p>
        </w:tc>
        <w:tc>
          <w:tcPr>
            <w:tcW w:w="2300" w:type="dxa"/>
            <w:gridSpan w:val="2"/>
            <w:tcMar>
              <w:left w:w="57" w:type="dxa"/>
              <w:right w:w="57" w:type="dxa"/>
            </w:tcMar>
            <w:vAlign w:val="center"/>
          </w:tcPr>
          <w:p>
            <w:pPr>
              <w:ind w:right="300"/>
              <w:rPr>
                <w:rFonts w:ascii="Times New Roman" w:hAnsi="Times New Roman" w:eastAsia="宋体" w:cs="Times New Roman"/>
                <w:b/>
                <w:sz w:val="15"/>
                <w:szCs w:val="15"/>
              </w:rPr>
            </w:pPr>
            <w:r>
              <w:rPr>
                <w:rFonts w:hint="eastAsia" w:ascii="Times New Roman" w:hAnsi="Times New Roman" w:eastAsia="宋体" w:cs="Times New Roman"/>
                <w:b/>
                <w:sz w:val="15"/>
                <w:szCs w:val="15"/>
                <w:lang w:val="en-US" w:eastAsia="zh-CN"/>
              </w:rPr>
              <w:t>实际</w:t>
            </w:r>
            <w:r>
              <w:rPr>
                <w:rFonts w:ascii="Times New Roman" w:hAnsi="Times New Roman" w:eastAsia="宋体" w:cs="Times New Roman"/>
                <w:b/>
                <w:sz w:val="15"/>
                <w:szCs w:val="15"/>
              </w:rPr>
              <w:t>环保投资（万元）</w:t>
            </w:r>
          </w:p>
        </w:tc>
        <w:tc>
          <w:tcPr>
            <w:tcW w:w="1952" w:type="dxa"/>
            <w:tcMar>
              <w:left w:w="57" w:type="dxa"/>
              <w:right w:w="57" w:type="dxa"/>
            </w:tcMar>
          </w:tcPr>
          <w:p>
            <w:pPr>
              <w:jc w:val="left"/>
              <w:rPr>
                <w:rFonts w:hint="default" w:ascii="Times New Roman" w:hAnsi="Times New Roman" w:eastAsia="宋体" w:cs="Times New Roman"/>
                <w:bCs/>
                <w:sz w:val="13"/>
                <w:szCs w:val="13"/>
                <w:lang w:val="en-US" w:eastAsia="zh-CN"/>
              </w:rPr>
            </w:pPr>
            <w:r>
              <w:rPr>
                <w:rFonts w:hint="eastAsia" w:ascii="Times New Roman" w:hAnsi="Times New Roman" w:eastAsia="宋体" w:cs="Times New Roman"/>
                <w:bCs/>
                <w:sz w:val="13"/>
                <w:szCs w:val="13"/>
                <w:lang w:val="en-US" w:eastAsia="zh-CN"/>
              </w:rPr>
              <w:t>23</w:t>
            </w:r>
          </w:p>
        </w:tc>
        <w:tc>
          <w:tcPr>
            <w:tcW w:w="1701"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所占比例（%）</w:t>
            </w:r>
          </w:p>
        </w:tc>
        <w:tc>
          <w:tcPr>
            <w:tcW w:w="2278" w:type="dxa"/>
            <w:gridSpan w:val="4"/>
            <w:tcMar>
              <w:left w:w="57" w:type="dxa"/>
              <w:right w:w="57" w:type="dxa"/>
            </w:tcMar>
          </w:tcPr>
          <w:p>
            <w:pPr>
              <w:jc w:val="left"/>
              <w:rPr>
                <w:rFonts w:hint="default" w:ascii="Times New Roman" w:hAnsi="Times New Roman" w:eastAsia="宋体" w:cs="Times New Roman"/>
                <w:bCs/>
                <w:sz w:val="13"/>
                <w:szCs w:val="13"/>
                <w:lang w:val="en-US" w:eastAsia="zh-CN"/>
              </w:rPr>
            </w:pPr>
            <w:r>
              <w:rPr>
                <w:rFonts w:hint="eastAsia" w:ascii="Times New Roman" w:hAnsi="Times New Roman" w:eastAsia="宋体" w:cs="Times New Roman"/>
                <w:bCs/>
                <w:sz w:val="13"/>
                <w:szCs w:val="13"/>
                <w:lang w:val="en-US" w:eastAsia="zh-CN"/>
              </w:rPr>
              <w:t>5.11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废水治理（万元）</w:t>
            </w:r>
          </w:p>
        </w:tc>
        <w:tc>
          <w:tcPr>
            <w:tcW w:w="828" w:type="dxa"/>
            <w:tcMar>
              <w:left w:w="57" w:type="dxa"/>
              <w:right w:w="57" w:type="dxa"/>
            </w:tcMar>
            <w:vAlign w:val="center"/>
          </w:tcPr>
          <w:p>
            <w:pPr>
              <w:rPr>
                <w:rFonts w:hint="eastAsia" w:ascii="Times New Roman" w:hAnsi="Times New Roman" w:eastAsia="宋体" w:cs="Times New Roman"/>
                <w:color w:val="000000"/>
                <w:sz w:val="15"/>
                <w:szCs w:val="15"/>
                <w:lang w:eastAsia="zh-CN"/>
              </w:rPr>
            </w:pPr>
            <w:r>
              <w:rPr>
                <w:rFonts w:hint="eastAsia" w:ascii="Times New Roman" w:hAnsi="Times New Roman" w:eastAsia="宋体" w:cs="Times New Roman"/>
                <w:color w:val="000000"/>
                <w:sz w:val="13"/>
                <w:szCs w:val="13"/>
                <w:lang w:val="en-US" w:eastAsia="zh-CN"/>
              </w:rPr>
              <w:t>0</w:t>
            </w:r>
          </w:p>
        </w:tc>
        <w:tc>
          <w:tcPr>
            <w:tcW w:w="1446" w:type="dxa"/>
            <w:tcMar>
              <w:left w:w="57" w:type="dxa"/>
              <w:right w:w="57" w:type="dxa"/>
            </w:tcMar>
            <w:vAlign w:val="center"/>
          </w:tcPr>
          <w:p>
            <w:pPr>
              <w:jc w:val="cente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废气治理（万元）</w:t>
            </w:r>
          </w:p>
        </w:tc>
        <w:tc>
          <w:tcPr>
            <w:tcW w:w="1134" w:type="dxa"/>
            <w:tcMar>
              <w:left w:w="57" w:type="dxa"/>
              <w:right w:w="57" w:type="dxa"/>
            </w:tcMar>
            <w:vAlign w:val="center"/>
          </w:tcPr>
          <w:p>
            <w:pP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3"/>
                <w:szCs w:val="13"/>
                <w:lang w:val="en-US" w:eastAsia="zh-CN"/>
              </w:rPr>
              <w:t>20</w:t>
            </w:r>
          </w:p>
        </w:tc>
        <w:tc>
          <w:tcPr>
            <w:tcW w:w="1400" w:type="dxa"/>
            <w:gridSpan w:val="2"/>
            <w:tcMar>
              <w:left w:w="57" w:type="dxa"/>
              <w:right w:w="57" w:type="dxa"/>
            </w:tcMar>
            <w:vAlign w:val="center"/>
          </w:tcPr>
          <w:p>
            <w:pPr>
              <w:jc w:val="cente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噪声治理（万元）</w:t>
            </w:r>
          </w:p>
        </w:tc>
        <w:tc>
          <w:tcPr>
            <w:tcW w:w="443" w:type="dxa"/>
            <w:tcMar>
              <w:left w:w="57" w:type="dxa"/>
              <w:right w:w="57" w:type="dxa"/>
            </w:tcMar>
            <w:vAlign w:val="center"/>
          </w:tcPr>
          <w:p>
            <w:pP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1</w:t>
            </w:r>
          </w:p>
        </w:tc>
        <w:tc>
          <w:tcPr>
            <w:tcW w:w="2300" w:type="dxa"/>
            <w:gridSpan w:val="2"/>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固体废物治理（万元）</w:t>
            </w:r>
          </w:p>
        </w:tc>
        <w:tc>
          <w:tcPr>
            <w:tcW w:w="1952" w:type="dxa"/>
            <w:tcMar>
              <w:left w:w="57" w:type="dxa"/>
              <w:right w:w="57" w:type="dxa"/>
            </w:tcMar>
            <w:vAlign w:val="center"/>
          </w:tcPr>
          <w:p>
            <w:pPr>
              <w:jc w:val="left"/>
              <w:rPr>
                <w:rFonts w:hint="default" w:ascii="Times New Roman" w:hAnsi="Times New Roman" w:eastAsia="宋体" w:cs="Times New Roman"/>
                <w:bCs/>
                <w:sz w:val="13"/>
                <w:szCs w:val="13"/>
                <w:lang w:val="en-US" w:eastAsia="zh-CN"/>
              </w:rPr>
            </w:pPr>
            <w:r>
              <w:rPr>
                <w:rFonts w:hint="eastAsia" w:ascii="Times New Roman" w:hAnsi="Times New Roman" w:eastAsia="宋体" w:cs="Times New Roman"/>
                <w:bCs/>
                <w:sz w:val="13"/>
                <w:szCs w:val="13"/>
                <w:lang w:val="en-US" w:eastAsia="zh-CN"/>
              </w:rPr>
              <w:t>2</w:t>
            </w:r>
          </w:p>
        </w:tc>
        <w:tc>
          <w:tcPr>
            <w:tcW w:w="1701" w:type="dxa"/>
            <w:gridSpan w:val="2"/>
            <w:tcMar>
              <w:left w:w="57" w:type="dxa"/>
              <w:right w:w="57" w:type="dxa"/>
            </w:tcMar>
            <w:vAlign w:val="cente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绿化及生态（万元）</w:t>
            </w:r>
          </w:p>
        </w:tc>
        <w:tc>
          <w:tcPr>
            <w:tcW w:w="382" w:type="dxa"/>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color w:val="000000"/>
                <w:sz w:val="13"/>
                <w:szCs w:val="13"/>
              </w:rPr>
              <w:t>0</w:t>
            </w:r>
          </w:p>
        </w:tc>
        <w:tc>
          <w:tcPr>
            <w:tcW w:w="1102" w:type="dxa"/>
            <w:gridSpan w:val="2"/>
            <w:tcMar>
              <w:left w:w="57" w:type="dxa"/>
              <w:right w:w="57" w:type="dxa"/>
            </w:tcMar>
            <w:vAlign w:val="center"/>
          </w:tcPr>
          <w:p>
            <w:pPr>
              <w:jc w:val="cente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其他（万元）</w:t>
            </w:r>
          </w:p>
        </w:tc>
        <w:tc>
          <w:tcPr>
            <w:tcW w:w="794" w:type="dxa"/>
            <w:tcMar>
              <w:left w:w="57" w:type="dxa"/>
              <w:right w:w="57" w:type="dxa"/>
            </w:tcMar>
            <w:vAlign w:val="center"/>
          </w:tcPr>
          <w:p>
            <w:pPr>
              <w:rPr>
                <w:rFonts w:hint="eastAsia" w:ascii="Times New Roman" w:hAnsi="Times New Roman" w:eastAsia="宋体" w:cs="Times New Roman"/>
                <w:color w:val="000000"/>
                <w:sz w:val="15"/>
                <w:szCs w:val="15"/>
                <w:lang w:eastAsia="zh-CN"/>
              </w:rPr>
            </w:pPr>
            <w:r>
              <w:rPr>
                <w:rFonts w:hint="eastAsia" w:ascii="Times New Roman" w:hAnsi="Times New Roman" w:eastAsia="宋体" w:cs="Times New Roman"/>
                <w:color w:val="000000"/>
                <w:sz w:val="13"/>
                <w:szCs w:val="13"/>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新增废水处理设施能力</w:t>
            </w:r>
          </w:p>
        </w:tc>
        <w:tc>
          <w:tcPr>
            <w:tcW w:w="5251" w:type="dxa"/>
            <w:gridSpan w:val="6"/>
            <w:tcMar>
              <w:left w:w="57" w:type="dxa"/>
              <w:right w:w="57" w:type="dxa"/>
            </w:tcMar>
          </w:tcPr>
          <w:p>
            <w:pPr>
              <w:rPr>
                <w:rFonts w:hint="eastAsia"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w:t>
            </w:r>
          </w:p>
        </w:tc>
        <w:tc>
          <w:tcPr>
            <w:tcW w:w="2300" w:type="dxa"/>
            <w:gridSpan w:val="2"/>
            <w:tcMar>
              <w:left w:w="57" w:type="dxa"/>
              <w:right w:w="57" w:type="dxa"/>
            </w:tcMa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新增废气处理设施能力</w:t>
            </w:r>
          </w:p>
        </w:tc>
        <w:tc>
          <w:tcPr>
            <w:tcW w:w="1952" w:type="dxa"/>
            <w:tcMar>
              <w:left w:w="57" w:type="dxa"/>
              <w:right w:w="57" w:type="dxa"/>
            </w:tcMar>
          </w:tcPr>
          <w:p>
            <w:pPr>
              <w:jc w:val="left"/>
              <w:rPr>
                <w:rFonts w:hint="eastAsia" w:ascii="Times New Roman" w:hAnsi="Times New Roman" w:eastAsia="宋体" w:cs="Times New Roman"/>
                <w:bCs/>
                <w:sz w:val="13"/>
                <w:szCs w:val="13"/>
                <w:lang w:val="en-US" w:eastAsia="zh-CN"/>
              </w:rPr>
            </w:pPr>
            <w:r>
              <w:rPr>
                <w:rFonts w:hint="eastAsia" w:ascii="Times New Roman" w:hAnsi="Times New Roman" w:eastAsia="宋体" w:cs="Times New Roman"/>
                <w:bCs/>
                <w:sz w:val="13"/>
                <w:szCs w:val="13"/>
                <w:lang w:val="en-US" w:eastAsia="zh-CN"/>
              </w:rPr>
              <w:t>/</w:t>
            </w:r>
          </w:p>
        </w:tc>
        <w:tc>
          <w:tcPr>
            <w:tcW w:w="1701" w:type="dxa"/>
            <w:gridSpan w:val="2"/>
            <w:tcMar>
              <w:left w:w="57" w:type="dxa"/>
              <w:right w:w="57" w:type="dxa"/>
            </w:tcMa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年平均工作时间</w:t>
            </w:r>
          </w:p>
        </w:tc>
        <w:tc>
          <w:tcPr>
            <w:tcW w:w="2278" w:type="dxa"/>
            <w:gridSpan w:val="4"/>
            <w:tcMar>
              <w:left w:w="57" w:type="dxa"/>
              <w:right w:w="57" w:type="dxa"/>
            </w:tcMar>
          </w:tcPr>
          <w:p>
            <w:pP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3"/>
                <w:szCs w:val="13"/>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jc w:val="cente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运营单位</w:t>
            </w:r>
          </w:p>
        </w:tc>
        <w:tc>
          <w:tcPr>
            <w:tcW w:w="4259" w:type="dxa"/>
            <w:gridSpan w:val="4"/>
            <w:tcMar>
              <w:left w:w="57" w:type="dxa"/>
              <w:right w:w="57" w:type="dxa"/>
            </w:tcMar>
            <w:vAlign w:val="center"/>
          </w:tcPr>
          <w:p>
            <w:pPr>
              <w:rPr>
                <w:rFonts w:hint="eastAsia" w:ascii="Times New Roman" w:hAnsi="Times New Roman" w:eastAsia="宋体" w:cs="Times New Roman"/>
                <w:color w:val="000000"/>
                <w:sz w:val="15"/>
                <w:szCs w:val="15"/>
                <w:lang w:eastAsia="zh-CN"/>
              </w:rPr>
            </w:pPr>
            <w:r>
              <w:rPr>
                <w:rFonts w:hint="eastAsia" w:ascii="Times New Roman" w:hAnsi="Times New Roman" w:eastAsia="宋体" w:cs="Times New Roman"/>
                <w:color w:val="000000"/>
                <w:sz w:val="13"/>
                <w:szCs w:val="13"/>
                <w:lang w:eastAsia="zh-CN"/>
              </w:rPr>
              <w:t>浦江金理衣架有限公司</w:t>
            </w:r>
          </w:p>
        </w:tc>
        <w:tc>
          <w:tcPr>
            <w:tcW w:w="3292" w:type="dxa"/>
            <w:gridSpan w:val="4"/>
            <w:tcMar>
              <w:left w:w="57" w:type="dxa"/>
              <w:right w:w="57" w:type="dxa"/>
            </w:tcMar>
            <w:vAlign w:val="center"/>
          </w:tcPr>
          <w:p>
            <w:pPr>
              <w:jc w:val="cente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运营单位社会统一信用代码（或组织机构代码）</w:t>
            </w:r>
          </w:p>
        </w:tc>
        <w:tc>
          <w:tcPr>
            <w:tcW w:w="1952" w:type="dxa"/>
            <w:tcMar>
              <w:left w:w="57" w:type="dxa"/>
              <w:right w:w="57" w:type="dxa"/>
            </w:tcMar>
            <w:vAlign w:val="center"/>
          </w:tcPr>
          <w:p>
            <w:pPr>
              <w:jc w:val="left"/>
              <w:rPr>
                <w:rFonts w:hint="eastAsia" w:ascii="Times New Roman" w:hAnsi="Times New Roman" w:eastAsia="宋体" w:cs="Times New Roman"/>
                <w:bCs/>
                <w:sz w:val="13"/>
                <w:szCs w:val="13"/>
                <w:lang w:val="en-US" w:eastAsia="zh-CN"/>
              </w:rPr>
            </w:pPr>
            <w:r>
              <w:rPr>
                <w:rFonts w:hint="eastAsia" w:ascii="Times New Roman" w:hAnsi="Times New Roman" w:eastAsia="宋体" w:cs="Times New Roman"/>
                <w:bCs/>
                <w:sz w:val="13"/>
                <w:szCs w:val="13"/>
                <w:lang w:val="en-US" w:eastAsia="zh-CN"/>
              </w:rPr>
              <w:t>91330726307777500J</w:t>
            </w:r>
          </w:p>
        </w:tc>
        <w:tc>
          <w:tcPr>
            <w:tcW w:w="1701" w:type="dxa"/>
            <w:gridSpan w:val="2"/>
            <w:tcMar>
              <w:left w:w="57" w:type="dxa"/>
              <w:right w:w="57" w:type="dxa"/>
            </w:tcMa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验收时间</w:t>
            </w:r>
          </w:p>
        </w:tc>
        <w:tc>
          <w:tcPr>
            <w:tcW w:w="2278" w:type="dxa"/>
            <w:gridSpan w:val="4"/>
            <w:tcMar>
              <w:left w:w="57" w:type="dxa"/>
              <w:right w:w="57" w:type="dxa"/>
            </w:tcMar>
          </w:tcPr>
          <w:p>
            <w:pP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2022.12.17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snapToGrid w:val="0"/>
              <w:spacing w:line="312" w:lineRule="auto"/>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污染</w:t>
            </w:r>
          </w:p>
          <w:p>
            <w:pPr>
              <w:snapToGrid w:val="0"/>
              <w:spacing w:line="312" w:lineRule="auto"/>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物排</w:t>
            </w:r>
          </w:p>
          <w:p>
            <w:pPr>
              <w:snapToGrid w:val="0"/>
              <w:spacing w:line="312" w:lineRule="auto"/>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放达</w:t>
            </w:r>
          </w:p>
          <w:p>
            <w:pPr>
              <w:snapToGrid w:val="0"/>
              <w:spacing w:line="312" w:lineRule="auto"/>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标与</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总量</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控制（工</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业建</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设项</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目详填）</w:t>
            </w:r>
          </w:p>
        </w:tc>
        <w:tc>
          <w:tcPr>
            <w:tcW w:w="1796" w:type="dxa"/>
            <w:gridSpan w:val="2"/>
            <w:tcMar>
              <w:left w:w="57" w:type="dxa"/>
              <w:right w:w="57" w:type="dxa"/>
            </w:tcMar>
            <w:vAlign w:val="center"/>
          </w:tcPr>
          <w:p>
            <w:pPr>
              <w:snapToGrid w:val="0"/>
              <w:spacing w:line="312" w:lineRule="auto"/>
              <w:rPr>
                <w:rFonts w:ascii="Times New Roman" w:hAnsi="Times New Roman" w:cs="Times New Roman"/>
                <w:color w:val="000000"/>
                <w:sz w:val="15"/>
                <w:szCs w:val="15"/>
              </w:rPr>
            </w:pPr>
            <w:r>
              <w:rPr>
                <w:rFonts w:ascii="Times New Roman" w:hAnsi="Times New Roman" w:cs="Times New Roman"/>
                <w:b/>
                <w:color w:val="000000"/>
                <w:sz w:val="15"/>
                <w:szCs w:val="15"/>
              </w:rPr>
              <w:t>污染物</w:t>
            </w:r>
          </w:p>
        </w:tc>
        <w:tc>
          <w:tcPr>
            <w:tcW w:w="828" w:type="dxa"/>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原有排</w:t>
            </w:r>
          </w:p>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放量(1)</w:t>
            </w:r>
          </w:p>
        </w:tc>
        <w:tc>
          <w:tcPr>
            <w:tcW w:w="1446" w:type="dxa"/>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本期工程实际排放浓度(2)</w:t>
            </w:r>
          </w:p>
        </w:tc>
        <w:tc>
          <w:tcPr>
            <w:tcW w:w="1134" w:type="dxa"/>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本期工程允许排放浓度(3)</w:t>
            </w:r>
          </w:p>
        </w:tc>
        <w:tc>
          <w:tcPr>
            <w:tcW w:w="851" w:type="dxa"/>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本期工程产生量(4)</w:t>
            </w:r>
          </w:p>
        </w:tc>
        <w:tc>
          <w:tcPr>
            <w:tcW w:w="992" w:type="dxa"/>
            <w:gridSpan w:val="2"/>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本期工程自身削减量(5)</w:t>
            </w:r>
          </w:p>
        </w:tc>
        <w:tc>
          <w:tcPr>
            <w:tcW w:w="1282" w:type="dxa"/>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本期工程实际排放量(6)</w:t>
            </w:r>
          </w:p>
        </w:tc>
        <w:tc>
          <w:tcPr>
            <w:tcW w:w="1018" w:type="dxa"/>
            <w:tcMar>
              <w:left w:w="57" w:type="dxa"/>
              <w:right w:w="57" w:type="dxa"/>
            </w:tcMar>
            <w:vAlign w:val="center"/>
          </w:tcPr>
          <w:p>
            <w:pPr>
              <w:snapToGrid w:val="0"/>
              <w:spacing w:line="312"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本期工程核定排放总量(7)</w:t>
            </w:r>
          </w:p>
        </w:tc>
        <w:tc>
          <w:tcPr>
            <w:tcW w:w="1952" w:type="dxa"/>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本期工程“以新带老”削减量(8)</w:t>
            </w:r>
          </w:p>
        </w:tc>
        <w:tc>
          <w:tcPr>
            <w:tcW w:w="839" w:type="dxa"/>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全厂实际排放总量(9)</w:t>
            </w:r>
          </w:p>
        </w:tc>
        <w:tc>
          <w:tcPr>
            <w:tcW w:w="1244" w:type="dxa"/>
            <w:gridSpan w:val="2"/>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全厂核定排放总量(10)</w:t>
            </w:r>
          </w:p>
        </w:tc>
        <w:tc>
          <w:tcPr>
            <w:tcW w:w="1102" w:type="dxa"/>
            <w:gridSpan w:val="2"/>
            <w:tcMar>
              <w:left w:w="57" w:type="dxa"/>
              <w:right w:w="57" w:type="dxa"/>
            </w:tcMar>
            <w:vAlign w:val="center"/>
          </w:tcPr>
          <w:p>
            <w:pPr>
              <w:snapToGrid w:val="0"/>
              <w:spacing w:line="312" w:lineRule="auto"/>
              <w:rPr>
                <w:rFonts w:ascii="Times New Roman" w:hAnsi="Times New Roman" w:cs="Times New Roman"/>
                <w:b/>
                <w:color w:val="000000"/>
                <w:sz w:val="15"/>
                <w:szCs w:val="15"/>
              </w:rPr>
            </w:pPr>
            <w:r>
              <w:rPr>
                <w:rFonts w:ascii="Times New Roman" w:hAnsi="Times New Roman" w:cs="Times New Roman"/>
                <w:b/>
                <w:color w:val="000000"/>
                <w:sz w:val="15"/>
                <w:szCs w:val="15"/>
              </w:rPr>
              <w:t>区域平衡替代削减量(11)</w:t>
            </w:r>
          </w:p>
        </w:tc>
        <w:tc>
          <w:tcPr>
            <w:tcW w:w="794" w:type="dxa"/>
            <w:tcMar>
              <w:left w:w="57" w:type="dxa"/>
              <w:right w:w="57" w:type="dxa"/>
            </w:tcMar>
            <w:vAlign w:val="center"/>
          </w:tcPr>
          <w:p>
            <w:pPr>
              <w:snapToGrid w:val="0"/>
              <w:rPr>
                <w:rFonts w:ascii="Times New Roman" w:hAnsi="Times New Roman" w:cs="Times New Roman"/>
                <w:b/>
                <w:color w:val="000000"/>
                <w:sz w:val="15"/>
                <w:szCs w:val="15"/>
              </w:rPr>
            </w:pPr>
            <w:r>
              <w:rPr>
                <w:rFonts w:ascii="Times New Roman" w:hAnsi="Times New Roman" w:cs="Times New Roman"/>
                <w:b/>
                <w:color w:val="000000"/>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废水</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悬浮物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67</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400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化学需氧量</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kern w:val="2"/>
                <w:sz w:val="13"/>
                <w:szCs w:val="13"/>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156</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500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0.040</w:t>
            </w: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0.040</w:t>
            </w: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0.047</w:t>
            </w: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0.040</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0.047</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氨氮</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kern w:val="2"/>
                <w:sz w:val="13"/>
                <w:szCs w:val="13"/>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13.3</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35</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0.004</w:t>
            </w: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0.004</w:t>
            </w: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0.0047</w:t>
            </w: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0.004</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0.0047</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总磷</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2.12</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8</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动植物油类</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0.69</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100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非甲烷总烃</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5.75</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80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0.175</w:t>
            </w: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0.175</w:t>
            </w: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0.787</w:t>
            </w: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0.175</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0.787</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+0.175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二甲苯</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乙酸乙酯</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乙酸丁酯</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颗粒物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FF0000"/>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二氧化硫</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氮氧化物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color w:val="000000"/>
                <w:sz w:val="15"/>
                <w:szCs w:val="15"/>
              </w:rPr>
            </w:pPr>
          </w:p>
        </w:tc>
        <w:tc>
          <w:tcPr>
            <w:tcW w:w="1099" w:type="dxa"/>
            <w:tcMar>
              <w:left w:w="57" w:type="dxa"/>
              <w:right w:w="57" w:type="dxa"/>
            </w:tcMar>
          </w:tcPr>
          <w:p>
            <w:pPr>
              <w:snapToGrid w:val="0"/>
              <w:rPr>
                <w:color w:val="000000"/>
                <w:sz w:val="15"/>
                <w:szCs w:val="15"/>
              </w:rPr>
            </w:pPr>
            <w:r>
              <w:rPr>
                <w:b/>
                <w:color w:val="000000"/>
                <w:sz w:val="15"/>
                <w:szCs w:val="15"/>
              </w:rPr>
              <w:t>与项目有关的其</w:t>
            </w:r>
            <w:r>
              <w:rPr>
                <w:rFonts w:hint="eastAsia"/>
                <w:b/>
                <w:color w:val="000000"/>
                <w:sz w:val="15"/>
                <w:szCs w:val="15"/>
              </w:rPr>
              <w:t>他</w:t>
            </w:r>
            <w:r>
              <w:rPr>
                <w:b/>
                <w:color w:val="000000"/>
                <w:sz w:val="15"/>
                <w:szCs w:val="15"/>
              </w:rPr>
              <w:t>特征污染物</w:t>
            </w:r>
          </w:p>
        </w:tc>
        <w:tc>
          <w:tcPr>
            <w:tcW w:w="697" w:type="dxa"/>
            <w:tcMar>
              <w:left w:w="57" w:type="dxa"/>
              <w:right w:w="57" w:type="dxa"/>
            </w:tcMar>
            <w:vAlign w:val="center"/>
          </w:tcPr>
          <w:p>
            <w:pPr>
              <w:snapToGrid w:val="0"/>
              <w:spacing w:line="312" w:lineRule="auto"/>
              <w:rPr>
                <w:rFonts w:ascii="Times New Roman" w:hAnsi="Times New Roman" w:cs="Times New Roman"/>
                <w:color w:val="000000"/>
                <w:sz w:val="15"/>
                <w:szCs w:val="15"/>
                <w:vertAlign w:val="subscript"/>
              </w:rPr>
            </w:pPr>
            <w:r>
              <w:rPr>
                <w:rFonts w:ascii="Times New Roman" w:hAnsi="Times New Roman" w:cs="Times New Roman"/>
                <w:color w:val="000000"/>
                <w:sz w:val="15"/>
                <w:szCs w:val="15"/>
              </w:rPr>
              <w:t>VOC</w:t>
            </w:r>
            <w:r>
              <w:rPr>
                <w:rFonts w:ascii="Times New Roman" w:hAnsi="Times New Roman" w:cs="Times New Roman"/>
                <w:color w:val="000000"/>
                <w:sz w:val="15"/>
                <w:szCs w:val="15"/>
                <w:vertAlign w:val="subscript"/>
              </w:rPr>
              <w:t>S</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5.75</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80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0.175</w:t>
            </w: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0.175</w:t>
            </w: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0.787</w:t>
            </w: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0.175</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0.787</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+0.175</w:t>
            </w:r>
          </w:p>
        </w:tc>
      </w:tr>
      <w:bookmarkEnd w:id="120"/>
    </w:tbl>
    <w:p>
      <w:pPr>
        <w:rPr>
          <w:rFonts w:ascii="Times New Roman" w:hAnsi="Times New Roman"/>
          <w:sz w:val="18"/>
          <w:szCs w:val="18"/>
        </w:rPr>
      </w:pPr>
      <w:r>
        <w:rPr>
          <w:rFonts w:hint="eastAsia" w:ascii="Times New Roman" w:hAnsi="Times New Roman"/>
          <w:sz w:val="18"/>
          <w:szCs w:val="18"/>
        </w:rPr>
        <w:t>注：</w:t>
      </w:r>
      <w:r>
        <w:rPr>
          <w:rFonts w:ascii="Times New Roman" w:hAnsi="Times New Roman"/>
          <w:sz w:val="18"/>
          <w:szCs w:val="18"/>
        </w:rPr>
        <w:t>1</w:t>
      </w:r>
      <w:r>
        <w:rPr>
          <w:rFonts w:hint="eastAsia" w:ascii="Times New Roman" w:hAnsi="Times New Roman"/>
          <w:sz w:val="18"/>
          <w:szCs w:val="18"/>
        </w:rPr>
        <w:t>、排放增减量：（</w:t>
      </w:r>
      <w:r>
        <w:rPr>
          <w:rFonts w:ascii="Times New Roman" w:hAnsi="Times New Roman"/>
          <w:sz w:val="18"/>
          <w:szCs w:val="18"/>
        </w:rPr>
        <w:t>+</w:t>
      </w:r>
      <w:r>
        <w:rPr>
          <w:rFonts w:hint="eastAsia" w:ascii="Times New Roman" w:hAnsi="Times New Roman"/>
          <w:sz w:val="18"/>
          <w:szCs w:val="18"/>
        </w:rPr>
        <w:t>）表示增加，（</w:t>
      </w:r>
      <w:r>
        <w:rPr>
          <w:rFonts w:ascii="Times New Roman" w:hAnsi="Times New Roman"/>
          <w:sz w:val="18"/>
          <w:szCs w:val="18"/>
        </w:rPr>
        <w:t>-</w:t>
      </w:r>
      <w:r>
        <w:rPr>
          <w:rFonts w:hint="eastAsia" w:ascii="Times New Roman" w:hAnsi="Times New Roman"/>
          <w:sz w:val="18"/>
          <w:szCs w:val="18"/>
        </w:rPr>
        <w:t>）表示减少；</w:t>
      </w: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12</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6</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9</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5</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w:t>
      </w:r>
      <w:r>
        <w:rPr>
          <w:rFonts w:hint="eastAsia" w:ascii="Times New Roman" w:hAnsi="Times New Roman"/>
          <w:sz w:val="18"/>
          <w:szCs w:val="18"/>
        </w:rPr>
        <w:t>）；</w:t>
      </w:r>
      <w:r>
        <w:rPr>
          <w:rFonts w:ascii="Times New Roman" w:hAnsi="Times New Roman"/>
          <w:sz w:val="18"/>
          <w:szCs w:val="18"/>
        </w:rPr>
        <w:t>3</w:t>
      </w:r>
      <w:r>
        <w:rPr>
          <w:rFonts w:hint="eastAsia" w:ascii="Times New Roman" w:hAnsi="Times New Roman"/>
          <w:sz w:val="18"/>
          <w:szCs w:val="18"/>
        </w:rPr>
        <w:t>、计量单位：废水排放量</w:t>
      </w:r>
      <w:r>
        <w:rPr>
          <w:rFonts w:ascii="Times New Roman" w:hAnsi="Times New Roman"/>
          <w:sz w:val="18"/>
          <w:szCs w:val="18"/>
        </w:rPr>
        <w:t>——</w:t>
      </w:r>
      <w:r>
        <w:rPr>
          <w:rFonts w:hint="eastAsia" w:ascii="Times New Roman" w:hAnsi="Times New Roman"/>
          <w:sz w:val="18"/>
          <w:szCs w:val="18"/>
        </w:rPr>
        <w:t>万吨</w:t>
      </w:r>
      <w:r>
        <w:rPr>
          <w:rFonts w:ascii="Times New Roman" w:hAnsi="Times New Roman"/>
          <w:sz w:val="18"/>
          <w:szCs w:val="18"/>
        </w:rPr>
        <w:t>/</w:t>
      </w:r>
      <w:r>
        <w:rPr>
          <w:rFonts w:hint="eastAsia" w:ascii="Times New Roman" w:hAnsi="Times New Roman"/>
          <w:sz w:val="18"/>
          <w:szCs w:val="18"/>
        </w:rPr>
        <w:t>年；废气排放量</w:t>
      </w:r>
      <w:r>
        <w:rPr>
          <w:rFonts w:ascii="Times New Roman" w:hAnsi="Times New Roman"/>
          <w:sz w:val="18"/>
          <w:szCs w:val="18"/>
        </w:rPr>
        <w:t>——</w:t>
      </w:r>
      <w:r>
        <w:rPr>
          <w:rFonts w:hint="eastAsia" w:ascii="Times New Roman" w:hAnsi="Times New Roman"/>
          <w:sz w:val="18"/>
          <w:szCs w:val="18"/>
        </w:rPr>
        <w:t>万标立方米</w:t>
      </w:r>
      <w:r>
        <w:rPr>
          <w:rFonts w:ascii="Times New Roman" w:hAnsi="Times New Roman"/>
          <w:sz w:val="18"/>
          <w:szCs w:val="18"/>
        </w:rPr>
        <w:t>/</w:t>
      </w:r>
      <w:r>
        <w:rPr>
          <w:rFonts w:hint="eastAsia" w:ascii="Times New Roman" w:hAnsi="Times New Roman"/>
          <w:sz w:val="18"/>
          <w:szCs w:val="18"/>
        </w:rPr>
        <w:t>年；水污染物排放浓度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升；大气污染物排放浓度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立方米；水污染物排放量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年；大气污染物排放量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w:t>
      </w:r>
      <w:r>
        <w:rPr>
          <w:rFonts w:hint="eastAsia" w:ascii="Times New Roman" w:hAnsi="Times New Roman" w:eastAsia="黑体"/>
          <w:sz w:val="28"/>
          <w:szCs w:val="28"/>
        </w:rPr>
        <w:t xml:space="preserve"> </w:t>
      </w: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tabs>
          <w:tab w:val="left" w:pos="9351"/>
        </w:tabs>
        <w:rPr>
          <w:rFonts w:ascii="Times New Roman" w:hAnsi="Times New Roman"/>
          <w:sz w:val="18"/>
          <w:szCs w:val="18"/>
        </w:rPr>
      </w:pPr>
      <w:r>
        <w:rPr>
          <w:rFonts w:ascii="Times New Roman" w:hAnsi="Times New Roman"/>
          <w:sz w:val="18"/>
          <w:szCs w:val="18"/>
        </w:rPr>
        <w:tab/>
      </w:r>
    </w:p>
    <w:p>
      <w:pPr>
        <w:tabs>
          <w:tab w:val="left" w:pos="9351"/>
        </w:tabs>
        <w:rPr>
          <w:rFonts w:ascii="Times New Roman" w:hAnsi="Times New Roman" w:eastAsia="黑体"/>
          <w:sz w:val="28"/>
          <w:szCs w:val="28"/>
        </w:rPr>
        <w:sectPr>
          <w:headerReference r:id="rId10" w:type="default"/>
          <w:footerReference r:id="rId11" w:type="default"/>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ascii="Times New Roman" w:hAnsi="Times New Roman" w:eastAsia="黑体"/>
          <w:sz w:val="28"/>
          <w:szCs w:val="28"/>
        </w:rPr>
        <w:tab/>
      </w:r>
    </w:p>
    <w:p>
      <w:pPr>
        <w:pStyle w:val="4"/>
        <w:adjustRightInd w:val="0"/>
        <w:snapToGrid w:val="0"/>
        <w:spacing w:before="0" w:after="0" w:line="240" w:lineRule="auto"/>
        <w:rPr>
          <w:rFonts w:eastAsiaTheme="majorEastAsia" w:cstheme="majorBidi"/>
          <w:bCs w:val="0"/>
          <w:sz w:val="32"/>
          <w:szCs w:val="32"/>
        </w:rPr>
      </w:pPr>
      <w:bookmarkStart w:id="121" w:name="_Toc1272"/>
      <w:r>
        <w:rPr>
          <w:rFonts w:hint="eastAsia" w:eastAsiaTheme="majorEastAsia" w:cstheme="majorBidi"/>
          <w:bCs w:val="0"/>
          <w:sz w:val="32"/>
          <w:szCs w:val="32"/>
        </w:rPr>
        <w:t>附件2</w:t>
      </w:r>
      <w:r>
        <w:rPr>
          <w:rFonts w:eastAsiaTheme="majorEastAsia" w:cstheme="majorBidi"/>
          <w:bCs w:val="0"/>
          <w:sz w:val="32"/>
          <w:szCs w:val="32"/>
        </w:rPr>
        <w:t xml:space="preserve"> </w:t>
      </w:r>
      <w:r>
        <w:rPr>
          <w:rFonts w:hint="eastAsia" w:eastAsiaTheme="majorEastAsia" w:cstheme="majorBidi"/>
          <w:bCs w:val="0"/>
          <w:sz w:val="32"/>
          <w:szCs w:val="32"/>
        </w:rPr>
        <w:t>环评批复</w:t>
      </w:r>
      <w:bookmarkEnd w:id="121"/>
    </w:p>
    <w:p>
      <w:pPr>
        <w:jc w:val="center"/>
        <w:rPr>
          <w:rFonts w:hint="eastAsia" w:eastAsiaTheme="majorEastAsia" w:cstheme="majorBidi"/>
          <w:bCs/>
          <w:sz w:val="32"/>
          <w:szCs w:val="32"/>
          <w:lang w:eastAsia="zh-CN"/>
        </w:rPr>
      </w:pPr>
      <w:r>
        <w:rPr>
          <w:rFonts w:hint="eastAsia" w:eastAsiaTheme="majorEastAsia" w:cstheme="majorBidi"/>
          <w:bCs/>
          <w:sz w:val="32"/>
          <w:szCs w:val="32"/>
          <w:lang w:eastAsia="zh-CN"/>
        </w:rPr>
        <w:drawing>
          <wp:inline distT="0" distB="0" distL="114300" distR="114300">
            <wp:extent cx="5267325" cy="7593330"/>
            <wp:effectExtent l="0" t="0" r="9525" b="7620"/>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25"/>
                    <a:stretch>
                      <a:fillRect/>
                    </a:stretch>
                  </pic:blipFill>
                  <pic:spPr>
                    <a:xfrm>
                      <a:off x="0" y="0"/>
                      <a:ext cx="5267325" cy="7593330"/>
                    </a:xfrm>
                    <a:prstGeom prst="rect">
                      <a:avLst/>
                    </a:prstGeom>
                  </pic:spPr>
                </pic:pic>
              </a:graphicData>
            </a:graphic>
          </wp:inline>
        </w:drawing>
      </w:r>
      <w:r>
        <w:rPr>
          <w:rFonts w:hint="eastAsia" w:eastAsiaTheme="majorEastAsia" w:cstheme="majorBidi"/>
          <w:bCs/>
          <w:sz w:val="32"/>
          <w:szCs w:val="32"/>
          <w:lang w:eastAsia="zh-CN"/>
        </w:rPr>
        <w:drawing>
          <wp:inline distT="0" distB="0" distL="114300" distR="114300">
            <wp:extent cx="5266690" cy="8027035"/>
            <wp:effectExtent l="0" t="0" r="10160" b="1206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26"/>
                    <a:stretch>
                      <a:fillRect/>
                    </a:stretch>
                  </pic:blipFill>
                  <pic:spPr>
                    <a:xfrm>
                      <a:off x="0" y="0"/>
                      <a:ext cx="5266690" cy="8027035"/>
                    </a:xfrm>
                    <a:prstGeom prst="rect">
                      <a:avLst/>
                    </a:prstGeom>
                  </pic:spPr>
                </pic:pic>
              </a:graphicData>
            </a:graphic>
          </wp:inline>
        </w:drawing>
      </w:r>
      <w:r>
        <w:rPr>
          <w:rFonts w:hint="eastAsia" w:eastAsiaTheme="majorEastAsia" w:cstheme="majorBidi"/>
          <w:bCs/>
          <w:sz w:val="32"/>
          <w:szCs w:val="32"/>
          <w:lang w:eastAsia="zh-CN"/>
        </w:rPr>
        <w:drawing>
          <wp:inline distT="0" distB="0" distL="114300" distR="114300">
            <wp:extent cx="5270500" cy="8020685"/>
            <wp:effectExtent l="0" t="0" r="6350" b="18415"/>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27"/>
                    <a:stretch>
                      <a:fillRect/>
                    </a:stretch>
                  </pic:blipFill>
                  <pic:spPr>
                    <a:xfrm>
                      <a:off x="0" y="0"/>
                      <a:ext cx="5270500" cy="8020685"/>
                    </a:xfrm>
                    <a:prstGeom prst="rect">
                      <a:avLst/>
                    </a:prstGeom>
                  </pic:spPr>
                </pic:pic>
              </a:graphicData>
            </a:graphic>
          </wp:inline>
        </w:drawing>
      </w:r>
    </w:p>
    <w:p>
      <w:pPr>
        <w:rPr>
          <w:rFonts w:eastAsiaTheme="majorEastAsia" w:cstheme="majorBidi"/>
          <w:bCs/>
          <w:sz w:val="32"/>
          <w:szCs w:val="32"/>
        </w:rPr>
        <w:sectPr>
          <w:footerReference r:id="rId12" w:type="default"/>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adjustRightInd w:val="0"/>
        <w:snapToGrid w:val="0"/>
        <w:spacing w:before="0" w:after="0" w:line="240" w:lineRule="auto"/>
        <w:rPr>
          <w:rFonts w:hint="eastAsia" w:eastAsiaTheme="majorEastAsia" w:cstheme="majorBidi"/>
          <w:b w:val="0"/>
          <w:sz w:val="32"/>
          <w:szCs w:val="32"/>
          <w:lang w:eastAsia="zh-CN"/>
        </w:rPr>
      </w:pPr>
      <w:bookmarkStart w:id="122" w:name="_Toc25664"/>
      <w:r>
        <w:rPr>
          <w:rFonts w:hint="eastAsia" w:eastAsiaTheme="majorEastAsia" w:cstheme="majorBidi"/>
          <w:bCs w:val="0"/>
          <w:sz w:val="32"/>
          <w:szCs w:val="32"/>
        </w:rPr>
        <w:t>附件3</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排污许可证</w:t>
      </w:r>
      <w:bookmarkEnd w:id="122"/>
    </w:p>
    <w:p>
      <w:pPr>
        <w:pStyle w:val="4"/>
        <w:adjustRightInd w:val="0"/>
        <w:snapToGrid w:val="0"/>
        <w:spacing w:before="0" w:after="0" w:line="240" w:lineRule="auto"/>
        <w:rPr>
          <w:rFonts w:hint="eastAsia" w:eastAsiaTheme="majorEastAsia" w:cstheme="majorBidi"/>
          <w:bCs w:val="0"/>
          <w:sz w:val="32"/>
          <w:szCs w:val="32"/>
        </w:rPr>
      </w:pPr>
    </w:p>
    <w:p>
      <w:pPr>
        <w:rPr>
          <w:rFonts w:hint="eastAsia" w:eastAsiaTheme="minor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eastAsiaTheme="minorEastAsia"/>
          <w:lang w:eastAsia="zh-CN"/>
        </w:rPr>
        <w:drawing>
          <wp:inline distT="0" distB="0" distL="114300" distR="114300">
            <wp:extent cx="5260340" cy="7440295"/>
            <wp:effectExtent l="0" t="0" r="16510" b="8255"/>
            <wp:docPr id="1" name="图片 1" descr="c6779e6b9f8c465cba48b912b088dcf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779e6b9f8c465cba48b912b088dcf5_1"/>
                    <pic:cNvPicPr>
                      <a:picLocks noChangeAspect="1"/>
                    </pic:cNvPicPr>
                  </pic:nvPicPr>
                  <pic:blipFill>
                    <a:blip r:embed="rId28"/>
                    <a:stretch>
                      <a:fillRect/>
                    </a:stretch>
                  </pic:blipFill>
                  <pic:spPr>
                    <a:xfrm>
                      <a:off x="0" y="0"/>
                      <a:ext cx="5260340" cy="7440295"/>
                    </a:xfrm>
                    <a:prstGeom prst="rect">
                      <a:avLst/>
                    </a:prstGeom>
                  </pic:spPr>
                </pic:pic>
              </a:graphicData>
            </a:graphic>
          </wp:inline>
        </w:drawing>
      </w:r>
    </w:p>
    <w:p>
      <w:pPr>
        <w:pStyle w:val="4"/>
        <w:adjustRightInd w:val="0"/>
        <w:snapToGrid w:val="0"/>
        <w:spacing w:before="0" w:after="0" w:line="240" w:lineRule="auto"/>
        <w:rPr>
          <w:rFonts w:hint="eastAsia" w:eastAsiaTheme="majorEastAsia" w:cstheme="majorBidi"/>
          <w:bCs w:val="0"/>
          <w:sz w:val="32"/>
          <w:szCs w:val="32"/>
        </w:rPr>
      </w:pPr>
      <w:bookmarkStart w:id="123" w:name="_Toc27125"/>
      <w:r>
        <w:rPr>
          <w:rFonts w:hint="eastAsia" w:eastAsiaTheme="majorEastAsia" w:cstheme="majorBidi"/>
          <w:bCs w:val="0"/>
          <w:sz w:val="32"/>
          <w:szCs w:val="32"/>
        </w:rPr>
        <w:t>附件</w:t>
      </w:r>
      <w:r>
        <w:rPr>
          <w:rFonts w:hint="eastAsia" w:eastAsiaTheme="majorEastAsia" w:cstheme="majorBidi"/>
          <w:bCs w:val="0"/>
          <w:sz w:val="32"/>
          <w:szCs w:val="32"/>
          <w:lang w:val="en-US" w:eastAsia="zh-CN"/>
        </w:rPr>
        <w:t>4</w:t>
      </w:r>
      <w:r>
        <w:rPr>
          <w:rFonts w:eastAsiaTheme="majorEastAsia" w:cstheme="majorBidi"/>
          <w:bCs w:val="0"/>
          <w:sz w:val="32"/>
          <w:szCs w:val="32"/>
        </w:rPr>
        <w:t xml:space="preserve"> </w:t>
      </w:r>
      <w:r>
        <w:rPr>
          <w:rFonts w:hint="eastAsia" w:eastAsiaTheme="majorEastAsia" w:cstheme="majorBidi"/>
          <w:bCs w:val="0"/>
          <w:sz w:val="32"/>
          <w:szCs w:val="32"/>
        </w:rPr>
        <w:t>固废处置协议</w:t>
      </w:r>
      <w:bookmarkEnd w:id="123"/>
    </w:p>
    <w:p>
      <w:pPr>
        <w:rPr>
          <w:rFonts w:hint="eastAsia" w:eastAsiaTheme="major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eastAsiaTheme="majorEastAsia"/>
          <w:lang w:eastAsia="zh-CN"/>
        </w:rPr>
        <w:drawing>
          <wp:inline distT="0" distB="0" distL="114300" distR="114300">
            <wp:extent cx="5266690" cy="7560310"/>
            <wp:effectExtent l="0" t="0" r="10160" b="2540"/>
            <wp:docPr id="25" name="图片 25" descr="微信图片_202305101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0510195801"/>
                    <pic:cNvPicPr>
                      <a:picLocks noChangeAspect="1"/>
                    </pic:cNvPicPr>
                  </pic:nvPicPr>
                  <pic:blipFill>
                    <a:blip r:embed="rId29"/>
                    <a:stretch>
                      <a:fillRect/>
                    </a:stretch>
                  </pic:blipFill>
                  <pic:spPr>
                    <a:xfrm>
                      <a:off x="0" y="0"/>
                      <a:ext cx="5266690" cy="7560310"/>
                    </a:xfrm>
                    <a:prstGeom prst="rect">
                      <a:avLst/>
                    </a:prstGeom>
                  </pic:spPr>
                </pic:pic>
              </a:graphicData>
            </a:graphic>
          </wp:inline>
        </w:drawing>
      </w:r>
      <w:r>
        <w:rPr>
          <w:rFonts w:hint="eastAsia" w:eastAsiaTheme="majorEastAsia"/>
          <w:lang w:eastAsia="zh-CN"/>
        </w:rPr>
        <w:drawing>
          <wp:inline distT="0" distB="0" distL="114300" distR="114300">
            <wp:extent cx="5268595" cy="7216140"/>
            <wp:effectExtent l="0" t="0" r="8255" b="3810"/>
            <wp:docPr id="21" name="图片 21" descr="微信图片_2023051019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510195802"/>
                    <pic:cNvPicPr>
                      <a:picLocks noChangeAspect="1"/>
                    </pic:cNvPicPr>
                  </pic:nvPicPr>
                  <pic:blipFill>
                    <a:blip r:embed="rId30"/>
                    <a:stretch>
                      <a:fillRect/>
                    </a:stretch>
                  </pic:blipFill>
                  <pic:spPr>
                    <a:xfrm>
                      <a:off x="0" y="0"/>
                      <a:ext cx="5268595" cy="7216140"/>
                    </a:xfrm>
                    <a:prstGeom prst="rect">
                      <a:avLst/>
                    </a:prstGeom>
                  </pic:spPr>
                </pic:pic>
              </a:graphicData>
            </a:graphic>
          </wp:inline>
        </w:drawing>
      </w:r>
      <w:r>
        <w:rPr>
          <w:rFonts w:hint="eastAsia" w:eastAsiaTheme="majorEastAsia"/>
          <w:lang w:eastAsia="zh-CN"/>
        </w:rPr>
        <w:drawing>
          <wp:inline distT="0" distB="0" distL="114300" distR="114300">
            <wp:extent cx="5260340" cy="7287895"/>
            <wp:effectExtent l="0" t="0" r="16510" b="8255"/>
            <wp:docPr id="20" name="图片 20" descr="微信图片_20230510195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05101958021"/>
                    <pic:cNvPicPr>
                      <a:picLocks noChangeAspect="1"/>
                    </pic:cNvPicPr>
                  </pic:nvPicPr>
                  <pic:blipFill>
                    <a:blip r:embed="rId31"/>
                    <a:stretch>
                      <a:fillRect/>
                    </a:stretch>
                  </pic:blipFill>
                  <pic:spPr>
                    <a:xfrm>
                      <a:off x="0" y="0"/>
                      <a:ext cx="5260340" cy="7287895"/>
                    </a:xfrm>
                    <a:prstGeom prst="rect">
                      <a:avLst/>
                    </a:prstGeom>
                  </pic:spPr>
                </pic:pic>
              </a:graphicData>
            </a:graphic>
          </wp:inline>
        </w:drawing>
      </w:r>
    </w:p>
    <w:p>
      <w:pPr>
        <w:pStyle w:val="4"/>
        <w:adjustRightInd w:val="0"/>
        <w:snapToGrid w:val="0"/>
        <w:spacing w:before="0" w:after="0" w:line="240" w:lineRule="auto"/>
        <w:rPr>
          <w:rFonts w:eastAsiaTheme="majorEastAsia" w:cstheme="majorBidi"/>
          <w:bCs w:val="0"/>
          <w:sz w:val="32"/>
          <w:szCs w:val="32"/>
        </w:rPr>
      </w:pPr>
      <w:bookmarkStart w:id="124" w:name="_Toc5085"/>
      <w:r>
        <w:rPr>
          <w:rFonts w:hint="eastAsia" w:eastAsiaTheme="majorEastAsia" w:cstheme="majorBidi"/>
          <w:bCs w:val="0"/>
          <w:sz w:val="32"/>
          <w:szCs w:val="32"/>
        </w:rPr>
        <w:t>附件</w:t>
      </w:r>
      <w:r>
        <w:rPr>
          <w:rFonts w:hint="eastAsia" w:eastAsiaTheme="majorEastAsia" w:cstheme="majorBidi"/>
          <w:bCs w:val="0"/>
          <w:sz w:val="32"/>
          <w:szCs w:val="32"/>
          <w:lang w:val="en-US" w:eastAsia="zh-CN"/>
        </w:rPr>
        <w:t>5</w:t>
      </w:r>
      <w:r>
        <w:rPr>
          <w:rFonts w:eastAsiaTheme="majorEastAsia" w:cstheme="majorBidi"/>
          <w:bCs w:val="0"/>
          <w:sz w:val="32"/>
          <w:szCs w:val="32"/>
        </w:rPr>
        <w:t xml:space="preserve"> </w:t>
      </w:r>
      <w:r>
        <w:rPr>
          <w:rFonts w:hint="eastAsia" w:eastAsiaTheme="majorEastAsia" w:cstheme="majorBidi"/>
          <w:bCs w:val="0"/>
          <w:sz w:val="32"/>
          <w:szCs w:val="32"/>
        </w:rPr>
        <w:t>验收期间生产工况</w:t>
      </w:r>
      <w:bookmarkEnd w:id="124"/>
    </w:p>
    <w:p>
      <w:pPr>
        <w:pStyle w:val="2"/>
        <w:rPr>
          <w:rFonts w:hint="eastAsia" w:eastAsiaTheme="minor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eastAsiaTheme="minorEastAsia"/>
          <w:lang w:eastAsia="zh-CN"/>
        </w:rPr>
        <w:drawing>
          <wp:inline distT="0" distB="0" distL="114300" distR="114300">
            <wp:extent cx="5267325" cy="6468745"/>
            <wp:effectExtent l="0" t="0" r="9525" b="8255"/>
            <wp:docPr id="33" name="图片 33" descr="工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工况"/>
                    <pic:cNvPicPr>
                      <a:picLocks noChangeAspect="1"/>
                    </pic:cNvPicPr>
                  </pic:nvPicPr>
                  <pic:blipFill>
                    <a:blip r:embed="rId32"/>
                    <a:stretch>
                      <a:fillRect/>
                    </a:stretch>
                  </pic:blipFill>
                  <pic:spPr>
                    <a:xfrm>
                      <a:off x="0" y="0"/>
                      <a:ext cx="5267325" cy="6468745"/>
                    </a:xfrm>
                    <a:prstGeom prst="rect">
                      <a:avLst/>
                    </a:prstGeom>
                  </pic:spPr>
                </pic:pic>
              </a:graphicData>
            </a:graphic>
          </wp:inline>
        </w:drawing>
      </w:r>
    </w:p>
    <w:p>
      <w:pPr>
        <w:pStyle w:val="4"/>
        <w:adjustRightInd w:val="0"/>
        <w:snapToGrid w:val="0"/>
        <w:spacing w:before="0" w:after="0" w:line="240" w:lineRule="auto"/>
        <w:rPr>
          <w:rFonts w:hint="default" w:eastAsiaTheme="majorEastAsia" w:cstheme="majorBidi"/>
          <w:bCs w:val="0"/>
          <w:sz w:val="32"/>
          <w:szCs w:val="32"/>
          <w:lang w:val="en-US" w:eastAsia="zh-CN"/>
        </w:rPr>
      </w:pPr>
      <w:bookmarkStart w:id="125" w:name="_Toc13310"/>
      <w:r>
        <w:rPr>
          <w:rFonts w:hint="eastAsia" w:eastAsiaTheme="majorEastAsia" w:cstheme="majorBidi"/>
          <w:bCs w:val="0"/>
          <w:sz w:val="32"/>
          <w:szCs w:val="32"/>
        </w:rPr>
        <w:t>附件</w:t>
      </w:r>
      <w:r>
        <w:rPr>
          <w:rFonts w:hint="eastAsia" w:eastAsiaTheme="majorEastAsia" w:cstheme="majorBidi"/>
          <w:bCs w:val="0"/>
          <w:sz w:val="32"/>
          <w:szCs w:val="32"/>
          <w:lang w:val="en-US" w:eastAsia="zh-CN"/>
        </w:rPr>
        <w:t>6</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验收公示截图</w:t>
      </w:r>
      <w:bookmarkEnd w:id="125"/>
    </w:p>
    <w:p>
      <w:pPr>
        <w:pStyle w:val="4"/>
        <w:adjustRightInd w:val="0"/>
        <w:snapToGrid w:val="0"/>
        <w:spacing w:before="0" w:after="0" w:line="240" w:lineRule="auto"/>
        <w:rPr>
          <w:rFonts w:hint="eastAsia" w:eastAsiaTheme="majorEastAsia" w:cstheme="majorBidi"/>
          <w:bCs w:val="0"/>
          <w:sz w:val="32"/>
          <w:szCs w:val="32"/>
          <w:lang w:eastAsia="zh-CN"/>
        </w:rPr>
      </w:pPr>
    </w:p>
    <w:p>
      <w:pPr>
        <w:pStyle w:val="4"/>
        <w:adjustRightInd w:val="0"/>
        <w:snapToGrid w:val="0"/>
        <w:spacing w:before="0" w:after="0" w:line="240" w:lineRule="auto"/>
        <w:rPr>
          <w:rFonts w:hint="eastAsia" w:eastAsiaTheme="majorEastAsia" w:cstheme="majorBidi"/>
          <w:bCs w:val="0"/>
          <w:sz w:val="32"/>
          <w:szCs w:val="32"/>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adjustRightInd w:val="0"/>
        <w:snapToGrid w:val="0"/>
        <w:spacing w:before="0" w:after="0" w:line="240" w:lineRule="auto"/>
        <w:rPr>
          <w:rFonts w:eastAsiaTheme="majorEastAsia" w:cstheme="majorBidi"/>
          <w:bCs w:val="0"/>
          <w:sz w:val="32"/>
          <w:szCs w:val="32"/>
        </w:rPr>
      </w:pPr>
      <w:bookmarkStart w:id="126" w:name="_Toc19771"/>
      <w:r>
        <w:rPr>
          <w:rFonts w:hint="eastAsia" w:eastAsiaTheme="majorEastAsia" w:cstheme="majorBidi"/>
          <w:bCs w:val="0"/>
          <w:sz w:val="32"/>
          <w:szCs w:val="32"/>
        </w:rPr>
        <w:t>附件</w:t>
      </w:r>
      <w:r>
        <w:rPr>
          <w:rFonts w:hint="eastAsia" w:eastAsiaTheme="majorEastAsia" w:cstheme="majorBidi"/>
          <w:bCs w:val="0"/>
          <w:sz w:val="32"/>
          <w:szCs w:val="32"/>
          <w:lang w:val="en-US" w:eastAsia="zh-CN"/>
        </w:rPr>
        <w:t>7</w:t>
      </w:r>
      <w:r>
        <w:rPr>
          <w:rFonts w:eastAsiaTheme="majorEastAsia" w:cstheme="majorBidi"/>
          <w:bCs w:val="0"/>
          <w:sz w:val="32"/>
          <w:szCs w:val="32"/>
        </w:rPr>
        <w:t xml:space="preserve"> </w:t>
      </w:r>
      <w:r>
        <w:rPr>
          <w:rFonts w:hint="eastAsia" w:eastAsiaTheme="majorEastAsia" w:cstheme="majorBidi"/>
          <w:bCs w:val="0"/>
          <w:sz w:val="32"/>
          <w:szCs w:val="32"/>
        </w:rPr>
        <w:t>验收意见及签到表</w:t>
      </w:r>
      <w:bookmarkEnd w:id="126"/>
    </w:p>
    <w:p>
      <w:pPr>
        <w:pStyle w:val="2"/>
        <w:rPr>
          <w:rFonts w:hint="eastAsia" w:eastAsiaTheme="majorEastAsia" w:cstheme="majorBidi"/>
          <w:bCs/>
          <w:sz w:val="32"/>
          <w:szCs w:val="32"/>
          <w:lang w:eastAsia="zh-CN"/>
        </w:rPr>
      </w:pPr>
      <w:r>
        <w:rPr>
          <w:rFonts w:hint="eastAsia" w:eastAsiaTheme="majorEastAsia" w:cstheme="majorBidi"/>
          <w:bCs/>
          <w:sz w:val="32"/>
          <w:szCs w:val="32"/>
          <w:lang w:eastAsia="zh-CN"/>
        </w:rPr>
        <w:drawing>
          <wp:inline distT="0" distB="0" distL="114300" distR="114300">
            <wp:extent cx="5267960" cy="7444105"/>
            <wp:effectExtent l="0" t="0" r="8890" b="4445"/>
            <wp:docPr id="41" name="图片 41" descr="MX-B4621R_20230510_2131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X-B4621R_20230510_213141_00"/>
                    <pic:cNvPicPr>
                      <a:picLocks noChangeAspect="1"/>
                    </pic:cNvPicPr>
                  </pic:nvPicPr>
                  <pic:blipFill>
                    <a:blip r:embed="rId33"/>
                    <a:stretch>
                      <a:fillRect/>
                    </a:stretch>
                  </pic:blipFill>
                  <pic:spPr>
                    <a:xfrm>
                      <a:off x="0" y="0"/>
                      <a:ext cx="5267960" cy="7444105"/>
                    </a:xfrm>
                    <a:prstGeom prst="rect">
                      <a:avLst/>
                    </a:prstGeom>
                  </pic:spPr>
                </pic:pic>
              </a:graphicData>
            </a:graphic>
          </wp:inline>
        </w:drawing>
      </w:r>
    </w:p>
    <w:p>
      <w:pPr>
        <w:pStyle w:val="2"/>
        <w:rPr>
          <w:rFonts w:hint="eastAsia" w:eastAsiaTheme="majorEastAsia" w:cstheme="majorBidi"/>
          <w:bCs/>
          <w:sz w:val="32"/>
          <w:szCs w:val="32"/>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eastAsiaTheme="majorEastAsia" w:cstheme="majorBidi"/>
          <w:bCs/>
          <w:sz w:val="32"/>
          <w:szCs w:val="32"/>
          <w:lang w:eastAsia="zh-CN"/>
        </w:rPr>
        <w:drawing>
          <wp:inline distT="0" distB="0" distL="114300" distR="114300">
            <wp:extent cx="5267960" cy="7444105"/>
            <wp:effectExtent l="0" t="0" r="8890" b="4445"/>
            <wp:docPr id="40" name="图片 40" descr="MX-B4621R_20230510_2131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X-B4621R_20230510_213141_01"/>
                    <pic:cNvPicPr>
                      <a:picLocks noChangeAspect="1"/>
                    </pic:cNvPicPr>
                  </pic:nvPicPr>
                  <pic:blipFill>
                    <a:blip r:embed="rId34"/>
                    <a:stretch>
                      <a:fillRect/>
                    </a:stretch>
                  </pic:blipFill>
                  <pic:spPr>
                    <a:xfrm>
                      <a:off x="0" y="0"/>
                      <a:ext cx="5267960" cy="7444105"/>
                    </a:xfrm>
                    <a:prstGeom prst="rect">
                      <a:avLst/>
                    </a:prstGeom>
                  </pic:spPr>
                </pic:pic>
              </a:graphicData>
            </a:graphic>
          </wp:inline>
        </w:drawing>
      </w:r>
      <w:r>
        <w:rPr>
          <w:rFonts w:hint="eastAsia" w:eastAsiaTheme="majorEastAsia" w:cstheme="majorBidi"/>
          <w:bCs/>
          <w:sz w:val="32"/>
          <w:szCs w:val="32"/>
          <w:lang w:eastAsia="zh-CN"/>
        </w:rPr>
        <w:drawing>
          <wp:inline distT="0" distB="0" distL="114300" distR="114300">
            <wp:extent cx="5267960" cy="7444105"/>
            <wp:effectExtent l="0" t="0" r="8890" b="4445"/>
            <wp:docPr id="39" name="图片 39" descr="MX-B4621R_20230510_21314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X-B4621R_20230510_213141_02"/>
                    <pic:cNvPicPr>
                      <a:picLocks noChangeAspect="1"/>
                    </pic:cNvPicPr>
                  </pic:nvPicPr>
                  <pic:blipFill>
                    <a:blip r:embed="rId35"/>
                    <a:stretch>
                      <a:fillRect/>
                    </a:stretch>
                  </pic:blipFill>
                  <pic:spPr>
                    <a:xfrm>
                      <a:off x="0" y="0"/>
                      <a:ext cx="5267960" cy="7444105"/>
                    </a:xfrm>
                    <a:prstGeom prst="rect">
                      <a:avLst/>
                    </a:prstGeom>
                  </pic:spPr>
                </pic:pic>
              </a:graphicData>
            </a:graphic>
          </wp:inline>
        </w:drawing>
      </w:r>
      <w:r>
        <w:rPr>
          <w:rFonts w:hint="eastAsia" w:eastAsiaTheme="majorEastAsia" w:cstheme="majorBidi"/>
          <w:bCs/>
          <w:sz w:val="32"/>
          <w:szCs w:val="32"/>
          <w:lang w:eastAsia="zh-CN"/>
        </w:rPr>
        <w:drawing>
          <wp:inline distT="0" distB="0" distL="114300" distR="114300">
            <wp:extent cx="5267960" cy="7444105"/>
            <wp:effectExtent l="0" t="0" r="8890" b="4445"/>
            <wp:docPr id="37" name="图片 37" descr="MX-B4621R_20230510_21314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MX-B4621R_20230510_213141_03"/>
                    <pic:cNvPicPr>
                      <a:picLocks noChangeAspect="1"/>
                    </pic:cNvPicPr>
                  </pic:nvPicPr>
                  <pic:blipFill>
                    <a:blip r:embed="rId36"/>
                    <a:stretch>
                      <a:fillRect/>
                    </a:stretch>
                  </pic:blipFill>
                  <pic:spPr>
                    <a:xfrm>
                      <a:off x="0" y="0"/>
                      <a:ext cx="5267960" cy="7444105"/>
                    </a:xfrm>
                    <a:prstGeom prst="rect">
                      <a:avLst/>
                    </a:prstGeom>
                  </pic:spPr>
                </pic:pic>
              </a:graphicData>
            </a:graphic>
          </wp:inline>
        </w:drawing>
      </w:r>
      <w:r>
        <w:rPr>
          <w:rFonts w:hint="eastAsia" w:eastAsiaTheme="majorEastAsia" w:cstheme="majorBidi"/>
          <w:bCs/>
          <w:sz w:val="32"/>
          <w:szCs w:val="32"/>
          <w:lang w:eastAsia="zh-CN"/>
        </w:rPr>
        <w:drawing>
          <wp:inline distT="0" distB="0" distL="114300" distR="114300">
            <wp:extent cx="5267960" cy="7444105"/>
            <wp:effectExtent l="0" t="0" r="8890" b="4445"/>
            <wp:docPr id="35" name="图片 35" descr="MX-B4621R_20230510_21314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MX-B4621R_20230510_213141_04"/>
                    <pic:cNvPicPr>
                      <a:picLocks noChangeAspect="1"/>
                    </pic:cNvPicPr>
                  </pic:nvPicPr>
                  <pic:blipFill>
                    <a:blip r:embed="rId37"/>
                    <a:stretch>
                      <a:fillRect/>
                    </a:stretch>
                  </pic:blipFill>
                  <pic:spPr>
                    <a:xfrm>
                      <a:off x="0" y="0"/>
                      <a:ext cx="5267960" cy="7444105"/>
                    </a:xfrm>
                    <a:prstGeom prst="rect">
                      <a:avLst/>
                    </a:prstGeom>
                  </pic:spPr>
                </pic:pic>
              </a:graphicData>
            </a:graphic>
          </wp:inline>
        </w:drawing>
      </w:r>
      <w:r>
        <w:rPr>
          <w:rFonts w:hint="eastAsia" w:eastAsiaTheme="majorEastAsia" w:cstheme="majorBidi"/>
          <w:bCs/>
          <w:sz w:val="32"/>
          <w:szCs w:val="32"/>
          <w:lang w:eastAsia="zh-CN"/>
        </w:rPr>
        <w:drawing>
          <wp:inline distT="0" distB="0" distL="114300" distR="114300">
            <wp:extent cx="5267960" cy="7444105"/>
            <wp:effectExtent l="0" t="0" r="8890" b="4445"/>
            <wp:docPr id="34" name="图片 34" descr="MX-B4621R_20230510_21314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X-B4621R_20230510_213141_05"/>
                    <pic:cNvPicPr>
                      <a:picLocks noChangeAspect="1"/>
                    </pic:cNvPicPr>
                  </pic:nvPicPr>
                  <pic:blipFill>
                    <a:blip r:embed="rId38"/>
                    <a:stretch>
                      <a:fillRect/>
                    </a:stretch>
                  </pic:blipFill>
                  <pic:spPr>
                    <a:xfrm>
                      <a:off x="0" y="0"/>
                      <a:ext cx="5267960" cy="7444105"/>
                    </a:xfrm>
                    <a:prstGeom prst="rect">
                      <a:avLst/>
                    </a:prstGeom>
                  </pic:spPr>
                </pic:pic>
              </a:graphicData>
            </a:graphic>
          </wp:inline>
        </w:drawing>
      </w:r>
    </w:p>
    <w:p>
      <w:pPr>
        <w:pStyle w:val="4"/>
        <w:adjustRightInd w:val="0"/>
        <w:snapToGrid w:val="0"/>
        <w:spacing w:before="0" w:after="0" w:line="240" w:lineRule="auto"/>
        <w:rPr>
          <w:rFonts w:eastAsiaTheme="majorEastAsia" w:cstheme="majorBidi"/>
          <w:bCs w:val="0"/>
          <w:sz w:val="32"/>
          <w:szCs w:val="32"/>
        </w:rPr>
      </w:pPr>
      <w:bookmarkStart w:id="127" w:name="_Toc23320"/>
      <w:r>
        <w:rPr>
          <w:rFonts w:hint="eastAsia" w:eastAsiaTheme="majorEastAsia" w:cstheme="majorBidi"/>
          <w:bCs w:val="0"/>
          <w:sz w:val="32"/>
          <w:szCs w:val="32"/>
        </w:rPr>
        <w:t>附件</w:t>
      </w:r>
      <w:r>
        <w:rPr>
          <w:rFonts w:hint="eastAsia" w:eastAsiaTheme="majorEastAsia" w:cstheme="majorBidi"/>
          <w:bCs w:val="0"/>
          <w:sz w:val="32"/>
          <w:szCs w:val="32"/>
          <w:lang w:val="en-US" w:eastAsia="zh-CN"/>
        </w:rPr>
        <w:t>8</w:t>
      </w:r>
      <w:r>
        <w:rPr>
          <w:rFonts w:eastAsiaTheme="majorEastAsia" w:cstheme="majorBidi"/>
          <w:bCs w:val="0"/>
          <w:sz w:val="32"/>
          <w:szCs w:val="32"/>
        </w:rPr>
        <w:t xml:space="preserve"> </w:t>
      </w:r>
      <w:r>
        <w:rPr>
          <w:rFonts w:hint="eastAsia" w:eastAsiaTheme="majorEastAsia" w:cstheme="majorBidi"/>
          <w:bCs w:val="0"/>
          <w:sz w:val="32"/>
          <w:szCs w:val="32"/>
        </w:rPr>
        <w:t>其他需要说明的事项</w:t>
      </w:r>
      <w:bookmarkEnd w:id="127"/>
    </w:p>
    <w:p>
      <w:pPr>
        <w:widowControl/>
        <w:jc w:val="center"/>
        <w:rPr>
          <w:rFonts w:ascii="Times New Roman" w:hAnsi="Times New Roman" w:eastAsia="宋体"/>
          <w:sz w:val="32"/>
          <w:szCs w:val="32"/>
        </w:rPr>
      </w:pPr>
      <w:r>
        <w:rPr>
          <w:rFonts w:ascii="Times New Roman" w:hAnsi="Times New Roman" w:eastAsia="宋体"/>
          <w:sz w:val="32"/>
          <w:szCs w:val="32"/>
        </w:rPr>
        <w:t>建设项目竣工环境保护验收工作其他需要说明的事项</w:t>
      </w:r>
    </w:p>
    <w:p>
      <w:pPr>
        <w:widowControl/>
        <w:spacing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根据《建设项目竣工环境保护验收暂行办法》，“其他需要说明的事项”中应如实记载的内容包括环境保护设施设计、施工和验收过程简况，</w:t>
      </w:r>
      <w:r>
        <w:rPr>
          <w:rFonts w:hint="eastAsia" w:ascii="Times New Roman" w:hAnsi="Times New Roman" w:eastAsia="宋体"/>
          <w:sz w:val="24"/>
          <w:szCs w:val="24"/>
          <w:lang w:eastAsia="zh-CN"/>
        </w:rPr>
        <w:t>环境影响报告表</w:t>
      </w:r>
      <w:r>
        <w:rPr>
          <w:rFonts w:ascii="Times New Roman" w:hAnsi="Times New Roman" w:eastAsia="宋体"/>
          <w:sz w:val="24"/>
          <w:szCs w:val="24"/>
        </w:rPr>
        <w:t>及其审批部门审批决定中提出的，除环境保护设施外的其他环境保护措施的落实情况，以及整改工作情况等，现将建设单位需要说明的具体内容和要求列举如下：</w:t>
      </w:r>
    </w:p>
    <w:p>
      <w:pPr>
        <w:widowControl/>
        <w:spacing w:line="360" w:lineRule="auto"/>
        <w:ind w:firstLine="482" w:firstLineChars="200"/>
        <w:jc w:val="left"/>
        <w:rPr>
          <w:rFonts w:ascii="Times New Roman" w:hAnsi="Times New Roman" w:eastAsia="宋体"/>
          <w:b/>
          <w:bCs/>
          <w:sz w:val="24"/>
          <w:szCs w:val="24"/>
        </w:rPr>
      </w:pPr>
      <w:r>
        <w:rPr>
          <w:rFonts w:ascii="Times New Roman" w:hAnsi="Times New Roman" w:eastAsia="宋体"/>
          <w:b/>
          <w:bCs/>
          <w:sz w:val="24"/>
          <w:szCs w:val="24"/>
        </w:rPr>
        <w:t>1环境保护设施设计、施工和验收过程简况</w:t>
      </w:r>
    </w:p>
    <w:p>
      <w:pPr>
        <w:widowControl/>
        <w:spacing w:line="360" w:lineRule="auto"/>
        <w:ind w:firstLine="482" w:firstLineChars="200"/>
        <w:jc w:val="left"/>
        <w:rPr>
          <w:rFonts w:ascii="Times New Roman" w:hAnsi="Times New Roman" w:eastAsia="宋体"/>
          <w:b/>
          <w:bCs/>
          <w:sz w:val="24"/>
          <w:szCs w:val="24"/>
        </w:rPr>
      </w:pPr>
      <w:r>
        <w:rPr>
          <w:rFonts w:ascii="Times New Roman" w:hAnsi="Times New Roman" w:eastAsia="宋体"/>
          <w:b/>
          <w:bCs/>
          <w:sz w:val="24"/>
          <w:szCs w:val="24"/>
        </w:rPr>
        <w:t>1.1设计简况</w:t>
      </w:r>
    </w:p>
    <w:p>
      <w:pPr>
        <w:widowControl/>
        <w:spacing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本建设项目的环境保护设施虽未在建设阶段纳入初步设计，未编制环境保护篇章，但环保影响评价报告</w:t>
      </w:r>
      <w:r>
        <w:rPr>
          <w:rFonts w:hint="eastAsia" w:ascii="Times New Roman" w:hAnsi="Times New Roman" w:eastAsia="宋体"/>
          <w:sz w:val="24"/>
          <w:szCs w:val="24"/>
          <w:lang w:val="en-US" w:eastAsia="zh-CN"/>
        </w:rPr>
        <w:t>书</w:t>
      </w:r>
      <w:r>
        <w:rPr>
          <w:rFonts w:ascii="Times New Roman" w:hAnsi="Times New Roman" w:eastAsia="宋体"/>
          <w:sz w:val="24"/>
          <w:szCs w:val="24"/>
        </w:rPr>
        <w:t>编制阶段对环境保护设施进行了初步设计。现有环保措施已落实了初步设计阶段的防治污染和生态破环的措施。</w:t>
      </w:r>
    </w:p>
    <w:p>
      <w:pPr>
        <w:widowControl/>
        <w:spacing w:line="360" w:lineRule="auto"/>
        <w:ind w:firstLine="482" w:firstLineChars="200"/>
        <w:jc w:val="left"/>
        <w:rPr>
          <w:rFonts w:ascii="Times New Roman" w:hAnsi="Times New Roman" w:eastAsia="宋体"/>
          <w:b/>
          <w:bCs/>
          <w:sz w:val="24"/>
          <w:szCs w:val="24"/>
        </w:rPr>
      </w:pPr>
      <w:r>
        <w:rPr>
          <w:rFonts w:ascii="Times New Roman" w:hAnsi="Times New Roman" w:eastAsia="宋体"/>
          <w:b/>
          <w:bCs/>
          <w:sz w:val="24"/>
          <w:szCs w:val="24"/>
        </w:rPr>
        <w:t>1.2施工简况</w:t>
      </w:r>
    </w:p>
    <w:p>
      <w:pPr>
        <w:widowControl/>
        <w:spacing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本建设项目在施工阶段与设备单位签订了环境保护设施设计合同，并保证了建设项目的环境保护设施的建设进度和资金需求，项目建设过程中实施了</w:t>
      </w:r>
      <w:r>
        <w:rPr>
          <w:rFonts w:hint="eastAsia" w:ascii="Times New Roman" w:hAnsi="Times New Roman" w:eastAsia="宋体"/>
          <w:sz w:val="24"/>
          <w:szCs w:val="24"/>
          <w:lang w:eastAsia="zh-CN"/>
        </w:rPr>
        <w:t>环境影响报告表</w:t>
      </w:r>
      <w:r>
        <w:rPr>
          <w:rFonts w:ascii="Times New Roman" w:hAnsi="Times New Roman" w:eastAsia="宋体"/>
          <w:sz w:val="24"/>
          <w:szCs w:val="24"/>
        </w:rPr>
        <w:t>及其审批部门审批决定中提出的环境保护对策措施。</w:t>
      </w:r>
    </w:p>
    <w:p>
      <w:pPr>
        <w:widowControl/>
        <w:spacing w:line="360" w:lineRule="auto"/>
        <w:ind w:firstLine="482" w:firstLineChars="200"/>
        <w:jc w:val="left"/>
        <w:rPr>
          <w:rFonts w:ascii="Times New Roman" w:hAnsi="Times New Roman" w:eastAsia="宋体"/>
          <w:b/>
          <w:bCs/>
          <w:sz w:val="24"/>
          <w:szCs w:val="24"/>
        </w:rPr>
      </w:pPr>
      <w:r>
        <w:rPr>
          <w:rFonts w:ascii="Times New Roman" w:hAnsi="Times New Roman" w:eastAsia="宋体"/>
          <w:b/>
          <w:bCs/>
          <w:sz w:val="24"/>
          <w:szCs w:val="24"/>
        </w:rPr>
        <w:t>1.3验收过程简况</w:t>
      </w:r>
    </w:p>
    <w:p>
      <w:pPr>
        <w:widowControl/>
        <w:spacing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本建设项目验收工作启动于202</w:t>
      </w:r>
      <w:r>
        <w:rPr>
          <w:rFonts w:hint="eastAsia" w:ascii="Times New Roman" w:hAnsi="Times New Roman" w:eastAsia="宋体"/>
          <w:sz w:val="24"/>
          <w:szCs w:val="24"/>
          <w:lang w:val="en-US" w:eastAsia="zh-CN"/>
        </w:rPr>
        <w:t>2</w:t>
      </w:r>
      <w:r>
        <w:rPr>
          <w:rFonts w:ascii="Times New Roman" w:hAnsi="Times New Roman" w:eastAsia="宋体"/>
          <w:sz w:val="24"/>
          <w:szCs w:val="24"/>
        </w:rPr>
        <w:t>年</w:t>
      </w:r>
      <w:r>
        <w:rPr>
          <w:rFonts w:hint="eastAsia" w:ascii="Times New Roman" w:hAnsi="Times New Roman" w:eastAsia="宋体"/>
          <w:sz w:val="24"/>
          <w:szCs w:val="24"/>
          <w:lang w:val="en-US" w:eastAsia="zh-CN"/>
        </w:rPr>
        <w:t>09</w:t>
      </w:r>
      <w:r>
        <w:rPr>
          <w:rFonts w:hint="eastAsia" w:ascii="Times New Roman" w:hAnsi="Times New Roman" w:eastAsia="宋体"/>
          <w:sz w:val="24"/>
          <w:szCs w:val="24"/>
        </w:rPr>
        <w:t>月</w:t>
      </w:r>
      <w:r>
        <w:rPr>
          <w:rFonts w:ascii="Times New Roman" w:hAnsi="Times New Roman" w:eastAsia="宋体"/>
          <w:sz w:val="24"/>
          <w:szCs w:val="24"/>
        </w:rPr>
        <w:t>，企业委托浙江高鑫安全检测科技有限公司进行环保设施竣工验收监测，并提供相关资料编制竣工验收监测报告。本建设项目验收监测报告</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送审稿</w:t>
      </w:r>
      <w:r>
        <w:rPr>
          <w:rFonts w:hint="eastAsia" w:ascii="Times New Roman" w:hAnsi="Times New Roman" w:eastAsia="宋体"/>
          <w:sz w:val="24"/>
          <w:szCs w:val="24"/>
          <w:lang w:eastAsia="zh-CN"/>
        </w:rPr>
        <w:t>）</w:t>
      </w:r>
      <w:r>
        <w:rPr>
          <w:rFonts w:ascii="Times New Roman" w:hAnsi="Times New Roman" w:eastAsia="宋体"/>
          <w:sz w:val="24"/>
          <w:szCs w:val="24"/>
        </w:rPr>
        <w:t>完成时间为202</w:t>
      </w: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12</w:t>
      </w:r>
      <w:r>
        <w:rPr>
          <w:rFonts w:hint="eastAsia" w:ascii="Times New Roman" w:hAnsi="Times New Roman" w:eastAsia="宋体"/>
          <w:sz w:val="24"/>
          <w:szCs w:val="24"/>
        </w:rPr>
        <w:t>月</w:t>
      </w:r>
      <w:r>
        <w:rPr>
          <w:rFonts w:ascii="Times New Roman" w:hAnsi="Times New Roman" w:eastAsia="宋体"/>
          <w:sz w:val="24"/>
          <w:szCs w:val="24"/>
        </w:rPr>
        <w:t>，并于202</w:t>
      </w:r>
      <w:r>
        <w:rPr>
          <w:rFonts w:hint="eastAsia" w:ascii="Times New Roman" w:hAnsi="Times New Roman" w:eastAsia="宋体"/>
          <w:sz w:val="24"/>
          <w:szCs w:val="24"/>
          <w:lang w:val="en-US" w:eastAsia="zh-CN"/>
        </w:rPr>
        <w:t>2</w:t>
      </w:r>
      <w:r>
        <w:rPr>
          <w:rFonts w:ascii="Times New Roman" w:hAnsi="Times New Roman" w:eastAsia="宋体"/>
          <w:sz w:val="24"/>
          <w:szCs w:val="24"/>
        </w:rPr>
        <w:t>年</w:t>
      </w:r>
      <w:r>
        <w:rPr>
          <w:rFonts w:hint="eastAsia" w:ascii="Times New Roman" w:hAnsi="Times New Roman" w:eastAsia="宋体"/>
          <w:sz w:val="24"/>
          <w:szCs w:val="24"/>
          <w:lang w:val="en-US" w:eastAsia="zh-CN"/>
        </w:rPr>
        <w:t>12</w:t>
      </w:r>
      <w:r>
        <w:rPr>
          <w:rFonts w:ascii="Times New Roman" w:hAnsi="Times New Roman" w:eastAsia="宋体"/>
          <w:sz w:val="24"/>
          <w:szCs w:val="24"/>
        </w:rPr>
        <w:t>月</w:t>
      </w:r>
      <w:r>
        <w:rPr>
          <w:rFonts w:hint="eastAsia" w:ascii="Times New Roman" w:hAnsi="Times New Roman" w:eastAsia="宋体"/>
          <w:sz w:val="24"/>
          <w:szCs w:val="24"/>
          <w:lang w:val="en-US" w:eastAsia="zh-CN"/>
        </w:rPr>
        <w:t>17</w:t>
      </w:r>
      <w:r>
        <w:rPr>
          <w:rFonts w:ascii="Times New Roman" w:hAnsi="Times New Roman" w:eastAsia="宋体"/>
          <w:sz w:val="24"/>
          <w:szCs w:val="24"/>
        </w:rPr>
        <w:t>日，</w:t>
      </w:r>
      <w:r>
        <w:rPr>
          <w:rFonts w:hint="eastAsia" w:ascii="Times New Roman" w:hAnsi="Times New Roman" w:eastAsia="宋体"/>
          <w:sz w:val="24"/>
          <w:szCs w:val="24"/>
          <w:lang w:val="en-US" w:eastAsia="zh-CN"/>
        </w:rPr>
        <w:t>浦江金理衣架有限公司</w:t>
      </w:r>
      <w:r>
        <w:rPr>
          <w:rFonts w:ascii="Times New Roman" w:hAnsi="Times New Roman" w:eastAsia="宋体"/>
          <w:sz w:val="24"/>
          <w:szCs w:val="24"/>
        </w:rPr>
        <w:t>根据《</w:t>
      </w:r>
      <w:r>
        <w:rPr>
          <w:rFonts w:hint="eastAsia" w:ascii="Times New Roman" w:hAnsi="Times New Roman" w:eastAsia="宋体"/>
          <w:sz w:val="24"/>
          <w:szCs w:val="24"/>
          <w:lang w:eastAsia="zh-CN"/>
        </w:rPr>
        <w:t>浦江金理衣架有限公司年产1430万个衣架生产线建设项目</w:t>
      </w:r>
      <w:r>
        <w:rPr>
          <w:rFonts w:ascii="Times New Roman" w:hAnsi="Times New Roman" w:eastAsia="宋体"/>
          <w:sz w:val="24"/>
          <w:szCs w:val="24"/>
        </w:rPr>
        <w:t>竣工环境保护验收监测报告》并对照《建设项目竣工环境保护验收暂行办法》（国环规环评〔2017〕4号），严格依照国家有关法律法规、建设项目竣工环境保护验收技术规范/指南、本项目</w:t>
      </w:r>
      <w:r>
        <w:rPr>
          <w:rFonts w:hint="eastAsia" w:ascii="Times New Roman" w:hAnsi="Times New Roman" w:eastAsia="宋体"/>
          <w:sz w:val="24"/>
          <w:szCs w:val="24"/>
          <w:lang w:eastAsia="zh-CN"/>
        </w:rPr>
        <w:t>环境影响报告表</w:t>
      </w:r>
      <w:r>
        <w:rPr>
          <w:rFonts w:ascii="Times New Roman" w:hAnsi="Times New Roman" w:eastAsia="宋体"/>
          <w:sz w:val="24"/>
          <w:szCs w:val="24"/>
        </w:rPr>
        <w:t>和审批部门审批决定等要求对本项目的环境保护设施进行验收，验收意见的结论如下：</w:t>
      </w:r>
    </w:p>
    <w:p>
      <w:pPr>
        <w:widowControl/>
        <w:spacing w:line="360" w:lineRule="auto"/>
        <w:ind w:firstLine="480" w:firstLineChars="200"/>
        <w:jc w:val="left"/>
        <w:rPr>
          <w:rFonts w:ascii="Times New Roman" w:hAnsi="Times New Roman" w:eastAsia="宋体"/>
          <w:sz w:val="24"/>
          <w:szCs w:val="24"/>
        </w:rPr>
      </w:pPr>
      <w:r>
        <w:rPr>
          <w:rFonts w:hint="eastAsia" w:ascii="Times New Roman" w:hAnsi="Times New Roman" w:eastAsia="宋体"/>
          <w:sz w:val="24"/>
          <w:szCs w:val="24"/>
          <w:lang w:eastAsia="zh-CN"/>
        </w:rPr>
        <w:t>浦江金理衣架有限公司年产1430万个衣架生产线建设项目</w:t>
      </w:r>
      <w:r>
        <w:rPr>
          <w:rFonts w:hint="eastAsia" w:ascii="Times New Roman" w:hAnsi="Times New Roman" w:eastAsia="宋体"/>
          <w:sz w:val="24"/>
          <w:szCs w:val="24"/>
        </w:rPr>
        <w:t>审批手续完备，执行了环保“三同时”的要求，验收资料基本齐全，环境保护措施均已按照环评及批复的要求建成，各主要污染物指标达到相应污染物排放标准的要求，符合环评及批复要求，没有《建设项目竣工环境保护验收暂行办法》（国环规环评[2017]</w:t>
      </w:r>
      <w:r>
        <w:rPr>
          <w:rFonts w:hint="eastAsia" w:ascii="Times New Roman" w:hAnsi="Times New Roman" w:eastAsia="宋体"/>
          <w:sz w:val="24"/>
          <w:szCs w:val="24"/>
          <w:lang w:val="en-US" w:eastAsia="zh-CN"/>
        </w:rPr>
        <w:t xml:space="preserve"> </w:t>
      </w:r>
      <w:r>
        <w:rPr>
          <w:rFonts w:hint="eastAsia" w:ascii="Times New Roman" w:hAnsi="Times New Roman" w:eastAsia="宋体"/>
          <w:sz w:val="24"/>
          <w:szCs w:val="24"/>
        </w:rPr>
        <w:t>4号）中所规定的验收不合格情形，本项目环境保护设施验收合格</w:t>
      </w:r>
      <w:r>
        <w:rPr>
          <w:rFonts w:ascii="Times New Roman" w:hAnsi="Times New Roman" w:eastAsia="宋体"/>
          <w:sz w:val="24"/>
          <w:szCs w:val="24"/>
        </w:rPr>
        <w:t>。</w:t>
      </w:r>
    </w:p>
    <w:p>
      <w:pPr>
        <w:widowControl/>
        <w:spacing w:line="360" w:lineRule="auto"/>
        <w:ind w:firstLine="482" w:firstLineChars="200"/>
        <w:jc w:val="left"/>
        <w:rPr>
          <w:rFonts w:ascii="Times New Roman" w:hAnsi="Times New Roman" w:eastAsia="宋体"/>
          <w:b/>
          <w:bCs/>
          <w:sz w:val="24"/>
          <w:szCs w:val="24"/>
          <w:highlight w:val="none"/>
        </w:rPr>
      </w:pPr>
      <w:r>
        <w:rPr>
          <w:rFonts w:hint="eastAsia" w:ascii="Times New Roman" w:hAnsi="Times New Roman" w:eastAsia="宋体"/>
          <w:b/>
          <w:bCs/>
          <w:sz w:val="24"/>
          <w:szCs w:val="24"/>
        </w:rPr>
        <w:t>1.4</w:t>
      </w:r>
      <w:r>
        <w:rPr>
          <w:rFonts w:hint="eastAsia" w:ascii="Times New Roman" w:hAnsi="Times New Roman" w:eastAsia="宋体"/>
          <w:b/>
          <w:bCs/>
          <w:sz w:val="24"/>
          <w:szCs w:val="24"/>
          <w:highlight w:val="none"/>
        </w:rPr>
        <w:t>公众反馈意见及处理情况</w:t>
      </w:r>
    </w:p>
    <w:p>
      <w:pPr>
        <w:widowControl/>
        <w:spacing w:line="360" w:lineRule="auto"/>
        <w:ind w:firstLine="480" w:firstLineChars="200"/>
        <w:jc w:val="left"/>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企业在项目验收过程中及时公开相关环境信息，在验收公示期间（202</w:t>
      </w:r>
      <w:r>
        <w:rPr>
          <w:rFonts w:hint="eastAsia" w:ascii="Times New Roman" w:hAnsi="Times New Roman" w:eastAsia="宋体"/>
          <w:sz w:val="24"/>
          <w:szCs w:val="24"/>
          <w:lang w:val="en-US" w:eastAsia="zh-CN"/>
        </w:rPr>
        <w:t>3</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01</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16</w:t>
      </w:r>
      <w:r>
        <w:rPr>
          <w:rFonts w:hint="eastAsia" w:ascii="Times New Roman" w:hAnsi="Times New Roman" w:eastAsia="宋体"/>
          <w:sz w:val="24"/>
          <w:szCs w:val="24"/>
          <w:lang w:eastAsia="zh-CN"/>
        </w:rPr>
        <w:t>-202</w:t>
      </w:r>
      <w:r>
        <w:rPr>
          <w:rFonts w:hint="eastAsia" w:ascii="Times New Roman" w:hAnsi="Times New Roman" w:eastAsia="宋体"/>
          <w:sz w:val="24"/>
          <w:szCs w:val="24"/>
          <w:lang w:val="en-US" w:eastAsia="zh-CN"/>
        </w:rPr>
        <w:t>3</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02.27</w:t>
      </w:r>
      <w:r>
        <w:rPr>
          <w:rFonts w:hint="eastAsia" w:ascii="Times New Roman" w:hAnsi="Times New Roman" w:eastAsia="宋体"/>
          <w:sz w:val="24"/>
          <w:szCs w:val="24"/>
          <w:lang w:eastAsia="zh-CN"/>
        </w:rPr>
        <w:t>）未曾收到过公众反馈意见或投诉。</w:t>
      </w:r>
    </w:p>
    <w:p>
      <w:pPr>
        <w:widowControl/>
        <w:spacing w:line="360" w:lineRule="auto"/>
        <w:ind w:firstLine="482" w:firstLineChars="200"/>
        <w:jc w:val="left"/>
        <w:rPr>
          <w:rFonts w:ascii="Times New Roman" w:hAnsi="Times New Roman" w:eastAsia="宋体"/>
          <w:b/>
          <w:bCs/>
          <w:sz w:val="24"/>
          <w:szCs w:val="24"/>
        </w:rPr>
      </w:pPr>
      <w:r>
        <w:rPr>
          <w:rFonts w:ascii="Times New Roman" w:hAnsi="Times New Roman" w:eastAsia="宋体"/>
          <w:b/>
          <w:bCs/>
          <w:sz w:val="24"/>
          <w:szCs w:val="24"/>
        </w:rPr>
        <w:t>2其他环境保护措施的落实情况</w:t>
      </w:r>
    </w:p>
    <w:p>
      <w:pPr>
        <w:widowControl/>
        <w:spacing w:line="360" w:lineRule="auto"/>
        <w:ind w:firstLine="482" w:firstLineChars="200"/>
        <w:jc w:val="left"/>
        <w:rPr>
          <w:rFonts w:ascii="Times New Roman" w:hAnsi="Times New Roman" w:eastAsia="宋体"/>
          <w:b/>
          <w:bCs/>
          <w:sz w:val="24"/>
          <w:szCs w:val="24"/>
        </w:rPr>
      </w:pPr>
      <w:r>
        <w:rPr>
          <w:rFonts w:ascii="Times New Roman" w:hAnsi="Times New Roman" w:eastAsia="宋体"/>
          <w:b/>
          <w:bCs/>
          <w:sz w:val="24"/>
          <w:szCs w:val="24"/>
        </w:rPr>
        <w:t>2.1环境保护设施外的其他环境保护措施</w:t>
      </w:r>
    </w:p>
    <w:p>
      <w:pPr>
        <w:widowControl/>
        <w:spacing w:line="360" w:lineRule="auto"/>
        <w:ind w:firstLine="480" w:firstLineChars="200"/>
        <w:jc w:val="left"/>
        <w:rPr>
          <w:rFonts w:ascii="Times New Roman" w:hAnsi="Times New Roman" w:eastAsia="宋体"/>
          <w:sz w:val="24"/>
          <w:szCs w:val="24"/>
        </w:rPr>
      </w:pPr>
      <w:r>
        <w:rPr>
          <w:rFonts w:hint="eastAsia" w:ascii="Times New Roman" w:hAnsi="Times New Roman" w:eastAsia="宋体"/>
          <w:sz w:val="24"/>
          <w:szCs w:val="24"/>
          <w:lang w:eastAsia="zh-CN"/>
        </w:rPr>
        <w:t>环境影响报告表</w:t>
      </w:r>
      <w:r>
        <w:rPr>
          <w:rFonts w:ascii="Times New Roman" w:hAnsi="Times New Roman" w:eastAsia="宋体"/>
          <w:sz w:val="24"/>
          <w:szCs w:val="24"/>
        </w:rPr>
        <w:t>及其审批部门审批决定中提出的，除环境保护设施外的其他环境保护措施，主要包括制度措施和配套措施等，现将需要说明的措施内容和要求梳理如下：</w:t>
      </w:r>
    </w:p>
    <w:tbl>
      <w:tblPr>
        <w:tblStyle w:val="1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3824"/>
        <w:gridCol w:w="39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Align w:val="center"/>
          </w:tcPr>
          <w:p>
            <w:pPr>
              <w:widowControl/>
              <w:jc w:val="left"/>
              <w:rPr>
                <w:rFonts w:ascii="Times New Roman" w:hAnsi="Times New Roman" w:eastAsia="宋体"/>
                <w:b/>
                <w:bCs/>
              </w:rPr>
            </w:pPr>
            <w:r>
              <w:rPr>
                <w:rFonts w:ascii="Times New Roman" w:hAnsi="Times New Roman" w:eastAsia="宋体"/>
                <w:b/>
                <w:bCs/>
              </w:rPr>
              <w:t>序号</w:t>
            </w:r>
          </w:p>
        </w:tc>
        <w:tc>
          <w:tcPr>
            <w:tcW w:w="3824" w:type="dxa"/>
            <w:vAlign w:val="center"/>
          </w:tcPr>
          <w:p>
            <w:pPr>
              <w:widowControl/>
              <w:jc w:val="left"/>
              <w:rPr>
                <w:rFonts w:ascii="Times New Roman" w:hAnsi="Times New Roman" w:eastAsia="宋体"/>
                <w:b/>
                <w:bCs/>
              </w:rPr>
            </w:pPr>
            <w:r>
              <w:rPr>
                <w:rFonts w:hint="eastAsia" w:ascii="Times New Roman" w:hAnsi="Times New Roman" w:eastAsia="宋体"/>
                <w:b/>
                <w:bCs/>
                <w:lang w:eastAsia="zh-CN"/>
              </w:rPr>
              <w:t>环境影响报告表</w:t>
            </w:r>
            <w:r>
              <w:rPr>
                <w:rFonts w:ascii="Times New Roman" w:hAnsi="Times New Roman" w:eastAsia="宋体"/>
                <w:b/>
                <w:bCs/>
              </w:rPr>
              <w:t>建议</w:t>
            </w:r>
          </w:p>
        </w:tc>
        <w:tc>
          <w:tcPr>
            <w:tcW w:w="3988" w:type="dxa"/>
            <w:vAlign w:val="center"/>
          </w:tcPr>
          <w:p>
            <w:pPr>
              <w:widowControl/>
              <w:jc w:val="left"/>
              <w:rPr>
                <w:rFonts w:ascii="Times New Roman" w:hAnsi="Times New Roman" w:eastAsia="宋体"/>
                <w:b/>
                <w:bCs/>
              </w:rPr>
            </w:pPr>
            <w:r>
              <w:rPr>
                <w:rFonts w:ascii="Times New Roman" w:hAnsi="Times New Roman" w:eastAsia="宋体"/>
                <w:b/>
                <w:bCs/>
              </w:rPr>
              <w:t>落实情况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Align w:val="center"/>
          </w:tcPr>
          <w:p>
            <w:pPr>
              <w:widowControl/>
              <w:numPr>
                <w:ilvl w:val="0"/>
                <w:numId w:val="7"/>
              </w:numPr>
              <w:jc w:val="center"/>
              <w:rPr>
                <w:rFonts w:ascii="Times New Roman" w:hAnsi="Times New Roman" w:eastAsia="宋体"/>
              </w:rPr>
            </w:pPr>
          </w:p>
        </w:tc>
        <w:tc>
          <w:tcPr>
            <w:tcW w:w="3824" w:type="dxa"/>
            <w:vAlign w:val="center"/>
          </w:tcPr>
          <w:p>
            <w:pPr>
              <w:widowControl/>
              <w:jc w:val="left"/>
              <w:rPr>
                <w:rFonts w:hint="default" w:ascii="Times New Roman" w:hAnsi="Times New Roman" w:eastAsia="宋体"/>
                <w:bCs/>
                <w:lang w:val="en-US" w:eastAsia="zh-CN"/>
              </w:rPr>
            </w:pPr>
            <w:r>
              <w:rPr>
                <w:rFonts w:hint="eastAsia" w:ascii="Times New Roman" w:hAnsi="Times New Roman" w:eastAsia="宋体"/>
                <w:lang w:val="en-US" w:eastAsia="zh-CN"/>
              </w:rPr>
              <w:t>企业应加强环境保护意识，企业要重点做好环保设施的运行管理工作，制定环保设施操作运行规程，建立健全各项环保岗位责任制，强化环境管理。</w:t>
            </w:r>
          </w:p>
        </w:tc>
        <w:tc>
          <w:tcPr>
            <w:tcW w:w="3988" w:type="dxa"/>
            <w:vMerge w:val="restart"/>
            <w:vAlign w:val="center"/>
          </w:tcPr>
          <w:p>
            <w:pPr>
              <w:widowControl/>
              <w:jc w:val="left"/>
              <w:rPr>
                <w:rFonts w:hint="default" w:ascii="Times New Roman" w:hAnsi="Times New Roman" w:eastAsia="宋体"/>
                <w:bCs/>
                <w:lang w:val="en-US"/>
              </w:rPr>
            </w:pPr>
            <w:r>
              <w:rPr>
                <w:rFonts w:hint="eastAsia" w:ascii="Times New Roman" w:hAnsi="Times New Roman" w:eastAsia="宋体"/>
                <w:lang w:val="en-US" w:eastAsia="zh-CN"/>
              </w:rPr>
              <w:t>加强各污染防治措施管理，定期维护相关生产设施和环保设施，确保各污染物排放达标。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Align w:val="center"/>
          </w:tcPr>
          <w:p>
            <w:pPr>
              <w:widowControl/>
              <w:numPr>
                <w:ilvl w:val="0"/>
                <w:numId w:val="7"/>
              </w:numPr>
              <w:jc w:val="center"/>
              <w:rPr>
                <w:rFonts w:ascii="Times New Roman" w:hAnsi="Times New Roman" w:eastAsia="宋体"/>
              </w:rPr>
            </w:pPr>
          </w:p>
        </w:tc>
        <w:tc>
          <w:tcPr>
            <w:tcW w:w="3824" w:type="dxa"/>
            <w:vAlign w:val="center"/>
          </w:tcPr>
          <w:p>
            <w:pPr>
              <w:widowControl/>
              <w:jc w:val="left"/>
              <w:rPr>
                <w:rFonts w:hint="default" w:ascii="Times New Roman" w:hAnsi="Times New Roman" w:eastAsia="宋体"/>
                <w:lang w:val="en-US" w:eastAsia="zh-CN"/>
              </w:rPr>
            </w:pPr>
            <w:r>
              <w:rPr>
                <w:rFonts w:hint="eastAsia" w:ascii="Times New Roman" w:hAnsi="Times New Roman" w:eastAsia="宋体"/>
                <w:lang w:val="en-US" w:eastAsia="zh-CN"/>
              </w:rPr>
              <w:t>必须严格落实环评提出的各项意见，做好“三废”污染防治工作。</w:t>
            </w:r>
          </w:p>
        </w:tc>
        <w:tc>
          <w:tcPr>
            <w:tcW w:w="3988" w:type="dxa"/>
            <w:vMerge w:val="continue"/>
            <w:vAlign w:val="center"/>
          </w:tcPr>
          <w:p>
            <w:pPr>
              <w:widowControl/>
              <w:jc w:val="left"/>
              <w:rPr>
                <w:rFonts w:hint="default" w:ascii="Times New Roman" w:hAnsi="Times New Roman" w:eastAsia="宋体"/>
                <w:bCs/>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Align w:val="center"/>
          </w:tcPr>
          <w:p>
            <w:pPr>
              <w:widowControl/>
              <w:numPr>
                <w:ilvl w:val="0"/>
                <w:numId w:val="7"/>
              </w:numPr>
              <w:jc w:val="center"/>
              <w:rPr>
                <w:rFonts w:ascii="Times New Roman" w:hAnsi="Times New Roman" w:eastAsia="宋体"/>
              </w:rPr>
            </w:pPr>
          </w:p>
        </w:tc>
        <w:tc>
          <w:tcPr>
            <w:tcW w:w="3824" w:type="dxa"/>
            <w:vAlign w:val="center"/>
          </w:tcPr>
          <w:p>
            <w:pPr>
              <w:widowControl/>
              <w:jc w:val="left"/>
              <w:rPr>
                <w:rFonts w:hint="eastAsia" w:ascii="Times New Roman" w:hAnsi="Times New Roman" w:eastAsia="宋体"/>
                <w:lang w:val="en-US" w:eastAsia="zh-CN"/>
              </w:rPr>
            </w:pPr>
            <w:r>
              <w:rPr>
                <w:rFonts w:hint="eastAsia" w:ascii="Times New Roman" w:hAnsi="Times New Roman" w:eastAsia="宋体"/>
                <w:lang w:val="en-US" w:eastAsia="zh-CN"/>
              </w:rPr>
              <w:t>以上评价结果是根据委托方提供的规模、布局做出的，如委托方扩大规模、改变布局、调整产品结构、污染物改变，委托方必须按照环保要求重新申报。</w:t>
            </w:r>
          </w:p>
        </w:tc>
        <w:tc>
          <w:tcPr>
            <w:tcW w:w="3988" w:type="dxa"/>
            <w:vAlign w:val="center"/>
          </w:tcPr>
          <w:p>
            <w:pPr>
              <w:widowControl/>
              <w:jc w:val="left"/>
              <w:rPr>
                <w:rFonts w:hint="eastAsia" w:ascii="Times New Roman" w:hAnsi="Times New Roman" w:eastAsia="宋体"/>
                <w:lang w:val="en-US" w:eastAsia="zh-CN"/>
              </w:rPr>
            </w:pPr>
            <w:r>
              <w:rPr>
                <w:rFonts w:hint="eastAsia" w:ascii="Times New Roman" w:hAnsi="Times New Roman" w:eastAsia="宋体"/>
                <w:lang w:val="en-US" w:eastAsia="zh-CN"/>
              </w:rPr>
              <w:t>企业承诺项目严格按照本环评内容和要求进行建设，在建设中若发生重大变动，将进行重新报批。</w:t>
            </w:r>
          </w:p>
        </w:tc>
      </w:tr>
    </w:tbl>
    <w:p>
      <w:pPr>
        <w:widowControl/>
        <w:spacing w:line="360" w:lineRule="auto"/>
        <w:ind w:firstLine="482" w:firstLineChars="200"/>
        <w:jc w:val="left"/>
        <w:rPr>
          <w:rFonts w:ascii="Times New Roman" w:hAnsi="Times New Roman" w:eastAsia="宋体"/>
          <w:b/>
          <w:bCs/>
          <w:sz w:val="24"/>
          <w:szCs w:val="24"/>
        </w:rPr>
      </w:pPr>
      <w:r>
        <w:rPr>
          <w:rFonts w:ascii="Times New Roman" w:hAnsi="Times New Roman" w:eastAsia="宋体"/>
          <w:b/>
          <w:bCs/>
          <w:sz w:val="24"/>
          <w:szCs w:val="24"/>
        </w:rPr>
        <w:t>2.2企业环境管理</w:t>
      </w:r>
    </w:p>
    <w:p>
      <w:pPr>
        <w:widowControl/>
        <w:spacing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公司设置环保专员负责企业环境管理相关事宜，定期对环保设备进行维护保养，并已制定环境管理制度和环境监测计划。</w:t>
      </w:r>
    </w:p>
    <w:p>
      <w:pPr>
        <w:widowControl/>
        <w:spacing w:line="360" w:lineRule="auto"/>
        <w:ind w:firstLine="482" w:firstLineChars="200"/>
        <w:jc w:val="left"/>
        <w:rPr>
          <w:rFonts w:ascii="Times New Roman" w:hAnsi="Times New Roman" w:eastAsia="宋体"/>
          <w:b/>
          <w:bCs/>
          <w:sz w:val="24"/>
          <w:szCs w:val="24"/>
        </w:rPr>
      </w:pPr>
      <w:r>
        <w:rPr>
          <w:rFonts w:ascii="Times New Roman" w:hAnsi="Times New Roman" w:eastAsia="宋体"/>
          <w:b/>
          <w:bCs/>
          <w:sz w:val="24"/>
          <w:szCs w:val="24"/>
        </w:rPr>
        <w:t>2.3其他措施落实情况</w:t>
      </w:r>
    </w:p>
    <w:p>
      <w:pPr>
        <w:widowControl/>
        <w:spacing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企业不涉及如林地补偿、珍稀动植物保护、区域环境整治、相关外围工程建设等情况。</w:t>
      </w:r>
    </w:p>
    <w:p>
      <w:pPr>
        <w:widowControl/>
        <w:spacing w:line="360" w:lineRule="auto"/>
        <w:ind w:firstLine="482" w:firstLineChars="200"/>
        <w:jc w:val="left"/>
        <w:rPr>
          <w:rFonts w:ascii="Times New Roman" w:hAnsi="Times New Roman" w:eastAsia="宋体"/>
          <w:b/>
          <w:bCs/>
          <w:sz w:val="24"/>
          <w:szCs w:val="24"/>
        </w:rPr>
      </w:pPr>
      <w:r>
        <w:rPr>
          <w:rFonts w:ascii="Times New Roman" w:hAnsi="Times New Roman" w:eastAsia="宋体"/>
          <w:b/>
          <w:bCs/>
          <w:sz w:val="24"/>
          <w:szCs w:val="24"/>
        </w:rPr>
        <w:t>3整改工作情况</w:t>
      </w:r>
    </w:p>
    <w:p>
      <w:pPr>
        <w:widowControl/>
        <w:spacing w:line="360" w:lineRule="auto"/>
        <w:ind w:firstLine="480" w:firstLineChars="200"/>
        <w:jc w:val="left"/>
        <w:rPr>
          <w:rFonts w:ascii="Times New Roman" w:hAnsi="Times New Roman" w:eastAsia="宋体"/>
          <w:b/>
          <w:bCs/>
          <w:sz w:val="24"/>
          <w:szCs w:val="24"/>
        </w:rPr>
      </w:pPr>
      <w:r>
        <w:rPr>
          <w:rFonts w:ascii="Times New Roman" w:hAnsi="Times New Roman" w:eastAsia="宋体"/>
          <w:sz w:val="24"/>
          <w:szCs w:val="24"/>
        </w:rPr>
        <w:t>公司整改工作的情况具体如下：</w:t>
      </w:r>
    </w:p>
    <w:tbl>
      <w:tblPr>
        <w:tblStyle w:val="1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6"/>
        <w:gridCol w:w="3412"/>
        <w:gridCol w:w="35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1596" w:type="dxa"/>
            <w:vAlign w:val="center"/>
          </w:tcPr>
          <w:p>
            <w:pPr>
              <w:widowControl/>
              <w:jc w:val="left"/>
              <w:rPr>
                <w:rFonts w:ascii="Times New Roman" w:hAnsi="Times New Roman" w:eastAsia="宋体"/>
                <w:b/>
                <w:bCs/>
              </w:rPr>
            </w:pPr>
            <w:r>
              <w:rPr>
                <w:rFonts w:ascii="Times New Roman" w:hAnsi="Times New Roman" w:eastAsia="宋体"/>
                <w:b/>
                <w:bCs/>
              </w:rPr>
              <w:t>时间点</w:t>
            </w:r>
          </w:p>
        </w:tc>
        <w:tc>
          <w:tcPr>
            <w:tcW w:w="3412" w:type="dxa"/>
            <w:vAlign w:val="center"/>
          </w:tcPr>
          <w:p>
            <w:pPr>
              <w:widowControl/>
              <w:jc w:val="left"/>
              <w:rPr>
                <w:rFonts w:ascii="Times New Roman" w:hAnsi="Times New Roman" w:eastAsia="宋体"/>
                <w:b/>
                <w:bCs/>
              </w:rPr>
            </w:pPr>
            <w:r>
              <w:rPr>
                <w:rFonts w:ascii="Times New Roman" w:hAnsi="Times New Roman" w:eastAsia="宋体"/>
                <w:b/>
                <w:bCs/>
              </w:rPr>
              <w:t>整改内容</w:t>
            </w:r>
          </w:p>
        </w:tc>
        <w:tc>
          <w:tcPr>
            <w:tcW w:w="3509" w:type="dxa"/>
            <w:vAlign w:val="center"/>
          </w:tcPr>
          <w:p>
            <w:pPr>
              <w:widowControl/>
              <w:jc w:val="left"/>
              <w:rPr>
                <w:rFonts w:ascii="Times New Roman" w:hAnsi="Times New Roman" w:eastAsia="宋体"/>
                <w:b/>
                <w:bCs/>
              </w:rPr>
            </w:pPr>
            <w:r>
              <w:rPr>
                <w:rFonts w:ascii="Times New Roman" w:hAnsi="Times New Roman" w:eastAsia="宋体"/>
                <w:b/>
                <w:bCs/>
              </w:rPr>
              <w:t>整改效果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596" w:type="dxa"/>
            <w:vAlign w:val="center"/>
          </w:tcPr>
          <w:p>
            <w:pPr>
              <w:widowControl/>
              <w:jc w:val="left"/>
              <w:rPr>
                <w:rFonts w:ascii="Times New Roman" w:hAnsi="Times New Roman" w:eastAsia="宋体"/>
              </w:rPr>
            </w:pPr>
            <w:r>
              <w:rPr>
                <w:rFonts w:ascii="Times New Roman" w:hAnsi="Times New Roman" w:eastAsia="宋体"/>
              </w:rPr>
              <w:t>竣工后验收前</w:t>
            </w:r>
          </w:p>
        </w:tc>
        <w:tc>
          <w:tcPr>
            <w:tcW w:w="3412" w:type="dxa"/>
            <w:vAlign w:val="center"/>
          </w:tcPr>
          <w:p>
            <w:pPr>
              <w:widowControl/>
              <w:jc w:val="left"/>
              <w:rPr>
                <w:rFonts w:hint="default" w:ascii="Times New Roman" w:hAnsi="Times New Roman" w:eastAsia="宋体"/>
                <w:lang w:val="en-US" w:eastAsia="zh-CN"/>
              </w:rPr>
            </w:pPr>
            <w:r>
              <w:rPr>
                <w:rFonts w:hint="eastAsia" w:ascii="Times New Roman" w:hAnsi="Times New Roman" w:eastAsia="宋体"/>
                <w:lang w:val="en-US" w:eastAsia="zh-CN"/>
              </w:rPr>
              <w:t>建设独立危废仓库</w:t>
            </w:r>
            <w:r>
              <w:rPr>
                <w:rFonts w:hint="eastAsia" w:ascii="Times New Roman" w:hAnsi="Times New Roman" w:eastAsia="宋体"/>
                <w:lang w:eastAsia="zh-CN"/>
              </w:rPr>
              <w:t>，</w:t>
            </w:r>
            <w:r>
              <w:rPr>
                <w:rFonts w:hint="eastAsia" w:ascii="Times New Roman" w:hAnsi="Times New Roman" w:eastAsia="宋体"/>
                <w:lang w:val="en-US" w:eastAsia="zh-CN"/>
              </w:rPr>
              <w:t>规范化管理，完善标牌标识和台账记录，做好防雨防漏工作</w:t>
            </w:r>
          </w:p>
        </w:tc>
        <w:tc>
          <w:tcPr>
            <w:tcW w:w="3509" w:type="dxa"/>
            <w:vAlign w:val="center"/>
          </w:tcPr>
          <w:p>
            <w:pPr>
              <w:widowControl/>
              <w:jc w:val="left"/>
              <w:rPr>
                <w:rFonts w:hint="default" w:ascii="Times New Roman" w:hAnsi="Times New Roman" w:eastAsia="宋体"/>
                <w:lang w:val="en-US" w:eastAsia="zh-CN"/>
              </w:rPr>
            </w:pPr>
            <w:r>
              <w:rPr>
                <w:rFonts w:hint="eastAsia" w:ascii="Times New Roman" w:hAnsi="Times New Roman" w:eastAsia="宋体"/>
                <w:lang w:val="en-US" w:eastAsia="zh-CN"/>
              </w:rPr>
              <w:t>已建设独立、规范化危废仓库，完善了标识标牌，落实了防雨防漏工作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1" w:hRule="atLeast"/>
        </w:trPr>
        <w:tc>
          <w:tcPr>
            <w:tcW w:w="1596" w:type="dxa"/>
            <w:vAlign w:val="center"/>
          </w:tcPr>
          <w:p>
            <w:pPr>
              <w:widowControl/>
              <w:jc w:val="left"/>
              <w:rPr>
                <w:rFonts w:ascii="Times New Roman" w:hAnsi="Times New Roman" w:eastAsia="宋体"/>
              </w:rPr>
            </w:pPr>
            <w:r>
              <w:rPr>
                <w:rFonts w:ascii="Times New Roman" w:hAnsi="Times New Roman" w:eastAsia="宋体"/>
              </w:rPr>
              <w:t>验收监测期间</w:t>
            </w:r>
          </w:p>
        </w:tc>
        <w:tc>
          <w:tcPr>
            <w:tcW w:w="3412" w:type="dxa"/>
            <w:vAlign w:val="center"/>
          </w:tcPr>
          <w:p>
            <w:pPr>
              <w:widowControl/>
              <w:jc w:val="left"/>
              <w:rPr>
                <w:rFonts w:ascii="Times New Roman" w:hAnsi="Times New Roman" w:eastAsia="宋体"/>
              </w:rPr>
            </w:pPr>
            <w:r>
              <w:rPr>
                <w:rFonts w:ascii="Times New Roman" w:hAnsi="Times New Roman" w:eastAsia="宋体"/>
              </w:rPr>
              <w:t>厂区内清洁清扫</w:t>
            </w:r>
          </w:p>
        </w:tc>
        <w:tc>
          <w:tcPr>
            <w:tcW w:w="3509" w:type="dxa"/>
            <w:vAlign w:val="center"/>
          </w:tcPr>
          <w:p>
            <w:pPr>
              <w:widowControl/>
              <w:jc w:val="left"/>
              <w:rPr>
                <w:rFonts w:ascii="Times New Roman" w:hAnsi="Times New Roman" w:eastAsia="宋体"/>
              </w:rPr>
            </w:pPr>
            <w:r>
              <w:rPr>
                <w:rFonts w:ascii="Times New Roman" w:hAnsi="Times New Roman" w:eastAsia="宋体"/>
              </w:rPr>
              <w:t>厂区变整洁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596" w:type="dxa"/>
            <w:vMerge w:val="restart"/>
            <w:vAlign w:val="center"/>
          </w:tcPr>
          <w:p>
            <w:pPr>
              <w:widowControl/>
              <w:jc w:val="left"/>
              <w:rPr>
                <w:rFonts w:ascii="Times New Roman" w:hAnsi="Times New Roman" w:eastAsia="宋体"/>
              </w:rPr>
            </w:pPr>
            <w:r>
              <w:rPr>
                <w:rFonts w:ascii="Times New Roman" w:hAnsi="Times New Roman" w:eastAsia="宋体"/>
              </w:rPr>
              <w:t>提出验收意见</w:t>
            </w:r>
          </w:p>
        </w:tc>
        <w:tc>
          <w:tcPr>
            <w:tcW w:w="3412" w:type="dxa"/>
            <w:vAlign w:val="center"/>
          </w:tcPr>
          <w:p>
            <w:pPr>
              <w:widowControl/>
              <w:jc w:val="left"/>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依照有关验收技术规范，完善验收监测报告相关内容及附图附件，及时公示企业环境信息和竣工验收材料</w:t>
            </w:r>
          </w:p>
        </w:tc>
        <w:tc>
          <w:tcPr>
            <w:tcW w:w="3509" w:type="dxa"/>
            <w:vAlign w:val="center"/>
          </w:tcPr>
          <w:p>
            <w:pPr>
              <w:widowControl/>
              <w:jc w:val="left"/>
              <w:rPr>
                <w:rFonts w:hint="eastAsia"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已完善验收监测报告相关内容及附图附件，并公示企业环境信息和竣工验收材料，</w:t>
            </w:r>
            <w:r>
              <w:rPr>
                <w:rFonts w:hint="eastAsia" w:ascii="Times New Roman" w:hAnsi="Times New Roman" w:eastAsia="宋体" w:cstheme="minorBidi"/>
                <w:kern w:val="2"/>
                <w:sz w:val="21"/>
                <w:szCs w:val="22"/>
                <w:lang w:val="en-US" w:eastAsia="zh-CN" w:bidi="ar-SA"/>
              </w:rPr>
              <w:t>公示期为：2023.01.16-</w:t>
            </w:r>
          </w:p>
          <w:p>
            <w:pPr>
              <w:widowControl/>
              <w:jc w:val="left"/>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cstheme="minorBidi"/>
                <w:kern w:val="2"/>
                <w:sz w:val="21"/>
                <w:szCs w:val="22"/>
                <w:lang w:val="en-US" w:eastAsia="zh-CN" w:bidi="ar-SA"/>
              </w:rPr>
              <w:t>2023.02.27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596" w:type="dxa"/>
            <w:vMerge w:val="continue"/>
            <w:vAlign w:val="center"/>
          </w:tcPr>
          <w:p>
            <w:pPr>
              <w:widowControl/>
              <w:jc w:val="left"/>
              <w:rPr>
                <w:rFonts w:ascii="Times New Roman" w:hAnsi="Times New Roman" w:eastAsia="宋体"/>
              </w:rPr>
            </w:pPr>
          </w:p>
        </w:tc>
        <w:tc>
          <w:tcPr>
            <w:tcW w:w="3412" w:type="dxa"/>
            <w:vAlign w:val="center"/>
          </w:tcPr>
          <w:p>
            <w:pPr>
              <w:widowControl/>
              <w:jc w:val="left"/>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进一步规范固废仓库，做好安全措施、标牌标识和台账记录，单独建设规范危废仓库，危废严格按相关规范转移和管理</w:t>
            </w:r>
          </w:p>
        </w:tc>
        <w:tc>
          <w:tcPr>
            <w:tcW w:w="3509" w:type="dxa"/>
            <w:vAlign w:val="center"/>
          </w:tcPr>
          <w:p>
            <w:pPr>
              <w:widowControl/>
              <w:jc w:val="left"/>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已建设独立危废仓库，已落实危废分类存放、标识标签标牌等规范化建设，待危险废物产生并委托处置后，做好转移联单存放管理</w:t>
            </w:r>
          </w:p>
        </w:tc>
      </w:tr>
    </w:tbl>
    <w:p/>
    <w:p/>
    <w:p/>
    <w:p/>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s="Times New Roman"/>
      </w:rPr>
    </w:pPr>
  </w:p>
  <w:p>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pStyle w:val="20"/>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535827"/>
    </w:sdtPr>
    <w:sdtEndPr>
      <w:rPr>
        <w:rFonts w:ascii="Times New Roman" w:hAnsi="Times New Roman" w:cs="Times New Roman"/>
      </w:rPr>
    </w:sdtEndPr>
    <w:sdtContent>
      <w:p>
        <w:pPr>
          <w:pStyle w:val="20"/>
          <w:wordWrap w:val="0"/>
          <w:ind w:right="360"/>
          <w:jc w:val="right"/>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-12700</wp:posOffset>
                  </wp:positionV>
                  <wp:extent cx="5571490" cy="0"/>
                  <wp:effectExtent l="0" t="0" r="0" b="0"/>
                  <wp:wrapNone/>
                  <wp:docPr id="55"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59264;mso-width-relative:page;mso-height-relative:page;" filled="f" stroked="t" coordsize="21600,21600" o:gfxdata="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TIq/1wAAAAkBAAAPAAAAAAAAAAEAIAAAACIAAABkcnMvZG93bnJldi54bWxQSwEC&#10;FAAUAAAACACHTuJAjvm9VPUBAADkAwAADgAAAAAAAAABACAAAAAmAQAAZHJzL2Uyb0RvYy54bWxQ&#10;SwUGAAAAAAYABgBZAQAAjQU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32"/>
      </w:rPr>
      <mc:AlternateContent>
        <mc:Choice Requires="wps">
          <w:drawing>
            <wp:anchor distT="0" distB="0" distL="114300" distR="114300" simplePos="0" relativeHeight="251661312" behindDoc="1" locked="0" layoutInCell="1" allowOverlap="1">
              <wp:simplePos x="0" y="0"/>
              <wp:positionH relativeFrom="page">
                <wp:posOffset>1211580</wp:posOffset>
              </wp:positionH>
              <wp:positionV relativeFrom="page">
                <wp:posOffset>9939655</wp:posOffset>
              </wp:positionV>
              <wp:extent cx="648970" cy="222885"/>
              <wp:effectExtent l="1905" t="0" r="0" b="635"/>
              <wp:wrapNone/>
              <wp:docPr id="251780" name="文本框 251780"/>
              <wp:cNvGraphicFramePr/>
              <a:graphic xmlns:a="http://schemas.openxmlformats.org/drawingml/2006/main">
                <a:graphicData uri="http://schemas.microsoft.com/office/word/2010/wordprocessingShape">
                  <wps:wsp>
                    <wps:cNvSpPr txBox="1">
                      <a:spLocks noChangeArrowheads="1"/>
                    </wps:cNvSpPr>
                    <wps:spPr bwMode="auto">
                      <a:xfrm>
                        <a:off x="0" y="0"/>
                        <a:ext cx="648970" cy="222885"/>
                      </a:xfrm>
                      <a:prstGeom prst="rect">
                        <a:avLst/>
                      </a:prstGeom>
                      <a:noFill/>
                      <a:ln>
                        <a:noFill/>
                      </a:ln>
                    </wps:spPr>
                    <wps:txbx>
                      <w:txbxContent>
                        <w:p>
                          <w:pPr>
                            <w:spacing w:line="349" w:lineRule="exact"/>
                            <w:ind w:left="20"/>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2</w:t>
                          </w:r>
                          <w:r>
                            <w:fldChar w:fldCharType="end"/>
                          </w:r>
                          <w:r>
                            <w:rPr>
                              <w:rFonts w:ascii="Times New Roman" w:hAnsi="Times New Roman"/>
                              <w:sz w:val="28"/>
                            </w:rPr>
                            <w:t xml:space="preserve"> </w:t>
                          </w:r>
                          <w:r>
                            <w:rPr>
                              <w:rFonts w:ascii="宋体" w:hAnsi="宋体"/>
                              <w:sz w:val="2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5.4pt;margin-top:782.65pt;height:17.55pt;width:51.1pt;mso-position-horizontal-relative:page;mso-position-vertical-relative:page;z-index:-251655168;mso-width-relative:page;mso-height-relative:page;" filled="f" stroked="f" coordsize="21600,21600" o:gfxdata="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gaUraAAAADQEAAA8AAAAA&#10;AAAAAQAgAAAAIgAAAGRycy9kb3ducmV2LnhtbFBLAQIUABQAAAAIAIdO4kAfROK8EgIAAA4EAAAO&#10;AAAAAAAAAAEAIAAAACkBAABkcnMvZTJvRG9jLnhtbFBLBQYAAAAABgAGAFkBAACtBQAAAAA=&#10;">
              <v:fill on="f" focussize="0,0"/>
              <v:stroke on="f"/>
              <v:imagedata o:title=""/>
              <o:lock v:ext="edit" aspectratio="f"/>
              <v:textbox inset="0mm,0mm,0mm,0mm">
                <w:txbxContent>
                  <w:p>
                    <w:pPr>
                      <w:spacing w:line="349" w:lineRule="exact"/>
                      <w:ind w:left="20"/>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2</w:t>
                    </w:r>
                    <w:r>
                      <w:fldChar w:fldCharType="end"/>
                    </w:r>
                    <w:r>
                      <w:rPr>
                        <w:rFonts w:ascii="Times New Roman" w:hAnsi="Times New Roman"/>
                        <w:sz w:val="28"/>
                      </w:rPr>
                      <w:t xml:space="preserve"> </w:t>
                    </w:r>
                    <w:r>
                      <w:rPr>
                        <w:rFonts w:ascii="宋体" w:hAnsi="宋体"/>
                        <w:sz w:val="28"/>
                      </w:rPr>
                      <w:t>—</w:t>
                    </w:r>
                  </w:p>
                </w:txbxContent>
              </v:textbox>
            </v:shape>
          </w:pict>
        </mc:Fallback>
      </mc:AlternateContent>
    </w:r>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1378951"/>
    </w:sdtPr>
    <w:sdtEndPr>
      <w:rPr>
        <w:rFonts w:ascii="Times New Roman" w:hAnsi="Times New Roman" w:cs="Times New Roman"/>
      </w:rPr>
    </w:sdtEndPr>
    <w:sdtContent>
      <w:p>
        <w:pPr>
          <w:pStyle w:val="20"/>
          <w:wordWrap w:val="0"/>
          <w:ind w:right="360"/>
          <w:jc w:val="right"/>
          <w:rPr>
            <w:rFonts w:ascii="Times New Roman" w:hAnsi="Times New Roman" w:cs="Times New Roman"/>
          </w:rPr>
        </w:pPr>
        <w: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-12700</wp:posOffset>
                  </wp:positionV>
                  <wp:extent cx="5571490" cy="0"/>
                  <wp:effectExtent l="0" t="0" r="0" b="0"/>
                  <wp:wrapNone/>
                  <wp:docPr id="28"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60288;mso-width-relative:page;mso-height-relative:page;" filled="f" stroked="t" coordsize="21600,21600" o:gfxdata="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TIq/1wAAAAkBAAAPAAAAAAAAAAEAIAAAACIAAABkcnMvZG93bnJldi54bWxQSwEC&#10;FAAUAAAACACHTuJAuk58U/UBAADkAwAADgAAAAAAAAABACAAAAAmAQAAZHJzL2Uyb0RvYy54bWxQ&#10;SwUGAAAAAAYABgBZAQAAjQU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7952"/>
      </w:tabs>
      <w:ind w:right="360"/>
      <w:jc w:val="both"/>
    </w:pPr>
    <w:r>
      <w:rPr>
        <w:rStyle w:val="36"/>
      </w:rPr>
      <w:tab/>
    </w:r>
    <w:r>
      <w:rPr>
        <w:rStyle w:val="36"/>
      </w:rPr>
      <w:tab/>
    </w:r>
    <w:r>
      <w:rPr>
        <w:rStyle w:val="3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ascii="Times New Roman" w:hAnsi="Times New Roman" w:cs="Times New Roman"/>
      </w:rPr>
    </w:pPr>
    <w:r>
      <w:rPr>
        <w:rFonts w:hint="eastAsia"/>
        <w:lang w:eastAsia="zh-CN"/>
      </w:rPr>
      <w:t>浦江金理衣架有限公司</w:t>
    </w:r>
    <w:r>
      <w:rPr>
        <w:rFonts w:hint="eastAsia" w:ascii="Times New Roman" w:hAnsi="Times New Roman" w:cs="Times New Roman"/>
        <w:lang w:eastAsia="zh-CN"/>
      </w:rPr>
      <w:t>年产1430万个衣架生产线建设项目</w:t>
    </w:r>
    <w:r>
      <w:rPr>
        <w:rFonts w:hint="default" w:ascii="Times New Roman" w:hAnsi="Times New Roman" w:cs="Times New Roman"/>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CBC2E"/>
    <w:multiLevelType w:val="singleLevel"/>
    <w:tmpl w:val="845CBC2E"/>
    <w:lvl w:ilvl="0" w:tentative="0">
      <w:start w:val="1"/>
      <w:numFmt w:val="decimal"/>
      <w:suff w:val="nothing"/>
      <w:lvlText w:val="%1、"/>
      <w:lvlJc w:val="left"/>
    </w:lvl>
  </w:abstractNum>
  <w:abstractNum w:abstractNumId="1">
    <w:nsid w:val="B4B2F4F7"/>
    <w:multiLevelType w:val="singleLevel"/>
    <w:tmpl w:val="B4B2F4F7"/>
    <w:lvl w:ilvl="0" w:tentative="0">
      <w:start w:val="1"/>
      <w:numFmt w:val="decimal"/>
      <w:suff w:val="nothing"/>
      <w:lvlText w:val="（%1）"/>
      <w:lvlJc w:val="left"/>
    </w:lvl>
  </w:abstractNum>
  <w:abstractNum w:abstractNumId="2">
    <w:nsid w:val="D96FA753"/>
    <w:multiLevelType w:val="singleLevel"/>
    <w:tmpl w:val="D96FA753"/>
    <w:lvl w:ilvl="0" w:tentative="0">
      <w:start w:val="1"/>
      <w:numFmt w:val="decimal"/>
      <w:suff w:val="nothing"/>
      <w:lvlText w:val="%1、"/>
      <w:lvlJc w:val="left"/>
    </w:lvl>
  </w:abstractNum>
  <w:abstractNum w:abstractNumId="3">
    <w:nsid w:val="082CF650"/>
    <w:multiLevelType w:val="singleLevel"/>
    <w:tmpl w:val="082CF650"/>
    <w:lvl w:ilvl="0" w:tentative="0">
      <w:start w:val="1"/>
      <w:numFmt w:val="decimal"/>
      <w:lvlText w:val="%1."/>
      <w:lvlJc w:val="left"/>
      <w:pPr>
        <w:ind w:left="425" w:hanging="425"/>
      </w:pPr>
      <w:rPr>
        <w:rFonts w:hint="default"/>
      </w:rPr>
    </w:lvl>
  </w:abstractNum>
  <w:abstractNum w:abstractNumId="4">
    <w:nsid w:val="464B79EC"/>
    <w:multiLevelType w:val="multilevel"/>
    <w:tmpl w:val="464B79EC"/>
    <w:lvl w:ilvl="0" w:tentative="0">
      <w:start w:val="1"/>
      <w:numFmt w:val="decimal"/>
      <w:lvlText w:val="（%1）"/>
      <w:lvlJc w:val="left"/>
      <w:pPr>
        <w:ind w:left="1080"/>
      </w:pPr>
      <w:rPr>
        <w:rFonts w:ascii="Times New Roman" w:hAnsi="Times New Roman" w:eastAsia="微软雅黑" w:cs="微软雅黑"/>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6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8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0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2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4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6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8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0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abstractNum>
  <w:abstractNum w:abstractNumId="5">
    <w:nsid w:val="53942525"/>
    <w:multiLevelType w:val="multilevel"/>
    <w:tmpl w:val="53942525"/>
    <w:lvl w:ilvl="0" w:tentative="0">
      <w:start w:val="1"/>
      <w:numFmt w:val="decimal"/>
      <w:lvlText w:val="  %1."/>
      <w:lvlJc w:val="center"/>
      <w:pPr>
        <w:ind w:left="630" w:hanging="420"/>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6">
    <w:nsid w:val="6AF121D0"/>
    <w:multiLevelType w:val="singleLevel"/>
    <w:tmpl w:val="6AF121D0"/>
    <w:lvl w:ilvl="0" w:tentative="0">
      <w:start w:val="1"/>
      <w:numFmt w:val="decimal"/>
      <w:suff w:val="space"/>
      <w:lvlText w:val="（%1）"/>
      <w:lvlJc w:val="left"/>
    </w:lvl>
  </w:abstractNum>
  <w:num w:numId="1">
    <w:abstractNumId w:val="1"/>
  </w:num>
  <w:num w:numId="2">
    <w:abstractNumId w:val="6"/>
  </w:num>
  <w:num w:numId="3">
    <w:abstractNumId w:val="5"/>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2MTYyZjhlNDJhNWJkNjY4ZGJmYmJiNjY5MjYxOTE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40CF"/>
    <w:rsid w:val="00031773"/>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DE4"/>
    <w:rsid w:val="000675AC"/>
    <w:rsid w:val="0006762A"/>
    <w:rsid w:val="00067A5D"/>
    <w:rsid w:val="00070B88"/>
    <w:rsid w:val="0007154F"/>
    <w:rsid w:val="000719BD"/>
    <w:rsid w:val="00072273"/>
    <w:rsid w:val="0007260E"/>
    <w:rsid w:val="0007303B"/>
    <w:rsid w:val="00073B46"/>
    <w:rsid w:val="00073CBA"/>
    <w:rsid w:val="00073F4A"/>
    <w:rsid w:val="00074804"/>
    <w:rsid w:val="00076079"/>
    <w:rsid w:val="00077FB5"/>
    <w:rsid w:val="00080079"/>
    <w:rsid w:val="00080455"/>
    <w:rsid w:val="0008278A"/>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74E4"/>
    <w:rsid w:val="000C7D5E"/>
    <w:rsid w:val="000C7F12"/>
    <w:rsid w:val="000D052E"/>
    <w:rsid w:val="000D07CD"/>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613"/>
    <w:rsid w:val="000F7B41"/>
    <w:rsid w:val="001002E4"/>
    <w:rsid w:val="00102633"/>
    <w:rsid w:val="00102657"/>
    <w:rsid w:val="00102D60"/>
    <w:rsid w:val="00103F54"/>
    <w:rsid w:val="00104758"/>
    <w:rsid w:val="00104F16"/>
    <w:rsid w:val="0010568B"/>
    <w:rsid w:val="001078BF"/>
    <w:rsid w:val="001105D8"/>
    <w:rsid w:val="001112CC"/>
    <w:rsid w:val="001114F8"/>
    <w:rsid w:val="00112F2A"/>
    <w:rsid w:val="0011317E"/>
    <w:rsid w:val="00115A83"/>
    <w:rsid w:val="001166CE"/>
    <w:rsid w:val="0011778D"/>
    <w:rsid w:val="00117B0F"/>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2B89"/>
    <w:rsid w:val="00133C24"/>
    <w:rsid w:val="0013443B"/>
    <w:rsid w:val="00134C5F"/>
    <w:rsid w:val="00136751"/>
    <w:rsid w:val="00136AB4"/>
    <w:rsid w:val="00137D31"/>
    <w:rsid w:val="00137E85"/>
    <w:rsid w:val="00140283"/>
    <w:rsid w:val="00140E6F"/>
    <w:rsid w:val="00140F86"/>
    <w:rsid w:val="00141D26"/>
    <w:rsid w:val="00142330"/>
    <w:rsid w:val="0014366B"/>
    <w:rsid w:val="00144DDD"/>
    <w:rsid w:val="001450F8"/>
    <w:rsid w:val="001455DA"/>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25CD"/>
    <w:rsid w:val="001A32A3"/>
    <w:rsid w:val="001A341E"/>
    <w:rsid w:val="001A726B"/>
    <w:rsid w:val="001A7B0F"/>
    <w:rsid w:val="001B0277"/>
    <w:rsid w:val="001B1A1C"/>
    <w:rsid w:val="001B1BF0"/>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906"/>
    <w:rsid w:val="00221E08"/>
    <w:rsid w:val="002223A2"/>
    <w:rsid w:val="0022431C"/>
    <w:rsid w:val="00224920"/>
    <w:rsid w:val="00224CE4"/>
    <w:rsid w:val="002250DD"/>
    <w:rsid w:val="00225599"/>
    <w:rsid w:val="00225FA9"/>
    <w:rsid w:val="00226BB6"/>
    <w:rsid w:val="00226E21"/>
    <w:rsid w:val="00226FF9"/>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24F3"/>
    <w:rsid w:val="00243118"/>
    <w:rsid w:val="00245975"/>
    <w:rsid w:val="00245BB7"/>
    <w:rsid w:val="00247638"/>
    <w:rsid w:val="002546AF"/>
    <w:rsid w:val="002554EF"/>
    <w:rsid w:val="00255798"/>
    <w:rsid w:val="002575DC"/>
    <w:rsid w:val="00260E14"/>
    <w:rsid w:val="00265C57"/>
    <w:rsid w:val="00266886"/>
    <w:rsid w:val="0026688A"/>
    <w:rsid w:val="00267D45"/>
    <w:rsid w:val="00271CB3"/>
    <w:rsid w:val="00272386"/>
    <w:rsid w:val="0027289A"/>
    <w:rsid w:val="002737D4"/>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53D1"/>
    <w:rsid w:val="00297F33"/>
    <w:rsid w:val="002A050B"/>
    <w:rsid w:val="002A0941"/>
    <w:rsid w:val="002A1B4E"/>
    <w:rsid w:val="002A2953"/>
    <w:rsid w:val="002A3393"/>
    <w:rsid w:val="002A43D2"/>
    <w:rsid w:val="002A676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4553"/>
    <w:rsid w:val="0030472D"/>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B3F"/>
    <w:rsid w:val="00326DB2"/>
    <w:rsid w:val="00327057"/>
    <w:rsid w:val="00330177"/>
    <w:rsid w:val="00330228"/>
    <w:rsid w:val="00330673"/>
    <w:rsid w:val="00330A4B"/>
    <w:rsid w:val="00331917"/>
    <w:rsid w:val="00331933"/>
    <w:rsid w:val="00334A69"/>
    <w:rsid w:val="003350C8"/>
    <w:rsid w:val="00335A25"/>
    <w:rsid w:val="00336A55"/>
    <w:rsid w:val="003401D5"/>
    <w:rsid w:val="00342694"/>
    <w:rsid w:val="003429B6"/>
    <w:rsid w:val="00342FA4"/>
    <w:rsid w:val="003448B3"/>
    <w:rsid w:val="00344A98"/>
    <w:rsid w:val="00344F85"/>
    <w:rsid w:val="00345278"/>
    <w:rsid w:val="00345474"/>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EE2"/>
    <w:rsid w:val="003939A6"/>
    <w:rsid w:val="00393A18"/>
    <w:rsid w:val="003942BC"/>
    <w:rsid w:val="00396E5E"/>
    <w:rsid w:val="003A08B3"/>
    <w:rsid w:val="003A170B"/>
    <w:rsid w:val="003A20BF"/>
    <w:rsid w:val="003A5D6E"/>
    <w:rsid w:val="003A6941"/>
    <w:rsid w:val="003A69C1"/>
    <w:rsid w:val="003A7F82"/>
    <w:rsid w:val="003B0FC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2202"/>
    <w:rsid w:val="003F440B"/>
    <w:rsid w:val="003F4AFD"/>
    <w:rsid w:val="003F50A9"/>
    <w:rsid w:val="003F50DF"/>
    <w:rsid w:val="003F7FD4"/>
    <w:rsid w:val="0040000B"/>
    <w:rsid w:val="00400531"/>
    <w:rsid w:val="00400B88"/>
    <w:rsid w:val="00400E28"/>
    <w:rsid w:val="00401670"/>
    <w:rsid w:val="00401739"/>
    <w:rsid w:val="00402C5E"/>
    <w:rsid w:val="00402DB2"/>
    <w:rsid w:val="00405102"/>
    <w:rsid w:val="00405B21"/>
    <w:rsid w:val="00405B4C"/>
    <w:rsid w:val="004060AB"/>
    <w:rsid w:val="00406F6F"/>
    <w:rsid w:val="0040776E"/>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3068"/>
    <w:rsid w:val="0045387B"/>
    <w:rsid w:val="0045450B"/>
    <w:rsid w:val="0045576F"/>
    <w:rsid w:val="00455C85"/>
    <w:rsid w:val="00456EB1"/>
    <w:rsid w:val="00457E94"/>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3C4"/>
    <w:rsid w:val="00496AB3"/>
    <w:rsid w:val="004A041B"/>
    <w:rsid w:val="004A073D"/>
    <w:rsid w:val="004A18DF"/>
    <w:rsid w:val="004A192E"/>
    <w:rsid w:val="004A1B5A"/>
    <w:rsid w:val="004A1DA2"/>
    <w:rsid w:val="004A33F9"/>
    <w:rsid w:val="004A5171"/>
    <w:rsid w:val="004A5525"/>
    <w:rsid w:val="004A671A"/>
    <w:rsid w:val="004A6F06"/>
    <w:rsid w:val="004A7127"/>
    <w:rsid w:val="004A7AC7"/>
    <w:rsid w:val="004A7D54"/>
    <w:rsid w:val="004B1816"/>
    <w:rsid w:val="004B1B7D"/>
    <w:rsid w:val="004B25BF"/>
    <w:rsid w:val="004B264C"/>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E0429"/>
    <w:rsid w:val="004E1C7E"/>
    <w:rsid w:val="004E29FB"/>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68"/>
    <w:rsid w:val="00501AB9"/>
    <w:rsid w:val="00502524"/>
    <w:rsid w:val="00502CB6"/>
    <w:rsid w:val="00505198"/>
    <w:rsid w:val="005052C9"/>
    <w:rsid w:val="005055AA"/>
    <w:rsid w:val="005056F3"/>
    <w:rsid w:val="00505AAB"/>
    <w:rsid w:val="005067BD"/>
    <w:rsid w:val="00507472"/>
    <w:rsid w:val="005077D8"/>
    <w:rsid w:val="00507BFD"/>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7D2"/>
    <w:rsid w:val="00561D93"/>
    <w:rsid w:val="00562B2E"/>
    <w:rsid w:val="00563D40"/>
    <w:rsid w:val="00564413"/>
    <w:rsid w:val="00564549"/>
    <w:rsid w:val="005649BC"/>
    <w:rsid w:val="00564D04"/>
    <w:rsid w:val="0056504F"/>
    <w:rsid w:val="00565154"/>
    <w:rsid w:val="005654D7"/>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DB6"/>
    <w:rsid w:val="005813FD"/>
    <w:rsid w:val="00582421"/>
    <w:rsid w:val="005829B6"/>
    <w:rsid w:val="00582B6D"/>
    <w:rsid w:val="0058343D"/>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687"/>
    <w:rsid w:val="005A16EE"/>
    <w:rsid w:val="005A2FBC"/>
    <w:rsid w:val="005A3A77"/>
    <w:rsid w:val="005A3E96"/>
    <w:rsid w:val="005A653D"/>
    <w:rsid w:val="005A6C62"/>
    <w:rsid w:val="005A7854"/>
    <w:rsid w:val="005B0165"/>
    <w:rsid w:val="005B0257"/>
    <w:rsid w:val="005B1AF2"/>
    <w:rsid w:val="005B2856"/>
    <w:rsid w:val="005B2907"/>
    <w:rsid w:val="005B29E7"/>
    <w:rsid w:val="005B3226"/>
    <w:rsid w:val="005B374C"/>
    <w:rsid w:val="005B3DD8"/>
    <w:rsid w:val="005B40F9"/>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213E"/>
    <w:rsid w:val="00632BEE"/>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432B"/>
    <w:rsid w:val="00675A08"/>
    <w:rsid w:val="006800FB"/>
    <w:rsid w:val="00680726"/>
    <w:rsid w:val="006809CC"/>
    <w:rsid w:val="0068105C"/>
    <w:rsid w:val="00683C61"/>
    <w:rsid w:val="00683FEA"/>
    <w:rsid w:val="006848C6"/>
    <w:rsid w:val="00684D90"/>
    <w:rsid w:val="00685535"/>
    <w:rsid w:val="00686445"/>
    <w:rsid w:val="006879DF"/>
    <w:rsid w:val="00690183"/>
    <w:rsid w:val="006912DE"/>
    <w:rsid w:val="006914BF"/>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13F5"/>
    <w:rsid w:val="006C195C"/>
    <w:rsid w:val="006C1F11"/>
    <w:rsid w:val="006C30AA"/>
    <w:rsid w:val="006C38E8"/>
    <w:rsid w:val="006C3938"/>
    <w:rsid w:val="006C39DB"/>
    <w:rsid w:val="006C5C3A"/>
    <w:rsid w:val="006C78BC"/>
    <w:rsid w:val="006C78C6"/>
    <w:rsid w:val="006C7E64"/>
    <w:rsid w:val="006D0822"/>
    <w:rsid w:val="006D0CD2"/>
    <w:rsid w:val="006D352E"/>
    <w:rsid w:val="006D4CDE"/>
    <w:rsid w:val="006D52E8"/>
    <w:rsid w:val="006D5E0C"/>
    <w:rsid w:val="006D604E"/>
    <w:rsid w:val="006D6DCA"/>
    <w:rsid w:val="006D7821"/>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43CA"/>
    <w:rsid w:val="006F4A5F"/>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49A7"/>
    <w:rsid w:val="00734E9A"/>
    <w:rsid w:val="00735E01"/>
    <w:rsid w:val="007363CD"/>
    <w:rsid w:val="00740DEF"/>
    <w:rsid w:val="00741573"/>
    <w:rsid w:val="00742BB0"/>
    <w:rsid w:val="00742DBA"/>
    <w:rsid w:val="00742DF0"/>
    <w:rsid w:val="00743164"/>
    <w:rsid w:val="0074589D"/>
    <w:rsid w:val="00745F8F"/>
    <w:rsid w:val="00750F8A"/>
    <w:rsid w:val="0075111A"/>
    <w:rsid w:val="007513EB"/>
    <w:rsid w:val="00752561"/>
    <w:rsid w:val="00752A84"/>
    <w:rsid w:val="00752C16"/>
    <w:rsid w:val="00753346"/>
    <w:rsid w:val="0075375F"/>
    <w:rsid w:val="007539BD"/>
    <w:rsid w:val="007558A7"/>
    <w:rsid w:val="00755C1F"/>
    <w:rsid w:val="00755C99"/>
    <w:rsid w:val="007564EE"/>
    <w:rsid w:val="007566DA"/>
    <w:rsid w:val="00756B4D"/>
    <w:rsid w:val="007575D8"/>
    <w:rsid w:val="00757A5F"/>
    <w:rsid w:val="00761A84"/>
    <w:rsid w:val="00763EE8"/>
    <w:rsid w:val="00763F8E"/>
    <w:rsid w:val="0076515E"/>
    <w:rsid w:val="007665CD"/>
    <w:rsid w:val="00766D0C"/>
    <w:rsid w:val="00770833"/>
    <w:rsid w:val="007710A6"/>
    <w:rsid w:val="00771AA7"/>
    <w:rsid w:val="007727E7"/>
    <w:rsid w:val="007729CA"/>
    <w:rsid w:val="00773CBB"/>
    <w:rsid w:val="007752BF"/>
    <w:rsid w:val="007755EF"/>
    <w:rsid w:val="00775C6A"/>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A0D"/>
    <w:rsid w:val="00811871"/>
    <w:rsid w:val="00811DD9"/>
    <w:rsid w:val="008133C2"/>
    <w:rsid w:val="008143EC"/>
    <w:rsid w:val="008154C8"/>
    <w:rsid w:val="00815E93"/>
    <w:rsid w:val="0081661F"/>
    <w:rsid w:val="00816B9A"/>
    <w:rsid w:val="00821965"/>
    <w:rsid w:val="00824C17"/>
    <w:rsid w:val="0082517F"/>
    <w:rsid w:val="00825FD8"/>
    <w:rsid w:val="008267ED"/>
    <w:rsid w:val="00827122"/>
    <w:rsid w:val="0083033D"/>
    <w:rsid w:val="00830A4D"/>
    <w:rsid w:val="00832929"/>
    <w:rsid w:val="0083390D"/>
    <w:rsid w:val="00834442"/>
    <w:rsid w:val="00834F9C"/>
    <w:rsid w:val="00836D32"/>
    <w:rsid w:val="00836F5E"/>
    <w:rsid w:val="0084056A"/>
    <w:rsid w:val="008405B5"/>
    <w:rsid w:val="0084086C"/>
    <w:rsid w:val="00840934"/>
    <w:rsid w:val="00843157"/>
    <w:rsid w:val="00844D83"/>
    <w:rsid w:val="00845EAC"/>
    <w:rsid w:val="008462CD"/>
    <w:rsid w:val="008465EB"/>
    <w:rsid w:val="00846717"/>
    <w:rsid w:val="00846E5D"/>
    <w:rsid w:val="008516C1"/>
    <w:rsid w:val="00852081"/>
    <w:rsid w:val="008526A3"/>
    <w:rsid w:val="00852708"/>
    <w:rsid w:val="008534EE"/>
    <w:rsid w:val="008543FC"/>
    <w:rsid w:val="008547BA"/>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B09"/>
    <w:rsid w:val="00880BF5"/>
    <w:rsid w:val="008816F8"/>
    <w:rsid w:val="00882229"/>
    <w:rsid w:val="008828E4"/>
    <w:rsid w:val="008833CB"/>
    <w:rsid w:val="00883BA6"/>
    <w:rsid w:val="00884466"/>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4FF"/>
    <w:rsid w:val="00897D42"/>
    <w:rsid w:val="008A0B24"/>
    <w:rsid w:val="008A109B"/>
    <w:rsid w:val="008A1FA9"/>
    <w:rsid w:val="008A269E"/>
    <w:rsid w:val="008A27A3"/>
    <w:rsid w:val="008A3795"/>
    <w:rsid w:val="008A3F1C"/>
    <w:rsid w:val="008A46F2"/>
    <w:rsid w:val="008A4FF4"/>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996"/>
    <w:rsid w:val="008C63AA"/>
    <w:rsid w:val="008C7C9B"/>
    <w:rsid w:val="008D1C2C"/>
    <w:rsid w:val="008D3FE7"/>
    <w:rsid w:val="008D6CBB"/>
    <w:rsid w:val="008D7311"/>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55CE"/>
    <w:rsid w:val="009155D3"/>
    <w:rsid w:val="00916FFF"/>
    <w:rsid w:val="00920225"/>
    <w:rsid w:val="00920F41"/>
    <w:rsid w:val="00921840"/>
    <w:rsid w:val="0092239A"/>
    <w:rsid w:val="009250E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5172"/>
    <w:rsid w:val="00955255"/>
    <w:rsid w:val="00955D78"/>
    <w:rsid w:val="0095601F"/>
    <w:rsid w:val="00956811"/>
    <w:rsid w:val="0096008D"/>
    <w:rsid w:val="00960222"/>
    <w:rsid w:val="00960483"/>
    <w:rsid w:val="00960833"/>
    <w:rsid w:val="009654E6"/>
    <w:rsid w:val="009670A8"/>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5B5A"/>
    <w:rsid w:val="00985C24"/>
    <w:rsid w:val="0098647A"/>
    <w:rsid w:val="00986BD5"/>
    <w:rsid w:val="00987370"/>
    <w:rsid w:val="009909BB"/>
    <w:rsid w:val="009910DD"/>
    <w:rsid w:val="009913A7"/>
    <w:rsid w:val="009917B3"/>
    <w:rsid w:val="00991822"/>
    <w:rsid w:val="00992353"/>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BA4"/>
    <w:rsid w:val="009B22D5"/>
    <w:rsid w:val="009B2807"/>
    <w:rsid w:val="009B40D6"/>
    <w:rsid w:val="009B539D"/>
    <w:rsid w:val="009B58B2"/>
    <w:rsid w:val="009B59E2"/>
    <w:rsid w:val="009B5B79"/>
    <w:rsid w:val="009B72BB"/>
    <w:rsid w:val="009B7944"/>
    <w:rsid w:val="009B7E46"/>
    <w:rsid w:val="009C0386"/>
    <w:rsid w:val="009C0423"/>
    <w:rsid w:val="009C233C"/>
    <w:rsid w:val="009C2DE2"/>
    <w:rsid w:val="009C4C90"/>
    <w:rsid w:val="009C52C7"/>
    <w:rsid w:val="009C5748"/>
    <w:rsid w:val="009C640F"/>
    <w:rsid w:val="009C6DC8"/>
    <w:rsid w:val="009C7702"/>
    <w:rsid w:val="009D004E"/>
    <w:rsid w:val="009D01E0"/>
    <w:rsid w:val="009D0DD9"/>
    <w:rsid w:val="009D2F3F"/>
    <w:rsid w:val="009D3306"/>
    <w:rsid w:val="009D45B8"/>
    <w:rsid w:val="009D48E3"/>
    <w:rsid w:val="009D4D01"/>
    <w:rsid w:val="009D576F"/>
    <w:rsid w:val="009D5B00"/>
    <w:rsid w:val="009D75A6"/>
    <w:rsid w:val="009E0C64"/>
    <w:rsid w:val="009E199F"/>
    <w:rsid w:val="009E2BC8"/>
    <w:rsid w:val="009E3997"/>
    <w:rsid w:val="009E3F4C"/>
    <w:rsid w:val="009E4734"/>
    <w:rsid w:val="009E49CA"/>
    <w:rsid w:val="009E4B65"/>
    <w:rsid w:val="009E5ADD"/>
    <w:rsid w:val="009E5BAF"/>
    <w:rsid w:val="009E7B6E"/>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F0"/>
    <w:rsid w:val="00A10A19"/>
    <w:rsid w:val="00A10ACF"/>
    <w:rsid w:val="00A1145D"/>
    <w:rsid w:val="00A1180E"/>
    <w:rsid w:val="00A1198F"/>
    <w:rsid w:val="00A11A36"/>
    <w:rsid w:val="00A161DA"/>
    <w:rsid w:val="00A172AC"/>
    <w:rsid w:val="00A20180"/>
    <w:rsid w:val="00A203E4"/>
    <w:rsid w:val="00A21132"/>
    <w:rsid w:val="00A2119A"/>
    <w:rsid w:val="00A227C1"/>
    <w:rsid w:val="00A2329C"/>
    <w:rsid w:val="00A24637"/>
    <w:rsid w:val="00A24A1A"/>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4028"/>
    <w:rsid w:val="00A74041"/>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341C"/>
    <w:rsid w:val="00AE343E"/>
    <w:rsid w:val="00AE3894"/>
    <w:rsid w:val="00AE4E29"/>
    <w:rsid w:val="00AE5048"/>
    <w:rsid w:val="00AE54C7"/>
    <w:rsid w:val="00AF29DE"/>
    <w:rsid w:val="00AF3823"/>
    <w:rsid w:val="00AF451B"/>
    <w:rsid w:val="00AF5ACC"/>
    <w:rsid w:val="00AF5CF0"/>
    <w:rsid w:val="00AF5EC6"/>
    <w:rsid w:val="00AF682E"/>
    <w:rsid w:val="00AF6DAB"/>
    <w:rsid w:val="00AF6E02"/>
    <w:rsid w:val="00AF7410"/>
    <w:rsid w:val="00AF7FAB"/>
    <w:rsid w:val="00B00292"/>
    <w:rsid w:val="00B00B29"/>
    <w:rsid w:val="00B0124D"/>
    <w:rsid w:val="00B029C8"/>
    <w:rsid w:val="00B03AF9"/>
    <w:rsid w:val="00B04264"/>
    <w:rsid w:val="00B0470A"/>
    <w:rsid w:val="00B04907"/>
    <w:rsid w:val="00B04E30"/>
    <w:rsid w:val="00B056DD"/>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267"/>
    <w:rsid w:val="00B86C6C"/>
    <w:rsid w:val="00B86D83"/>
    <w:rsid w:val="00B87148"/>
    <w:rsid w:val="00B87312"/>
    <w:rsid w:val="00B8783F"/>
    <w:rsid w:val="00B87B4A"/>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1189"/>
    <w:rsid w:val="00BC2B80"/>
    <w:rsid w:val="00BC2ECE"/>
    <w:rsid w:val="00BC5273"/>
    <w:rsid w:val="00BC688B"/>
    <w:rsid w:val="00BC6C0F"/>
    <w:rsid w:val="00BD008C"/>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7C9A"/>
    <w:rsid w:val="00BF7DB5"/>
    <w:rsid w:val="00C00D58"/>
    <w:rsid w:val="00C039F0"/>
    <w:rsid w:val="00C048FC"/>
    <w:rsid w:val="00C0492A"/>
    <w:rsid w:val="00C04F4D"/>
    <w:rsid w:val="00C05CE0"/>
    <w:rsid w:val="00C05EB1"/>
    <w:rsid w:val="00C07070"/>
    <w:rsid w:val="00C11380"/>
    <w:rsid w:val="00C12D97"/>
    <w:rsid w:val="00C12E6C"/>
    <w:rsid w:val="00C132B1"/>
    <w:rsid w:val="00C13341"/>
    <w:rsid w:val="00C13943"/>
    <w:rsid w:val="00C1427C"/>
    <w:rsid w:val="00C157EB"/>
    <w:rsid w:val="00C15FF2"/>
    <w:rsid w:val="00C17F20"/>
    <w:rsid w:val="00C20406"/>
    <w:rsid w:val="00C21761"/>
    <w:rsid w:val="00C219C2"/>
    <w:rsid w:val="00C25581"/>
    <w:rsid w:val="00C26BDD"/>
    <w:rsid w:val="00C27226"/>
    <w:rsid w:val="00C2722E"/>
    <w:rsid w:val="00C2782C"/>
    <w:rsid w:val="00C27E38"/>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810"/>
    <w:rsid w:val="00C521F0"/>
    <w:rsid w:val="00C5260A"/>
    <w:rsid w:val="00C53C52"/>
    <w:rsid w:val="00C55368"/>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E65"/>
    <w:rsid w:val="00CA5AAA"/>
    <w:rsid w:val="00CA7A68"/>
    <w:rsid w:val="00CB0652"/>
    <w:rsid w:val="00CB1683"/>
    <w:rsid w:val="00CB1CA9"/>
    <w:rsid w:val="00CB2084"/>
    <w:rsid w:val="00CB228B"/>
    <w:rsid w:val="00CB29F0"/>
    <w:rsid w:val="00CB2B34"/>
    <w:rsid w:val="00CB5132"/>
    <w:rsid w:val="00CB543D"/>
    <w:rsid w:val="00CB5ECB"/>
    <w:rsid w:val="00CB7E5F"/>
    <w:rsid w:val="00CC0A8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B79"/>
    <w:rsid w:val="00CD5C35"/>
    <w:rsid w:val="00CD63BB"/>
    <w:rsid w:val="00CD6E9C"/>
    <w:rsid w:val="00CD79DF"/>
    <w:rsid w:val="00CD7FF8"/>
    <w:rsid w:val="00CE04D0"/>
    <w:rsid w:val="00CE181E"/>
    <w:rsid w:val="00CE189D"/>
    <w:rsid w:val="00CE358E"/>
    <w:rsid w:val="00CE3C41"/>
    <w:rsid w:val="00CE6443"/>
    <w:rsid w:val="00CE6968"/>
    <w:rsid w:val="00CF1C68"/>
    <w:rsid w:val="00CF2D2C"/>
    <w:rsid w:val="00CF4D03"/>
    <w:rsid w:val="00CF57C2"/>
    <w:rsid w:val="00CF5AB6"/>
    <w:rsid w:val="00CF5F32"/>
    <w:rsid w:val="00CF6399"/>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FCE"/>
    <w:rsid w:val="00D23893"/>
    <w:rsid w:val="00D24788"/>
    <w:rsid w:val="00D25BB1"/>
    <w:rsid w:val="00D26714"/>
    <w:rsid w:val="00D27489"/>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3262"/>
    <w:rsid w:val="00D535BB"/>
    <w:rsid w:val="00D54D08"/>
    <w:rsid w:val="00D55C34"/>
    <w:rsid w:val="00D57111"/>
    <w:rsid w:val="00D574C1"/>
    <w:rsid w:val="00D6075B"/>
    <w:rsid w:val="00D613F9"/>
    <w:rsid w:val="00D61EAA"/>
    <w:rsid w:val="00D6275E"/>
    <w:rsid w:val="00D63D6C"/>
    <w:rsid w:val="00D64211"/>
    <w:rsid w:val="00D64B9E"/>
    <w:rsid w:val="00D66AC2"/>
    <w:rsid w:val="00D7016B"/>
    <w:rsid w:val="00D70B15"/>
    <w:rsid w:val="00D70E9A"/>
    <w:rsid w:val="00D7146E"/>
    <w:rsid w:val="00D71615"/>
    <w:rsid w:val="00D7241D"/>
    <w:rsid w:val="00D729C3"/>
    <w:rsid w:val="00D730F7"/>
    <w:rsid w:val="00D737E7"/>
    <w:rsid w:val="00D7424D"/>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DC2"/>
    <w:rsid w:val="00D900A8"/>
    <w:rsid w:val="00D90590"/>
    <w:rsid w:val="00D91171"/>
    <w:rsid w:val="00D91ECF"/>
    <w:rsid w:val="00D92AB5"/>
    <w:rsid w:val="00D92B4F"/>
    <w:rsid w:val="00D94A3D"/>
    <w:rsid w:val="00D95AD4"/>
    <w:rsid w:val="00D96C29"/>
    <w:rsid w:val="00D97246"/>
    <w:rsid w:val="00D97BE4"/>
    <w:rsid w:val="00D97D0C"/>
    <w:rsid w:val="00D97F21"/>
    <w:rsid w:val="00DA1428"/>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6D2"/>
    <w:rsid w:val="00DB4B1C"/>
    <w:rsid w:val="00DB5455"/>
    <w:rsid w:val="00DB61E1"/>
    <w:rsid w:val="00DB67D0"/>
    <w:rsid w:val="00DB68B9"/>
    <w:rsid w:val="00DB6AB1"/>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BC6"/>
    <w:rsid w:val="00E47DD4"/>
    <w:rsid w:val="00E503C6"/>
    <w:rsid w:val="00E51B73"/>
    <w:rsid w:val="00E524B9"/>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20C14"/>
    <w:rsid w:val="00F20CEF"/>
    <w:rsid w:val="00F20E86"/>
    <w:rsid w:val="00F21BF5"/>
    <w:rsid w:val="00F21D0F"/>
    <w:rsid w:val="00F23E7F"/>
    <w:rsid w:val="00F24B9E"/>
    <w:rsid w:val="00F260A7"/>
    <w:rsid w:val="00F26EFB"/>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EE7"/>
    <w:rsid w:val="00F516AB"/>
    <w:rsid w:val="00F51DBD"/>
    <w:rsid w:val="00F53700"/>
    <w:rsid w:val="00F541FC"/>
    <w:rsid w:val="00F55A59"/>
    <w:rsid w:val="00F564C7"/>
    <w:rsid w:val="00F5681D"/>
    <w:rsid w:val="00F57831"/>
    <w:rsid w:val="00F60B4F"/>
    <w:rsid w:val="00F60E23"/>
    <w:rsid w:val="00F60E6E"/>
    <w:rsid w:val="00F62D05"/>
    <w:rsid w:val="00F63F8C"/>
    <w:rsid w:val="00F64068"/>
    <w:rsid w:val="00F6633A"/>
    <w:rsid w:val="00F674AD"/>
    <w:rsid w:val="00F6763A"/>
    <w:rsid w:val="00F70CA5"/>
    <w:rsid w:val="00F70E18"/>
    <w:rsid w:val="00F7476D"/>
    <w:rsid w:val="00F762CA"/>
    <w:rsid w:val="00F77E0A"/>
    <w:rsid w:val="00F77F23"/>
    <w:rsid w:val="00F80C25"/>
    <w:rsid w:val="00F833D2"/>
    <w:rsid w:val="00F834BC"/>
    <w:rsid w:val="00F834ED"/>
    <w:rsid w:val="00F83661"/>
    <w:rsid w:val="00F84A51"/>
    <w:rsid w:val="00F84CB4"/>
    <w:rsid w:val="00F85AB7"/>
    <w:rsid w:val="00F86637"/>
    <w:rsid w:val="00F86E19"/>
    <w:rsid w:val="00F87A7E"/>
    <w:rsid w:val="00F90198"/>
    <w:rsid w:val="00F9126E"/>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547"/>
    <w:rsid w:val="00FF2829"/>
    <w:rsid w:val="00FF28DE"/>
    <w:rsid w:val="00FF2BC9"/>
    <w:rsid w:val="00FF3C52"/>
    <w:rsid w:val="00FF4F8A"/>
    <w:rsid w:val="00FF5C5E"/>
    <w:rsid w:val="00FF6C14"/>
    <w:rsid w:val="00FF7D09"/>
    <w:rsid w:val="017A14D9"/>
    <w:rsid w:val="01D77756"/>
    <w:rsid w:val="02330D72"/>
    <w:rsid w:val="025033FE"/>
    <w:rsid w:val="026C6D7F"/>
    <w:rsid w:val="028265A2"/>
    <w:rsid w:val="02C76577"/>
    <w:rsid w:val="02D150FD"/>
    <w:rsid w:val="02D41224"/>
    <w:rsid w:val="02FF4C10"/>
    <w:rsid w:val="0348384D"/>
    <w:rsid w:val="036601BF"/>
    <w:rsid w:val="03B145CA"/>
    <w:rsid w:val="03BE44B1"/>
    <w:rsid w:val="03CC4AF9"/>
    <w:rsid w:val="04190882"/>
    <w:rsid w:val="047549BC"/>
    <w:rsid w:val="05062463"/>
    <w:rsid w:val="06585E79"/>
    <w:rsid w:val="06694317"/>
    <w:rsid w:val="067B4063"/>
    <w:rsid w:val="06E0107D"/>
    <w:rsid w:val="07100953"/>
    <w:rsid w:val="073A689E"/>
    <w:rsid w:val="0767441E"/>
    <w:rsid w:val="07944DAE"/>
    <w:rsid w:val="084676A7"/>
    <w:rsid w:val="08824CDD"/>
    <w:rsid w:val="08852948"/>
    <w:rsid w:val="089A08E7"/>
    <w:rsid w:val="08AF5C22"/>
    <w:rsid w:val="091F71BA"/>
    <w:rsid w:val="096802A0"/>
    <w:rsid w:val="0A9D3071"/>
    <w:rsid w:val="0ADD2B47"/>
    <w:rsid w:val="0B1547D1"/>
    <w:rsid w:val="0B80127A"/>
    <w:rsid w:val="0B8B1247"/>
    <w:rsid w:val="0BF82B2B"/>
    <w:rsid w:val="0CAA7D85"/>
    <w:rsid w:val="0CC04897"/>
    <w:rsid w:val="0CF62067"/>
    <w:rsid w:val="0D0F5858"/>
    <w:rsid w:val="0D6136C2"/>
    <w:rsid w:val="0E020F73"/>
    <w:rsid w:val="0E247538"/>
    <w:rsid w:val="0E9D4E90"/>
    <w:rsid w:val="0F6239E3"/>
    <w:rsid w:val="1002237D"/>
    <w:rsid w:val="10305890"/>
    <w:rsid w:val="1032785A"/>
    <w:rsid w:val="105E2DCF"/>
    <w:rsid w:val="106C2E87"/>
    <w:rsid w:val="11235435"/>
    <w:rsid w:val="11734152"/>
    <w:rsid w:val="11B024C9"/>
    <w:rsid w:val="11BC12FA"/>
    <w:rsid w:val="127F3835"/>
    <w:rsid w:val="12F70852"/>
    <w:rsid w:val="13557CF8"/>
    <w:rsid w:val="13E15DC0"/>
    <w:rsid w:val="149641DD"/>
    <w:rsid w:val="14B75A3C"/>
    <w:rsid w:val="14E77BEC"/>
    <w:rsid w:val="14F90946"/>
    <w:rsid w:val="151678B7"/>
    <w:rsid w:val="15F738EB"/>
    <w:rsid w:val="16D611C7"/>
    <w:rsid w:val="16D64A3C"/>
    <w:rsid w:val="16DA4BC8"/>
    <w:rsid w:val="171B3855"/>
    <w:rsid w:val="17991870"/>
    <w:rsid w:val="17EA02BE"/>
    <w:rsid w:val="184619A9"/>
    <w:rsid w:val="188712AB"/>
    <w:rsid w:val="18AB43C5"/>
    <w:rsid w:val="191034AD"/>
    <w:rsid w:val="196D7FAB"/>
    <w:rsid w:val="19BD691C"/>
    <w:rsid w:val="1A034C6B"/>
    <w:rsid w:val="1A2541AB"/>
    <w:rsid w:val="1B520DB0"/>
    <w:rsid w:val="1B8825E9"/>
    <w:rsid w:val="1B8E527A"/>
    <w:rsid w:val="1B940E1F"/>
    <w:rsid w:val="1BE54015"/>
    <w:rsid w:val="1C3B3861"/>
    <w:rsid w:val="1C8A457C"/>
    <w:rsid w:val="1C8F393E"/>
    <w:rsid w:val="1CE26164"/>
    <w:rsid w:val="1CFC6AF6"/>
    <w:rsid w:val="1D4420FD"/>
    <w:rsid w:val="1DA66F34"/>
    <w:rsid w:val="1DF00054"/>
    <w:rsid w:val="1DFB07D0"/>
    <w:rsid w:val="1E4C4F5E"/>
    <w:rsid w:val="1E535DA0"/>
    <w:rsid w:val="1EBE483A"/>
    <w:rsid w:val="1EDD4E34"/>
    <w:rsid w:val="1F22412F"/>
    <w:rsid w:val="1F244BD9"/>
    <w:rsid w:val="1F26030B"/>
    <w:rsid w:val="1F4C2EB2"/>
    <w:rsid w:val="1F6E6D87"/>
    <w:rsid w:val="1F92657B"/>
    <w:rsid w:val="1FBC1843"/>
    <w:rsid w:val="201C198C"/>
    <w:rsid w:val="20330D9A"/>
    <w:rsid w:val="20477A8D"/>
    <w:rsid w:val="20841419"/>
    <w:rsid w:val="20AE2CED"/>
    <w:rsid w:val="20D364EF"/>
    <w:rsid w:val="216D5AE0"/>
    <w:rsid w:val="21796EAA"/>
    <w:rsid w:val="217E26F0"/>
    <w:rsid w:val="21C463C3"/>
    <w:rsid w:val="21C4677D"/>
    <w:rsid w:val="22315588"/>
    <w:rsid w:val="225C2514"/>
    <w:rsid w:val="22631C71"/>
    <w:rsid w:val="2284054C"/>
    <w:rsid w:val="228F040D"/>
    <w:rsid w:val="22CF00D7"/>
    <w:rsid w:val="22FC68C8"/>
    <w:rsid w:val="231D7EF5"/>
    <w:rsid w:val="23CF6990"/>
    <w:rsid w:val="249B7324"/>
    <w:rsid w:val="249C0454"/>
    <w:rsid w:val="24DD5B8E"/>
    <w:rsid w:val="24EA02AB"/>
    <w:rsid w:val="25F052AB"/>
    <w:rsid w:val="266B71CA"/>
    <w:rsid w:val="26A61E1D"/>
    <w:rsid w:val="270A586B"/>
    <w:rsid w:val="273075E9"/>
    <w:rsid w:val="27561BB4"/>
    <w:rsid w:val="27DF1A02"/>
    <w:rsid w:val="28530929"/>
    <w:rsid w:val="288A1EDE"/>
    <w:rsid w:val="28C60FB6"/>
    <w:rsid w:val="28E413A9"/>
    <w:rsid w:val="28F73730"/>
    <w:rsid w:val="29140D6A"/>
    <w:rsid w:val="294A461D"/>
    <w:rsid w:val="297F22C9"/>
    <w:rsid w:val="2A054C7B"/>
    <w:rsid w:val="2AA448FB"/>
    <w:rsid w:val="2B310ADE"/>
    <w:rsid w:val="2B434183"/>
    <w:rsid w:val="2B740262"/>
    <w:rsid w:val="2B8A2EBE"/>
    <w:rsid w:val="2BB44F08"/>
    <w:rsid w:val="2BCF16CC"/>
    <w:rsid w:val="2C3F2ED9"/>
    <w:rsid w:val="2C9E6165"/>
    <w:rsid w:val="2CC4441B"/>
    <w:rsid w:val="2D496D6C"/>
    <w:rsid w:val="2D807458"/>
    <w:rsid w:val="2DA76D39"/>
    <w:rsid w:val="2DFD2857"/>
    <w:rsid w:val="2E1C1D98"/>
    <w:rsid w:val="2E2E2E1B"/>
    <w:rsid w:val="2E330FAB"/>
    <w:rsid w:val="2E66616E"/>
    <w:rsid w:val="2F741EB5"/>
    <w:rsid w:val="2FC140F6"/>
    <w:rsid w:val="306C74DB"/>
    <w:rsid w:val="30A6701D"/>
    <w:rsid w:val="30BB2AFC"/>
    <w:rsid w:val="31722FE0"/>
    <w:rsid w:val="323F3BB2"/>
    <w:rsid w:val="327C0F47"/>
    <w:rsid w:val="32C02906"/>
    <w:rsid w:val="336C24FD"/>
    <w:rsid w:val="33D76E16"/>
    <w:rsid w:val="343941B8"/>
    <w:rsid w:val="34556DF8"/>
    <w:rsid w:val="34BD2D0D"/>
    <w:rsid w:val="35271A88"/>
    <w:rsid w:val="353026EC"/>
    <w:rsid w:val="35505F08"/>
    <w:rsid w:val="35D15757"/>
    <w:rsid w:val="364315C9"/>
    <w:rsid w:val="3689254F"/>
    <w:rsid w:val="36B82D51"/>
    <w:rsid w:val="3752327D"/>
    <w:rsid w:val="381D5C73"/>
    <w:rsid w:val="38491CD3"/>
    <w:rsid w:val="38882E57"/>
    <w:rsid w:val="38DA5C4F"/>
    <w:rsid w:val="38EB3BFB"/>
    <w:rsid w:val="39473D32"/>
    <w:rsid w:val="397B6D55"/>
    <w:rsid w:val="3A8C6E5F"/>
    <w:rsid w:val="3AC77189"/>
    <w:rsid w:val="3B1B7AF4"/>
    <w:rsid w:val="3B5A363D"/>
    <w:rsid w:val="3BAC471E"/>
    <w:rsid w:val="3BB51E7E"/>
    <w:rsid w:val="3C85086F"/>
    <w:rsid w:val="3D456A74"/>
    <w:rsid w:val="3D626685"/>
    <w:rsid w:val="3D676141"/>
    <w:rsid w:val="3D792E46"/>
    <w:rsid w:val="3DA6407D"/>
    <w:rsid w:val="3DD15DCE"/>
    <w:rsid w:val="3E15268D"/>
    <w:rsid w:val="3EF20F51"/>
    <w:rsid w:val="3F9435DE"/>
    <w:rsid w:val="3F9B0E28"/>
    <w:rsid w:val="412F42AE"/>
    <w:rsid w:val="41B44926"/>
    <w:rsid w:val="41F41349"/>
    <w:rsid w:val="42254279"/>
    <w:rsid w:val="426475BD"/>
    <w:rsid w:val="4297091B"/>
    <w:rsid w:val="43EF11CE"/>
    <w:rsid w:val="448B4CB8"/>
    <w:rsid w:val="45283FCD"/>
    <w:rsid w:val="457479F1"/>
    <w:rsid w:val="45D73EF7"/>
    <w:rsid w:val="45E45B8C"/>
    <w:rsid w:val="460A487E"/>
    <w:rsid w:val="462C5167"/>
    <w:rsid w:val="46414AF7"/>
    <w:rsid w:val="46463FF3"/>
    <w:rsid w:val="46B92953"/>
    <w:rsid w:val="46EA5E68"/>
    <w:rsid w:val="4839249D"/>
    <w:rsid w:val="487A33DC"/>
    <w:rsid w:val="48BF4A4F"/>
    <w:rsid w:val="49321FA3"/>
    <w:rsid w:val="4A0A4941"/>
    <w:rsid w:val="4B0143E1"/>
    <w:rsid w:val="4B9C1904"/>
    <w:rsid w:val="4BBE00C5"/>
    <w:rsid w:val="4BC64EA2"/>
    <w:rsid w:val="4C457C34"/>
    <w:rsid w:val="4CC7149D"/>
    <w:rsid w:val="4D07114B"/>
    <w:rsid w:val="4D1625D7"/>
    <w:rsid w:val="4D3C7046"/>
    <w:rsid w:val="4D7711A0"/>
    <w:rsid w:val="4DAB7EDA"/>
    <w:rsid w:val="4DDA72DE"/>
    <w:rsid w:val="4DEA70E8"/>
    <w:rsid w:val="4EA875E2"/>
    <w:rsid w:val="4EDA0008"/>
    <w:rsid w:val="4F1E3BEB"/>
    <w:rsid w:val="4FB11F2C"/>
    <w:rsid w:val="4FE62BDD"/>
    <w:rsid w:val="4FF12BF8"/>
    <w:rsid w:val="50126ED7"/>
    <w:rsid w:val="5133250E"/>
    <w:rsid w:val="51596F16"/>
    <w:rsid w:val="516E62A7"/>
    <w:rsid w:val="516F13BA"/>
    <w:rsid w:val="517563B4"/>
    <w:rsid w:val="52CA0C50"/>
    <w:rsid w:val="52E32859"/>
    <w:rsid w:val="53664066"/>
    <w:rsid w:val="5372025D"/>
    <w:rsid w:val="5378626D"/>
    <w:rsid w:val="53916831"/>
    <w:rsid w:val="55222306"/>
    <w:rsid w:val="553F5970"/>
    <w:rsid w:val="558477DD"/>
    <w:rsid w:val="55C451AB"/>
    <w:rsid w:val="564C59CC"/>
    <w:rsid w:val="5661367A"/>
    <w:rsid w:val="56917640"/>
    <w:rsid w:val="570F122C"/>
    <w:rsid w:val="57777B7B"/>
    <w:rsid w:val="57A06E0E"/>
    <w:rsid w:val="57EC7962"/>
    <w:rsid w:val="580503C9"/>
    <w:rsid w:val="586110EA"/>
    <w:rsid w:val="58682DFB"/>
    <w:rsid w:val="58C20BB3"/>
    <w:rsid w:val="590C6E73"/>
    <w:rsid w:val="59873E4B"/>
    <w:rsid w:val="5A201A9E"/>
    <w:rsid w:val="5A425BE3"/>
    <w:rsid w:val="5A9F7590"/>
    <w:rsid w:val="5AC36B81"/>
    <w:rsid w:val="5C2B76EA"/>
    <w:rsid w:val="5C4F65CE"/>
    <w:rsid w:val="5C842DDB"/>
    <w:rsid w:val="5C9B3876"/>
    <w:rsid w:val="5CA50208"/>
    <w:rsid w:val="5D3612A4"/>
    <w:rsid w:val="5D562AEE"/>
    <w:rsid w:val="5DAE2E68"/>
    <w:rsid w:val="5E881790"/>
    <w:rsid w:val="5ECD6940"/>
    <w:rsid w:val="5F225B08"/>
    <w:rsid w:val="5F3A7547"/>
    <w:rsid w:val="5F6D66D4"/>
    <w:rsid w:val="5F7F691E"/>
    <w:rsid w:val="60317250"/>
    <w:rsid w:val="60442923"/>
    <w:rsid w:val="605E1725"/>
    <w:rsid w:val="607026CF"/>
    <w:rsid w:val="6165514C"/>
    <w:rsid w:val="61682ABC"/>
    <w:rsid w:val="61764D8F"/>
    <w:rsid w:val="618C673E"/>
    <w:rsid w:val="6271541F"/>
    <w:rsid w:val="630230AF"/>
    <w:rsid w:val="6336025A"/>
    <w:rsid w:val="637F27F8"/>
    <w:rsid w:val="638369E2"/>
    <w:rsid w:val="63F465B0"/>
    <w:rsid w:val="64041AE8"/>
    <w:rsid w:val="641D51C2"/>
    <w:rsid w:val="647B6D57"/>
    <w:rsid w:val="64D313C9"/>
    <w:rsid w:val="654D2F8B"/>
    <w:rsid w:val="657E01DC"/>
    <w:rsid w:val="6586092A"/>
    <w:rsid w:val="65870A71"/>
    <w:rsid w:val="65A921C9"/>
    <w:rsid w:val="65FA2417"/>
    <w:rsid w:val="65FC6E0D"/>
    <w:rsid w:val="66246C4D"/>
    <w:rsid w:val="66323ADF"/>
    <w:rsid w:val="66E43F31"/>
    <w:rsid w:val="673724D9"/>
    <w:rsid w:val="67C808A2"/>
    <w:rsid w:val="67CA5175"/>
    <w:rsid w:val="67CE51E5"/>
    <w:rsid w:val="67DD2D7C"/>
    <w:rsid w:val="68E36B91"/>
    <w:rsid w:val="69352407"/>
    <w:rsid w:val="69770E1C"/>
    <w:rsid w:val="69812FAE"/>
    <w:rsid w:val="69933ADC"/>
    <w:rsid w:val="69D34437"/>
    <w:rsid w:val="6A092274"/>
    <w:rsid w:val="6AAD1613"/>
    <w:rsid w:val="6BCC3AF8"/>
    <w:rsid w:val="6C5F6456"/>
    <w:rsid w:val="6CA251AA"/>
    <w:rsid w:val="6CAA1122"/>
    <w:rsid w:val="6CFA4DBB"/>
    <w:rsid w:val="6D1E1E6D"/>
    <w:rsid w:val="6D333A0C"/>
    <w:rsid w:val="6D5E2D67"/>
    <w:rsid w:val="6D723F67"/>
    <w:rsid w:val="6D77332B"/>
    <w:rsid w:val="6D8F3983"/>
    <w:rsid w:val="6DF90F1A"/>
    <w:rsid w:val="6E121E06"/>
    <w:rsid w:val="6E4E0530"/>
    <w:rsid w:val="71164676"/>
    <w:rsid w:val="714E7FB6"/>
    <w:rsid w:val="715D591A"/>
    <w:rsid w:val="725A5829"/>
    <w:rsid w:val="729B3E79"/>
    <w:rsid w:val="72CB5587"/>
    <w:rsid w:val="72D0654B"/>
    <w:rsid w:val="731F0608"/>
    <w:rsid w:val="736B1B84"/>
    <w:rsid w:val="748910CC"/>
    <w:rsid w:val="74DC20AD"/>
    <w:rsid w:val="74ED196A"/>
    <w:rsid w:val="74EE3C45"/>
    <w:rsid w:val="7509173A"/>
    <w:rsid w:val="761F67D0"/>
    <w:rsid w:val="76327073"/>
    <w:rsid w:val="76BF021D"/>
    <w:rsid w:val="77B57C2A"/>
    <w:rsid w:val="77BA155E"/>
    <w:rsid w:val="7801342B"/>
    <w:rsid w:val="783B7550"/>
    <w:rsid w:val="783E121D"/>
    <w:rsid w:val="785221EC"/>
    <w:rsid w:val="78B4702B"/>
    <w:rsid w:val="78F362FD"/>
    <w:rsid w:val="79044748"/>
    <w:rsid w:val="790560D9"/>
    <w:rsid w:val="7A5549F4"/>
    <w:rsid w:val="7A6C26D0"/>
    <w:rsid w:val="7AAF0CA6"/>
    <w:rsid w:val="7B4050A9"/>
    <w:rsid w:val="7B8D1755"/>
    <w:rsid w:val="7BA5129A"/>
    <w:rsid w:val="7BE748B8"/>
    <w:rsid w:val="7C903CAD"/>
    <w:rsid w:val="7CA50A7E"/>
    <w:rsid w:val="7CFB7625"/>
    <w:rsid w:val="7D3F76AE"/>
    <w:rsid w:val="7DC27A61"/>
    <w:rsid w:val="7E3B7932"/>
    <w:rsid w:val="7E5A13E5"/>
    <w:rsid w:val="7E612A31"/>
    <w:rsid w:val="7EA247DF"/>
    <w:rsid w:val="7EAC5527"/>
    <w:rsid w:val="7F205639"/>
    <w:rsid w:val="7F59780C"/>
    <w:rsid w:val="7FA53FAD"/>
    <w:rsid w:val="7FDC4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2"/>
    <w:qFormat/>
    <w:uiPriority w:val="99"/>
    <w:pPr>
      <w:keepNext/>
      <w:keepLines/>
      <w:spacing w:before="340" w:after="340" w:line="578" w:lineRule="auto"/>
      <w:outlineLvl w:val="0"/>
    </w:pPr>
    <w:rPr>
      <w:rFonts w:ascii="Times New Roman" w:hAnsi="Times New Roman"/>
      <w:b/>
      <w:bCs/>
      <w:kern w:val="44"/>
      <w:sz w:val="44"/>
      <w:szCs w:val="44"/>
    </w:rPr>
  </w:style>
  <w:style w:type="paragraph" w:styleId="5">
    <w:name w:val="heading 2"/>
    <w:basedOn w:val="1"/>
    <w:next w:val="1"/>
    <w:link w:val="45"/>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6">
    <w:name w:val="heading 3"/>
    <w:basedOn w:val="1"/>
    <w:next w:val="1"/>
    <w:link w:val="57"/>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88"/>
    <w:qFormat/>
    <w:uiPriority w:val="99"/>
    <w:pPr>
      <w:widowControl/>
      <w:spacing w:beforeAutospacing="1" w:afterAutospacing="1"/>
      <w:jc w:val="left"/>
    </w:pPr>
    <w:rPr>
      <w:rFonts w:ascii="ˎ̥" w:hAnsi="ˎ̥"/>
      <w:sz w:val="18"/>
      <w:szCs w:val="18"/>
    </w:rPr>
  </w:style>
  <w:style w:type="paragraph" w:styleId="3">
    <w:name w:val="toc 1"/>
    <w:basedOn w:val="1"/>
    <w:next w:val="1"/>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7">
    <w:name w:val="toc 7"/>
    <w:basedOn w:val="1"/>
    <w:next w:val="1"/>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8">
    <w:name w:val="Normal Indent"/>
    <w:basedOn w:val="1"/>
    <w:next w:val="9"/>
    <w:link w:val="49"/>
    <w:qFormat/>
    <w:uiPriority w:val="99"/>
    <w:pPr>
      <w:spacing w:beforeLines="50" w:afterLines="50"/>
      <w:jc w:val="center"/>
    </w:pPr>
    <w:rPr>
      <w:rFonts w:ascii="Arial" w:hAnsi="Arial" w:eastAsia="宋体" w:cs="Times New Roman"/>
      <w:spacing w:val="10"/>
      <w:szCs w:val="20"/>
    </w:rPr>
  </w:style>
  <w:style w:type="paragraph" w:customStyle="1" w:styleId="9">
    <w:name w:val="正文首行缩进2个字 Char"/>
    <w:basedOn w:val="1"/>
    <w:qFormat/>
    <w:uiPriority w:val="0"/>
    <w:pPr>
      <w:ind w:firstLine="480" w:firstLineChars="200"/>
    </w:pPr>
    <w:rPr>
      <w:rFonts w:eastAsia="楷体"/>
      <w:sz w:val="24"/>
      <w:szCs w:val="24"/>
    </w:rPr>
  </w:style>
  <w:style w:type="paragraph" w:styleId="10">
    <w:name w:val="Document Map"/>
    <w:basedOn w:val="1"/>
    <w:link w:val="43"/>
    <w:unhideWhenUsed/>
    <w:qFormat/>
    <w:uiPriority w:val="99"/>
    <w:rPr>
      <w:rFonts w:ascii="宋体" w:eastAsia="宋体"/>
      <w:sz w:val="18"/>
      <w:szCs w:val="18"/>
    </w:rPr>
  </w:style>
  <w:style w:type="paragraph" w:styleId="11">
    <w:name w:val="annotation text"/>
    <w:basedOn w:val="1"/>
    <w:link w:val="61"/>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2">
    <w:name w:val="Body Text"/>
    <w:basedOn w:val="1"/>
    <w:link w:val="86"/>
    <w:qFormat/>
    <w:uiPriority w:val="0"/>
    <w:rPr>
      <w:szCs w:val="24"/>
    </w:rPr>
  </w:style>
  <w:style w:type="paragraph" w:styleId="13">
    <w:name w:val="Body Text Indent"/>
    <w:basedOn w:val="1"/>
    <w:link w:val="73"/>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4">
    <w:name w:val="toc 5"/>
    <w:basedOn w:val="1"/>
    <w:next w:val="1"/>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5">
    <w:name w:val="toc 3"/>
    <w:basedOn w:val="1"/>
    <w:next w:val="1"/>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6">
    <w:name w:val="toc 8"/>
    <w:basedOn w:val="1"/>
    <w:next w:val="1"/>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7">
    <w:name w:val="Date"/>
    <w:basedOn w:val="1"/>
    <w:next w:val="1"/>
    <w:link w:val="62"/>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8">
    <w:name w:val="Body Text Indent 2"/>
    <w:basedOn w:val="1"/>
    <w:link w:val="98"/>
    <w:unhideWhenUsed/>
    <w:qFormat/>
    <w:uiPriority w:val="99"/>
    <w:pPr>
      <w:spacing w:after="120" w:line="480" w:lineRule="auto"/>
      <w:ind w:left="420" w:leftChars="200"/>
    </w:pPr>
  </w:style>
  <w:style w:type="paragraph" w:styleId="19">
    <w:name w:val="Balloon Text"/>
    <w:basedOn w:val="1"/>
    <w:link w:val="48"/>
    <w:unhideWhenUsed/>
    <w:qFormat/>
    <w:uiPriority w:val="99"/>
    <w:rPr>
      <w:sz w:val="18"/>
      <w:szCs w:val="18"/>
    </w:rPr>
  </w:style>
  <w:style w:type="paragraph" w:styleId="20">
    <w:name w:val="footer"/>
    <w:basedOn w:val="1"/>
    <w:link w:val="41"/>
    <w:unhideWhenUsed/>
    <w:qFormat/>
    <w:uiPriority w:val="99"/>
    <w:pPr>
      <w:tabs>
        <w:tab w:val="center" w:pos="4153"/>
        <w:tab w:val="right" w:pos="8306"/>
      </w:tabs>
      <w:snapToGrid w:val="0"/>
      <w:jc w:val="left"/>
    </w:pPr>
    <w:rPr>
      <w:sz w:val="18"/>
      <w:szCs w:val="18"/>
    </w:rPr>
  </w:style>
  <w:style w:type="paragraph" w:styleId="21">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4"/>
    <w:basedOn w:val="1"/>
    <w:next w:val="1"/>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3">
    <w:name w:val="Subtitle"/>
    <w:basedOn w:val="1"/>
    <w:next w:val="1"/>
    <w:link w:val="63"/>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4">
    <w:name w:val="List"/>
    <w:basedOn w:val="1"/>
    <w:unhideWhenUsed/>
    <w:qFormat/>
    <w:uiPriority w:val="0"/>
    <w:pPr>
      <w:ind w:left="200" w:hanging="200" w:hangingChars="200"/>
      <w:contextualSpacing/>
    </w:pPr>
  </w:style>
  <w:style w:type="paragraph" w:styleId="25">
    <w:name w:val="toc 6"/>
    <w:basedOn w:val="1"/>
    <w:next w:val="1"/>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6">
    <w:name w:val="toc 2"/>
    <w:basedOn w:val="1"/>
    <w:next w:val="1"/>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7">
    <w:name w:val="toc 9"/>
    <w:basedOn w:val="1"/>
    <w:next w:val="1"/>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8"/>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30">
    <w:name w:val="annotation subject"/>
    <w:basedOn w:val="11"/>
    <w:next w:val="11"/>
    <w:link w:val="72"/>
    <w:qFormat/>
    <w:uiPriority w:val="99"/>
    <w:pPr>
      <w:spacing w:beforeLines="0" w:afterLines="0" w:line="240" w:lineRule="auto"/>
      <w:ind w:firstLine="0" w:firstLineChars="0"/>
    </w:pPr>
    <w:rPr>
      <w:rFonts w:ascii="Calibri" w:hAnsi="Calibri"/>
      <w:b/>
      <w:bCs/>
      <w:sz w:val="21"/>
      <w:szCs w:val="22"/>
    </w:rPr>
  </w:style>
  <w:style w:type="paragraph" w:styleId="31">
    <w:name w:val="Body Text First Indent 2"/>
    <w:basedOn w:val="13"/>
    <w:next w:val="1"/>
    <w:qFormat/>
    <w:uiPriority w:val="0"/>
    <w:pPr>
      <w:spacing w:after="120"/>
      <w:ind w:left="420" w:leftChars="200" w:firstLine="420"/>
    </w:p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rFonts w:cs="Times New Roman"/>
      <w:b/>
      <w:bCs/>
    </w:rPr>
  </w:style>
  <w:style w:type="character" w:styleId="36">
    <w:name w:val="page number"/>
    <w:basedOn w:val="34"/>
    <w:qFormat/>
    <w:uiPriority w:val="99"/>
    <w:rPr>
      <w:rFonts w:cs="Times New Roman"/>
    </w:rPr>
  </w:style>
  <w:style w:type="character" w:styleId="37">
    <w:name w:val="Emphasis"/>
    <w:qFormat/>
    <w:uiPriority w:val="20"/>
    <w:rPr>
      <w:color w:val="CC0000"/>
    </w:rPr>
  </w:style>
  <w:style w:type="character" w:styleId="38">
    <w:name w:val="Hyperlink"/>
    <w:basedOn w:val="34"/>
    <w:unhideWhenUsed/>
    <w:qFormat/>
    <w:uiPriority w:val="99"/>
    <w:rPr>
      <w:color w:val="0000FF"/>
      <w:u w:val="single"/>
    </w:rPr>
  </w:style>
  <w:style w:type="character" w:styleId="39">
    <w:name w:val="annotation reference"/>
    <w:basedOn w:val="34"/>
    <w:qFormat/>
    <w:uiPriority w:val="99"/>
    <w:rPr>
      <w:sz w:val="21"/>
      <w:szCs w:val="21"/>
    </w:rPr>
  </w:style>
  <w:style w:type="character" w:customStyle="1" w:styleId="40">
    <w:name w:val="页眉 字符"/>
    <w:basedOn w:val="34"/>
    <w:link w:val="21"/>
    <w:qFormat/>
    <w:uiPriority w:val="99"/>
    <w:rPr>
      <w:sz w:val="18"/>
      <w:szCs w:val="18"/>
    </w:rPr>
  </w:style>
  <w:style w:type="character" w:customStyle="1" w:styleId="41">
    <w:name w:val="页脚 字符"/>
    <w:basedOn w:val="34"/>
    <w:link w:val="20"/>
    <w:qFormat/>
    <w:uiPriority w:val="99"/>
    <w:rPr>
      <w:sz w:val="18"/>
      <w:szCs w:val="18"/>
    </w:rPr>
  </w:style>
  <w:style w:type="character" w:customStyle="1" w:styleId="42">
    <w:name w:val="标题 1 字符"/>
    <w:basedOn w:val="34"/>
    <w:link w:val="4"/>
    <w:qFormat/>
    <w:uiPriority w:val="99"/>
    <w:rPr>
      <w:rFonts w:ascii="Times New Roman" w:hAnsi="Times New Roman"/>
      <w:b/>
      <w:bCs/>
      <w:kern w:val="44"/>
      <w:sz w:val="44"/>
      <w:szCs w:val="44"/>
    </w:rPr>
  </w:style>
  <w:style w:type="character" w:customStyle="1" w:styleId="43">
    <w:name w:val="文档结构图 字符"/>
    <w:basedOn w:val="34"/>
    <w:link w:val="10"/>
    <w:qFormat/>
    <w:uiPriority w:val="99"/>
    <w:rPr>
      <w:rFonts w:ascii="宋体" w:eastAsia="宋体"/>
      <w:sz w:val="18"/>
      <w:szCs w:val="18"/>
    </w:rPr>
  </w:style>
  <w:style w:type="paragraph" w:customStyle="1" w:styleId="44">
    <w:name w:val="列表段落1"/>
    <w:basedOn w:val="1"/>
    <w:qFormat/>
    <w:uiPriority w:val="34"/>
    <w:pPr>
      <w:ind w:firstLine="420" w:firstLineChars="200"/>
    </w:pPr>
  </w:style>
  <w:style w:type="character" w:customStyle="1" w:styleId="45">
    <w:name w:val="标题 2 字符"/>
    <w:basedOn w:val="34"/>
    <w:link w:val="5"/>
    <w:qFormat/>
    <w:uiPriority w:val="99"/>
    <w:rPr>
      <w:rFonts w:ascii="Times New Roman" w:hAnsi="Times New Roman" w:eastAsiaTheme="majorEastAsia" w:cstheme="majorBidi"/>
      <w:b/>
      <w:bCs/>
      <w:sz w:val="32"/>
      <w:szCs w:val="32"/>
    </w:rPr>
  </w:style>
  <w:style w:type="character" w:customStyle="1" w:styleId="46">
    <w:name w:val="图片 Char"/>
    <w:basedOn w:val="34"/>
    <w:link w:val="47"/>
    <w:qFormat/>
    <w:uiPriority w:val="0"/>
    <w:rPr>
      <w:sz w:val="24"/>
      <w:szCs w:val="24"/>
    </w:rPr>
  </w:style>
  <w:style w:type="paragraph" w:customStyle="1" w:styleId="47">
    <w:name w:val="图片"/>
    <w:basedOn w:val="1"/>
    <w:link w:val="46"/>
    <w:qFormat/>
    <w:uiPriority w:val="0"/>
    <w:pPr>
      <w:spacing w:beforeLines="50" w:afterLines="50"/>
      <w:ind w:firstLine="480" w:firstLineChars="200"/>
      <w:jc w:val="left"/>
    </w:pPr>
    <w:rPr>
      <w:sz w:val="24"/>
      <w:szCs w:val="24"/>
    </w:rPr>
  </w:style>
  <w:style w:type="character" w:customStyle="1" w:styleId="48">
    <w:name w:val="批注框文本 字符"/>
    <w:basedOn w:val="34"/>
    <w:link w:val="19"/>
    <w:qFormat/>
    <w:uiPriority w:val="99"/>
    <w:rPr>
      <w:sz w:val="18"/>
      <w:szCs w:val="18"/>
    </w:rPr>
  </w:style>
  <w:style w:type="character" w:customStyle="1" w:styleId="49">
    <w:name w:val="正文缩进 字符"/>
    <w:link w:val="8"/>
    <w:qFormat/>
    <w:uiPriority w:val="99"/>
    <w:rPr>
      <w:rFonts w:ascii="Arial" w:hAnsi="Arial" w:eastAsia="宋体" w:cs="Times New Roman"/>
      <w:spacing w:val="10"/>
      <w:szCs w:val="20"/>
    </w:rPr>
  </w:style>
  <w:style w:type="paragraph" w:customStyle="1" w:styleId="50">
    <w:name w:val="表格标题"/>
    <w:basedOn w:val="1"/>
    <w:link w:val="51"/>
    <w:qFormat/>
    <w:uiPriority w:val="99"/>
    <w:pPr>
      <w:jc w:val="center"/>
    </w:pPr>
    <w:rPr>
      <w:rFonts w:ascii="Times New Roman" w:hAnsi="Times New Roman" w:eastAsia="仿宋_GB2312" w:cs="Times New Roman"/>
      <w:sz w:val="24"/>
      <w:szCs w:val="20"/>
    </w:rPr>
  </w:style>
  <w:style w:type="character" w:customStyle="1" w:styleId="51">
    <w:name w:val="表格标题 Char Char"/>
    <w:link w:val="50"/>
    <w:qFormat/>
    <w:uiPriority w:val="0"/>
    <w:rPr>
      <w:rFonts w:ascii="Times New Roman" w:hAnsi="Times New Roman" w:eastAsia="仿宋_GB2312" w:cs="Times New Roman"/>
      <w:sz w:val="24"/>
      <w:szCs w:val="20"/>
    </w:rPr>
  </w:style>
  <w:style w:type="character" w:customStyle="1" w:styleId="52">
    <w:name w:val="文本 Char"/>
    <w:link w:val="53"/>
    <w:qFormat/>
    <w:uiPriority w:val="0"/>
    <w:rPr>
      <w:sz w:val="24"/>
    </w:rPr>
  </w:style>
  <w:style w:type="paragraph" w:customStyle="1" w:styleId="53">
    <w:name w:val="文本"/>
    <w:basedOn w:val="1"/>
    <w:link w:val="52"/>
    <w:qFormat/>
    <w:uiPriority w:val="0"/>
    <w:pPr>
      <w:spacing w:line="360" w:lineRule="auto"/>
      <w:ind w:firstLine="480" w:firstLineChars="200"/>
      <w:jc w:val="left"/>
    </w:pPr>
    <w:rPr>
      <w:sz w:val="24"/>
    </w:rPr>
  </w:style>
  <w:style w:type="paragraph" w:customStyle="1" w:styleId="54">
    <w:name w:val="表格正文"/>
    <w:basedOn w:val="1"/>
    <w:link w:val="55"/>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5">
    <w:name w:val="表格正文 Char"/>
    <w:link w:val="54"/>
    <w:qFormat/>
    <w:uiPriority w:val="99"/>
    <w:rPr>
      <w:rFonts w:ascii="Times New Roman" w:hAnsi="Times New Roman" w:eastAsia="宋体" w:cs="Times New Roman"/>
      <w:sz w:val="24"/>
      <w:szCs w:val="24"/>
    </w:rPr>
  </w:style>
  <w:style w:type="paragraph" w:customStyle="1" w:styleId="56">
    <w:name w:val="表格样式1"/>
    <w:basedOn w:val="1"/>
    <w:qFormat/>
    <w:uiPriority w:val="99"/>
    <w:pPr>
      <w:spacing w:line="360" w:lineRule="exact"/>
      <w:jc w:val="center"/>
    </w:pPr>
    <w:rPr>
      <w:rFonts w:ascii="Times New Roman" w:hAnsi="Times New Roman" w:eastAsia="仿宋_GB2312" w:cs="Times New Roman"/>
      <w:color w:val="000080"/>
      <w:szCs w:val="21"/>
    </w:rPr>
  </w:style>
  <w:style w:type="character" w:customStyle="1" w:styleId="57">
    <w:name w:val="标题 3 字符"/>
    <w:basedOn w:val="34"/>
    <w:link w:val="6"/>
    <w:qFormat/>
    <w:uiPriority w:val="0"/>
    <w:rPr>
      <w:rFonts w:ascii="Times New Roman" w:hAnsi="Times New Roman"/>
      <w:b/>
      <w:bCs/>
      <w:sz w:val="28"/>
      <w:szCs w:val="32"/>
    </w:rPr>
  </w:style>
  <w:style w:type="character" w:customStyle="1" w:styleId="58">
    <w:name w:val="标题 字符"/>
    <w:basedOn w:val="34"/>
    <w:link w:val="29"/>
    <w:qFormat/>
    <w:uiPriority w:val="99"/>
    <w:rPr>
      <w:rFonts w:ascii="Cambria" w:hAnsi="Cambria" w:eastAsia="宋体" w:cs="Times New Roman"/>
      <w:b/>
      <w:bCs/>
      <w:sz w:val="32"/>
      <w:szCs w:val="32"/>
    </w:rPr>
  </w:style>
  <w:style w:type="paragraph" w:customStyle="1" w:styleId="59">
    <w:name w:val="表格式"/>
    <w:basedOn w:val="24"/>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0">
    <w:name w:val="注释"/>
    <w:basedOn w:val="1"/>
    <w:qFormat/>
    <w:uiPriority w:val="0"/>
    <w:pPr>
      <w:spacing w:line="360" w:lineRule="exact"/>
      <w:ind w:firstLine="944" w:firstLineChars="200"/>
    </w:pPr>
    <w:rPr>
      <w:rFonts w:ascii="Times New Roman" w:hAnsi="Times New Roman" w:eastAsia="宋体" w:cs="Times New Roman"/>
      <w:szCs w:val="20"/>
    </w:rPr>
  </w:style>
  <w:style w:type="character" w:customStyle="1" w:styleId="61">
    <w:name w:val="批注文字 字符"/>
    <w:basedOn w:val="34"/>
    <w:link w:val="11"/>
    <w:qFormat/>
    <w:uiPriority w:val="99"/>
    <w:rPr>
      <w:rFonts w:ascii="Times New Roman" w:hAnsi="Times New Roman" w:eastAsia="宋体" w:cs="Times New Roman"/>
      <w:sz w:val="24"/>
      <w:szCs w:val="24"/>
    </w:rPr>
  </w:style>
  <w:style w:type="character" w:customStyle="1" w:styleId="62">
    <w:name w:val="日期 字符"/>
    <w:basedOn w:val="34"/>
    <w:link w:val="17"/>
    <w:qFormat/>
    <w:uiPriority w:val="0"/>
    <w:rPr>
      <w:rFonts w:ascii="Times New Roman" w:hAnsi="Times New Roman" w:eastAsia="宋体" w:cs="Times New Roman"/>
      <w:sz w:val="24"/>
      <w:szCs w:val="24"/>
    </w:rPr>
  </w:style>
  <w:style w:type="character" w:customStyle="1" w:styleId="63">
    <w:name w:val="副标题 字符"/>
    <w:basedOn w:val="34"/>
    <w:link w:val="23"/>
    <w:qFormat/>
    <w:uiPriority w:val="0"/>
    <w:rPr>
      <w:rFonts w:ascii="Cambria" w:hAnsi="Cambria" w:eastAsia="宋体" w:cs="Times New Roman"/>
      <w:b/>
      <w:bCs/>
      <w:kern w:val="28"/>
      <w:sz w:val="28"/>
      <w:szCs w:val="32"/>
    </w:rPr>
  </w:style>
  <w:style w:type="character" w:customStyle="1" w:styleId="64">
    <w:name w:val="表格内容 Char Char"/>
    <w:basedOn w:val="34"/>
    <w:link w:val="65"/>
    <w:qFormat/>
    <w:uiPriority w:val="0"/>
    <w:rPr>
      <w:rFonts w:ascii="宋体"/>
      <w:szCs w:val="24"/>
    </w:rPr>
  </w:style>
  <w:style w:type="paragraph" w:customStyle="1" w:styleId="65">
    <w:name w:val="表格内容"/>
    <w:basedOn w:val="1"/>
    <w:link w:val="64"/>
    <w:qFormat/>
    <w:uiPriority w:val="0"/>
    <w:pPr>
      <w:spacing w:beforeLines="50" w:afterLines="50" w:line="360" w:lineRule="auto"/>
      <w:ind w:firstLine="200" w:firstLineChars="200"/>
      <w:jc w:val="center"/>
    </w:pPr>
    <w:rPr>
      <w:rFonts w:ascii="宋体"/>
      <w:szCs w:val="24"/>
    </w:rPr>
  </w:style>
  <w:style w:type="character" w:customStyle="1" w:styleId="66">
    <w:name w:val="正文缩进 Char2"/>
    <w:qFormat/>
    <w:uiPriority w:val="0"/>
    <w:rPr>
      <w:rFonts w:ascii="Arial" w:hAnsi="Arial" w:cs="Arial"/>
      <w:spacing w:val="10"/>
      <w:kern w:val="2"/>
      <w:sz w:val="24"/>
    </w:rPr>
  </w:style>
  <w:style w:type="paragraph" w:customStyle="1" w:styleId="67">
    <w:name w:val="Char4"/>
    <w:basedOn w:val="1"/>
    <w:qFormat/>
    <w:uiPriority w:val="0"/>
    <w:rPr>
      <w:rFonts w:ascii="Times New Roman" w:hAnsi="Times New Roman" w:eastAsia="宋体" w:cs="Times New Roman"/>
      <w:szCs w:val="20"/>
    </w:rPr>
  </w:style>
  <w:style w:type="paragraph" w:customStyle="1" w:styleId="68">
    <w:name w:val="Char Char Char Char"/>
    <w:basedOn w:val="1"/>
    <w:qFormat/>
    <w:uiPriority w:val="99"/>
    <w:pPr>
      <w:spacing w:line="360" w:lineRule="auto"/>
      <w:ind w:firstLine="200" w:firstLineChars="200"/>
    </w:pPr>
    <w:rPr>
      <w:rFonts w:ascii="宋体" w:hAnsi="宋体" w:eastAsia="宋体" w:cs="宋体"/>
      <w:sz w:val="24"/>
      <w:szCs w:val="24"/>
    </w:rPr>
  </w:style>
  <w:style w:type="paragraph" w:customStyle="1" w:styleId="69">
    <w:name w:val="TOC 标题1"/>
    <w:basedOn w:val="4"/>
    <w:next w:val="1"/>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0">
    <w:name w:val="正文01"/>
    <w:basedOn w:val="1"/>
    <w:link w:val="71"/>
    <w:qFormat/>
    <w:uiPriority w:val="0"/>
    <w:pPr>
      <w:spacing w:line="480" w:lineRule="exact"/>
      <w:ind w:firstLine="539"/>
    </w:pPr>
    <w:rPr>
      <w:rFonts w:ascii="Times New Roman" w:hAnsi="Times New Roman" w:eastAsia="宋体" w:cs="Times New Roman"/>
      <w:sz w:val="27"/>
      <w:szCs w:val="27"/>
    </w:rPr>
  </w:style>
  <w:style w:type="character" w:customStyle="1" w:styleId="71">
    <w:name w:val="正文01 Char"/>
    <w:link w:val="70"/>
    <w:qFormat/>
    <w:uiPriority w:val="0"/>
    <w:rPr>
      <w:rFonts w:ascii="Times New Roman" w:hAnsi="Times New Roman" w:eastAsia="宋体" w:cs="Times New Roman"/>
      <w:sz w:val="27"/>
      <w:szCs w:val="27"/>
    </w:rPr>
  </w:style>
  <w:style w:type="character" w:customStyle="1" w:styleId="72">
    <w:name w:val="批注主题 字符"/>
    <w:basedOn w:val="61"/>
    <w:link w:val="30"/>
    <w:qFormat/>
    <w:uiPriority w:val="99"/>
    <w:rPr>
      <w:rFonts w:ascii="Calibri" w:hAnsi="Calibri" w:eastAsia="宋体" w:cs="Times New Roman"/>
      <w:b/>
      <w:bCs/>
      <w:sz w:val="24"/>
      <w:szCs w:val="24"/>
    </w:rPr>
  </w:style>
  <w:style w:type="character" w:customStyle="1" w:styleId="73">
    <w:name w:val="正文文本缩进 字符"/>
    <w:basedOn w:val="34"/>
    <w:link w:val="13"/>
    <w:qFormat/>
    <w:uiPriority w:val="99"/>
    <w:rPr>
      <w:rFonts w:ascii="Times New Roman" w:hAnsi="Times New Roman" w:eastAsia="宋体" w:cs="Times New Roman"/>
      <w:sz w:val="28"/>
      <w:szCs w:val="24"/>
    </w:rPr>
  </w:style>
  <w:style w:type="paragraph" w:customStyle="1" w:styleId="74">
    <w:name w:val="p0"/>
    <w:basedOn w:val="1"/>
    <w:qFormat/>
    <w:uiPriority w:val="0"/>
    <w:pPr>
      <w:widowControl/>
    </w:pPr>
    <w:rPr>
      <w:rFonts w:ascii="Times New Roman" w:hAnsi="Times New Roman" w:eastAsia="宋体" w:cs="Times New Roman"/>
      <w:kern w:val="0"/>
      <w:szCs w:val="21"/>
    </w:rPr>
  </w:style>
  <w:style w:type="paragraph" w:customStyle="1" w:styleId="75">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表格文字"/>
    <w:basedOn w:val="1"/>
    <w:qFormat/>
    <w:uiPriority w:val="99"/>
    <w:pPr>
      <w:adjustRightInd w:val="0"/>
      <w:spacing w:line="240" w:lineRule="atLeast"/>
    </w:pPr>
    <w:rPr>
      <w:rFonts w:ascii="Times New Roman" w:hAnsi="Times New Roman" w:eastAsia="宋体" w:cs="Times New Roman"/>
      <w:kern w:val="0"/>
      <w:sz w:val="28"/>
      <w:szCs w:val="20"/>
    </w:rPr>
  </w:style>
  <w:style w:type="paragraph" w:customStyle="1" w:styleId="77">
    <w:name w:val="1guizs_正文"/>
    <w:basedOn w:val="1"/>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qFormat/>
    <w:uiPriority w:val="99"/>
    <w:rPr>
      <w:rFonts w:ascii="Tahoma" w:hAnsi="Tahoma" w:eastAsia="宋体" w:cs="Times New Roman"/>
      <w:sz w:val="24"/>
      <w:szCs w:val="20"/>
    </w:rPr>
  </w:style>
  <w:style w:type="paragraph" w:customStyle="1" w:styleId="80">
    <w:name w:val="Char Char Char2 Char"/>
    <w:basedOn w:val="1"/>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qFormat/>
    <w:uiPriority w:val="99"/>
    <w:pPr>
      <w:outlineLvl w:val="0"/>
    </w:pPr>
    <w:rPr>
      <w:rFonts w:ascii="Times New Roman" w:hAnsi="Times New Roman" w:eastAsia="黑体" w:cs="Times New Roman"/>
      <w:sz w:val="36"/>
      <w:szCs w:val="36"/>
    </w:rPr>
  </w:style>
  <w:style w:type="paragraph" w:customStyle="1" w:styleId="82">
    <w:name w:val="表"/>
    <w:basedOn w:val="1"/>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4"/>
    <w:qFormat/>
    <w:uiPriority w:val="0"/>
    <w:rPr>
      <w:szCs w:val="24"/>
    </w:rPr>
  </w:style>
  <w:style w:type="character" w:customStyle="1" w:styleId="86">
    <w:name w:val="正文文本 字符"/>
    <w:basedOn w:val="34"/>
    <w:link w:val="12"/>
    <w:semiHidden/>
    <w:qFormat/>
    <w:uiPriority w:val="99"/>
  </w:style>
  <w:style w:type="character" w:customStyle="1" w:styleId="87">
    <w:name w:val="纯文本 Char"/>
    <w:basedOn w:val="34"/>
    <w:qFormat/>
    <w:uiPriority w:val="0"/>
    <w:rPr>
      <w:rFonts w:ascii="ˎ̥" w:hAnsi="ˎ̥"/>
      <w:sz w:val="18"/>
      <w:szCs w:val="18"/>
    </w:rPr>
  </w:style>
  <w:style w:type="character" w:customStyle="1" w:styleId="88">
    <w:name w:val="纯文本 字符"/>
    <w:basedOn w:val="34"/>
    <w:link w:val="2"/>
    <w:qFormat/>
    <w:uiPriority w:val="99"/>
    <w:rPr>
      <w:rFonts w:ascii="宋体" w:hAnsi="Courier New" w:eastAsia="宋体" w:cs="Courier New"/>
      <w:szCs w:val="21"/>
    </w:rPr>
  </w:style>
  <w:style w:type="paragraph" w:customStyle="1" w:styleId="89">
    <w:name w:val="TOC 标题2"/>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link w:val="94"/>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4"/>
    <w:link w:val="93"/>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qFormat/>
    <w:uiPriority w:val="0"/>
    <w:rPr>
      <w:color w:val="000000"/>
      <w:sz w:val="24"/>
      <w:szCs w:val="21"/>
    </w:rPr>
  </w:style>
  <w:style w:type="paragraph" w:customStyle="1" w:styleId="9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4"/>
    <w:link w:val="18"/>
    <w:qFormat/>
    <w:uiPriority w:val="99"/>
  </w:style>
  <w:style w:type="table" w:customStyle="1" w:styleId="99">
    <w:name w:val="TableGrid"/>
    <w:qFormat/>
    <w:uiPriority w:val="0"/>
    <w:tblPr>
      <w:tblCellMar>
        <w:top w:w="0" w:type="dxa"/>
        <w:left w:w="0" w:type="dxa"/>
        <w:bottom w:w="0" w:type="dxa"/>
        <w:right w:w="0" w:type="dxa"/>
      </w:tblCellMar>
    </w:tblPr>
  </w:style>
  <w:style w:type="paragraph" w:customStyle="1" w:styleId="100">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4"/>
    <w:qFormat/>
    <w:uiPriority w:val="0"/>
    <w:rPr>
      <w:rFonts w:ascii="黑体" w:hAnsi="黑体" w:eastAsia="黑体" w:cs="黑体"/>
      <w:sz w:val="22"/>
      <w:szCs w:val="22"/>
      <w:u w:val="none"/>
    </w:rPr>
  </w:style>
  <w:style w:type="character" w:customStyle="1" w:styleId="103">
    <w:name w:val="正文文本 (2)"/>
    <w:basedOn w:val="102"/>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qFormat/>
    <w:uiPriority w:val="0"/>
    <w:rPr>
      <w:rFonts w:ascii="黑体" w:hAnsi="黑体" w:eastAsia="黑体" w:cs="黑体"/>
      <w:spacing w:val="30"/>
      <w:sz w:val="22"/>
      <w:szCs w:val="22"/>
      <w:u w:val="none"/>
    </w:rPr>
  </w:style>
  <w:style w:type="character" w:customStyle="1" w:styleId="106">
    <w:name w:val="正文文本 (2) + Georgia"/>
    <w:basedOn w:val="102"/>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qFormat/>
    <w:uiPriority w:val="34"/>
    <w:pPr>
      <w:ind w:firstLine="420" w:firstLineChars="200"/>
    </w:pPr>
  </w:style>
  <w:style w:type="character" w:customStyle="1" w:styleId="112">
    <w:name w:val="样式1 Char Char"/>
    <w:link w:val="113"/>
    <w:qFormat/>
    <w:uiPriority w:val="99"/>
    <w:rPr>
      <w:kern w:val="2"/>
      <w:sz w:val="24"/>
      <w:szCs w:val="24"/>
    </w:rPr>
  </w:style>
  <w:style w:type="paragraph" w:customStyle="1" w:styleId="113">
    <w:name w:val="样式1"/>
    <w:basedOn w:val="13"/>
    <w:link w:val="112"/>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qFormat/>
    <w:uiPriority w:val="99"/>
    <w:pPr>
      <w:spacing w:before="100" w:after="100"/>
      <w:jc w:val="center"/>
    </w:pPr>
    <w:rPr>
      <w:rFonts w:ascii="Calibri" w:hAnsi="Calibri" w:eastAsia="宋体" w:cs="Calibri"/>
      <w:szCs w:val="21"/>
    </w:rPr>
  </w:style>
  <w:style w:type="paragraph" w:customStyle="1" w:styleId="115">
    <w:name w:val="Table Paragraph"/>
    <w:basedOn w:val="1"/>
    <w:qFormat/>
    <w:uiPriority w:val="1"/>
    <w:pPr>
      <w:jc w:val="left"/>
    </w:pPr>
    <w:rPr>
      <w:rFonts w:ascii="Calibri" w:hAnsi="Calibri" w:eastAsia="宋体" w:cs="Calibri"/>
      <w:kern w:val="0"/>
      <w:sz w:val="22"/>
    </w:rPr>
  </w:style>
  <w:style w:type="paragraph" w:customStyle="1" w:styleId="116">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qFormat/>
    <w:uiPriority w:val="0"/>
    <w:rPr>
      <w:rFonts w:ascii="Arial" w:hAnsi="Arial" w:cs="Arial"/>
      <w:sz w:val="24"/>
      <w:szCs w:val="24"/>
    </w:rPr>
  </w:style>
  <w:style w:type="table" w:customStyle="1" w:styleId="119">
    <w:name w:val="网格型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69</Pages>
  <Words>22828</Words>
  <Characters>27689</Characters>
  <Lines>293</Lines>
  <Paragraphs>82</Paragraphs>
  <TotalTime>1</TotalTime>
  <ScaleCrop>false</ScaleCrop>
  <LinksUpToDate>false</LinksUpToDate>
  <CharactersWithSpaces>28418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2017-11-08T13:47:00Z</dcterms:created>
  <dc:creator>微软用户</dc:creator>
  <cp:lastModifiedBy>羽-中_翀</cp:lastModifiedBy>
  <cp:lastPrinted>2022-12-16T09:35:00Z</cp:lastPrinted>
  <dcterms:modified xsi:type="dcterms:W3CDTF">2023-05-24T03:15:50Z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782E860318104810ADDB2E9C802EC8D2</vt:lpwstr>
  </property>
</Properties>
</file>