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27" w:lineRule="auto"/>
        <w:ind w:left="10" w:hanging="10"/>
        <w:jc w:val="center"/>
        <w:rPr>
          <w:rFonts w:hint="eastAsia" w:ascii="Times New Roman" w:hAnsi="Times New Roman" w:eastAsia="仿宋" w:cs="宋体"/>
          <w:sz w:val="32"/>
          <w:szCs w:val="32"/>
          <w:lang w:eastAsia="zh-CN"/>
        </w:rPr>
      </w:pPr>
    </w:p>
    <w:p>
      <w:pPr>
        <w:pStyle w:val="17"/>
        <w:rPr>
          <w:rFonts w:hint="eastAsia"/>
          <w:lang w:eastAsia="zh-CN"/>
        </w:rPr>
      </w:pPr>
    </w:p>
    <w:p>
      <w:pPr>
        <w:spacing w:after="0" w:line="327" w:lineRule="auto"/>
        <w:ind w:left="10" w:hanging="10"/>
        <w:jc w:val="center"/>
        <w:rPr>
          <w:rFonts w:ascii="Times New Roman" w:hAnsi="Times New Roman" w:eastAsia="仿宋" w:cs="宋体"/>
          <w:sz w:val="24"/>
          <w:szCs w:val="21"/>
        </w:rPr>
      </w:pPr>
    </w:p>
    <w:p>
      <w:pPr>
        <w:spacing w:after="0" w:line="327" w:lineRule="auto"/>
        <w:ind w:left="10" w:hanging="10"/>
        <w:jc w:val="center"/>
        <w:rPr>
          <w:rFonts w:hint="eastAsia" w:cs="宋体"/>
          <w:b/>
          <w:bCs/>
          <w:sz w:val="44"/>
          <w:szCs w:val="44"/>
          <w:lang w:eastAsia="zh-CN"/>
        </w:rPr>
      </w:pPr>
      <w:r>
        <w:rPr>
          <w:rFonts w:hint="eastAsia" w:cs="宋体"/>
          <w:b/>
          <w:bCs/>
          <w:sz w:val="44"/>
          <w:szCs w:val="44"/>
          <w:lang w:eastAsia="zh-CN"/>
        </w:rPr>
        <w:t>永康市2351、2353号建设工程地块</w:t>
      </w:r>
    </w:p>
    <w:p>
      <w:pPr>
        <w:spacing w:after="0" w:line="327" w:lineRule="auto"/>
        <w:ind w:left="10" w:hanging="10"/>
        <w:jc w:val="center"/>
        <w:rPr>
          <w:rFonts w:ascii="Times New Roman" w:hAnsi="Times New Roman" w:eastAsia="仿宋" w:cs="宋体"/>
          <w:b/>
          <w:bCs/>
          <w:sz w:val="44"/>
          <w:szCs w:val="44"/>
        </w:rPr>
      </w:pPr>
      <w:r>
        <w:rPr>
          <w:rFonts w:hint="eastAsia" w:ascii="Times New Roman" w:hAnsi="Times New Roman" w:eastAsia="仿宋" w:cs="宋体"/>
          <w:b/>
          <w:bCs/>
          <w:sz w:val="44"/>
          <w:szCs w:val="44"/>
        </w:rPr>
        <w:t>第一阶段</w:t>
      </w:r>
      <w:r>
        <w:rPr>
          <w:rFonts w:ascii="Times New Roman" w:hAnsi="Times New Roman" w:eastAsia="仿宋" w:cs="宋体"/>
          <w:b/>
          <w:bCs/>
          <w:sz w:val="44"/>
          <w:szCs w:val="44"/>
        </w:rPr>
        <w:t>土壤污染状况调查报告</w:t>
      </w:r>
    </w:p>
    <w:p>
      <w:pPr>
        <w:spacing w:after="0" w:line="327" w:lineRule="auto"/>
        <w:ind w:left="10" w:hanging="10"/>
        <w:jc w:val="center"/>
        <w:rPr>
          <w:rFonts w:ascii="Times New Roman" w:hAnsi="Times New Roman" w:eastAsia="仿宋"/>
          <w:b/>
          <w:bCs/>
          <w:sz w:val="44"/>
          <w:szCs w:val="44"/>
        </w:rPr>
      </w:pPr>
      <w:r>
        <w:rPr>
          <w:rFonts w:ascii="Times New Roman" w:hAnsi="Times New Roman" w:eastAsia="仿宋" w:cs="Times New Roman"/>
          <w:b/>
          <w:bCs/>
          <w:sz w:val="44"/>
          <w:szCs w:val="44"/>
        </w:rPr>
        <w:t xml:space="preserve"> </w:t>
      </w:r>
    </w:p>
    <w:p>
      <w:pPr>
        <w:spacing w:after="0"/>
        <w:ind w:left="10" w:right="454" w:hanging="10"/>
        <w:jc w:val="center"/>
        <w:rPr>
          <w:rFonts w:ascii="Times New Roman" w:hAnsi="Times New Roman" w:eastAsia="仿宋"/>
          <w:sz w:val="36"/>
          <w:szCs w:val="21"/>
        </w:rPr>
      </w:pPr>
      <w:r>
        <w:rPr>
          <w:rFonts w:ascii="Times New Roman" w:hAnsi="Times New Roman" w:eastAsia="仿宋" w:cs="Times New Roman"/>
          <w:sz w:val="36"/>
          <w:szCs w:val="21"/>
        </w:rPr>
        <w:t xml:space="preserve"> </w:t>
      </w:r>
    </w:p>
    <w:p>
      <w:pPr>
        <w:spacing w:after="10"/>
        <w:ind w:left="3080"/>
        <w:rPr>
          <w:rFonts w:ascii="Times New Roman" w:hAnsi="Times New Roman" w:eastAsia="仿宋"/>
          <w:sz w:val="24"/>
          <w:szCs w:val="21"/>
        </w:rPr>
      </w:pPr>
      <w:r>
        <w:rPr>
          <w:rFonts w:ascii="Times New Roman" w:hAnsi="Times New Roman" w:eastAsia="仿宋" w:cs="Times New Roman"/>
          <w:sz w:val="24"/>
          <w:szCs w:val="21"/>
        </w:rPr>
        <w:t xml:space="preserve"> </w:t>
      </w:r>
    </w:p>
    <w:p>
      <w:pPr>
        <w:spacing w:after="208"/>
        <w:rPr>
          <w:rFonts w:ascii="Times New Roman" w:hAnsi="Times New Roman" w:eastAsia="仿宋"/>
          <w:sz w:val="24"/>
          <w:szCs w:val="21"/>
        </w:rPr>
      </w:pPr>
      <w:r>
        <w:rPr>
          <w:rFonts w:ascii="Times New Roman" w:hAnsi="Times New Roman" w:eastAsia="仿宋" w:cs="Times New Roman"/>
          <w:sz w:val="24"/>
          <w:szCs w:val="21"/>
        </w:rPr>
        <w:t xml:space="preserve"> </w:t>
      </w:r>
    </w:p>
    <w:p>
      <w:pPr>
        <w:spacing w:after="210"/>
        <w:rPr>
          <w:rFonts w:ascii="Times New Roman" w:hAnsi="Times New Roman" w:eastAsia="仿宋"/>
          <w:sz w:val="24"/>
          <w:szCs w:val="21"/>
        </w:rPr>
      </w:pPr>
      <w:r>
        <w:rPr>
          <w:rFonts w:ascii="Times New Roman" w:hAnsi="Times New Roman" w:eastAsia="仿宋" w:cs="Times New Roman"/>
          <w:sz w:val="24"/>
          <w:szCs w:val="21"/>
        </w:rPr>
        <w:t xml:space="preserve"> </w:t>
      </w:r>
    </w:p>
    <w:p>
      <w:pPr>
        <w:spacing w:after="208"/>
        <w:rPr>
          <w:rFonts w:ascii="Times New Roman" w:hAnsi="Times New Roman" w:eastAsia="仿宋"/>
          <w:sz w:val="24"/>
          <w:szCs w:val="21"/>
        </w:rPr>
      </w:pPr>
      <w:r>
        <w:rPr>
          <w:rFonts w:ascii="Times New Roman" w:hAnsi="Times New Roman" w:eastAsia="仿宋" w:cs="Times New Roman"/>
          <w:sz w:val="24"/>
          <w:szCs w:val="21"/>
        </w:rPr>
        <w:t xml:space="preserve"> </w:t>
      </w:r>
    </w:p>
    <w:p>
      <w:pPr>
        <w:spacing w:after="208"/>
        <w:rPr>
          <w:rFonts w:ascii="Times New Roman" w:hAnsi="Times New Roman" w:eastAsia="仿宋"/>
          <w:sz w:val="24"/>
          <w:szCs w:val="21"/>
        </w:rPr>
      </w:pPr>
      <w:r>
        <w:rPr>
          <w:rFonts w:ascii="Times New Roman" w:hAnsi="Times New Roman" w:eastAsia="仿宋" w:cs="Times New Roman"/>
          <w:sz w:val="24"/>
          <w:szCs w:val="21"/>
        </w:rPr>
        <w:t xml:space="preserve"> </w:t>
      </w:r>
    </w:p>
    <w:p>
      <w:pPr>
        <w:spacing w:after="210"/>
        <w:rPr>
          <w:rFonts w:ascii="Times New Roman" w:hAnsi="Times New Roman" w:eastAsia="仿宋" w:cs="Times New Roman"/>
          <w:sz w:val="24"/>
          <w:szCs w:val="21"/>
        </w:rPr>
      </w:pPr>
      <w:r>
        <w:rPr>
          <w:rFonts w:ascii="Times New Roman" w:hAnsi="Times New Roman" w:eastAsia="仿宋" w:cs="Times New Roman"/>
          <w:sz w:val="24"/>
          <w:szCs w:val="21"/>
        </w:rPr>
        <w:t xml:space="preserve"> </w:t>
      </w:r>
    </w:p>
    <w:p>
      <w:pPr>
        <w:spacing w:after="208"/>
        <w:rPr>
          <w:rFonts w:ascii="Times New Roman" w:hAnsi="Times New Roman" w:eastAsia="仿宋" w:cs="Times New Roman"/>
          <w:sz w:val="24"/>
          <w:szCs w:val="21"/>
        </w:rPr>
      </w:pPr>
    </w:p>
    <w:p>
      <w:pPr>
        <w:pStyle w:val="17"/>
      </w:pPr>
    </w:p>
    <w:p>
      <w:pPr>
        <w:spacing w:after="208"/>
        <w:rPr>
          <w:rFonts w:ascii="Times New Roman" w:hAnsi="Times New Roman" w:eastAsia="仿宋"/>
          <w:sz w:val="24"/>
          <w:szCs w:val="21"/>
        </w:rPr>
      </w:pPr>
    </w:p>
    <w:p>
      <w:pPr>
        <w:spacing w:after="210"/>
        <w:rPr>
          <w:rFonts w:ascii="Times New Roman" w:hAnsi="Times New Roman" w:eastAsia="仿宋"/>
          <w:sz w:val="24"/>
          <w:szCs w:val="21"/>
        </w:rPr>
      </w:pPr>
      <w:r>
        <w:rPr>
          <w:rFonts w:ascii="Times New Roman" w:hAnsi="Times New Roman" w:eastAsia="仿宋" w:cs="Times New Roman"/>
          <w:sz w:val="24"/>
          <w:szCs w:val="21"/>
        </w:rPr>
        <w:t xml:space="preserve"> </w:t>
      </w:r>
    </w:p>
    <w:p>
      <w:pPr>
        <w:spacing w:after="208"/>
        <w:rPr>
          <w:rFonts w:ascii="Times New Roman" w:hAnsi="Times New Roman" w:eastAsia="仿宋" w:cs="Times New Roman"/>
          <w:sz w:val="24"/>
          <w:szCs w:val="21"/>
        </w:rPr>
      </w:pPr>
      <w:r>
        <w:rPr>
          <w:rFonts w:ascii="Times New Roman" w:hAnsi="Times New Roman" w:eastAsia="仿宋" w:cs="Times New Roman"/>
          <w:sz w:val="24"/>
          <w:szCs w:val="21"/>
        </w:rPr>
        <w:t xml:space="preserve"> </w:t>
      </w:r>
    </w:p>
    <w:p>
      <w:pPr>
        <w:pStyle w:val="17"/>
        <w:rPr>
          <w:rFonts w:ascii="Times New Roman" w:hAnsi="Times New Roman" w:eastAsia="仿宋" w:cs="Times New Roman"/>
          <w:sz w:val="24"/>
          <w:szCs w:val="21"/>
        </w:rPr>
      </w:pPr>
    </w:p>
    <w:p>
      <w:pPr>
        <w:pStyle w:val="17"/>
        <w:rPr>
          <w:rFonts w:ascii="Times New Roman" w:hAnsi="Times New Roman" w:eastAsia="仿宋" w:cs="Times New Roman"/>
          <w:sz w:val="24"/>
          <w:szCs w:val="21"/>
        </w:rPr>
      </w:pPr>
    </w:p>
    <w:p>
      <w:pPr>
        <w:spacing w:after="3"/>
        <w:ind w:left="10" w:right="454" w:hanging="10"/>
        <w:jc w:val="center"/>
        <w:rPr>
          <w:rFonts w:hint="eastAsia" w:ascii="Times New Roman" w:hAnsi="Times New Roman" w:eastAsia="仿宋" w:cs="宋体"/>
          <w:sz w:val="28"/>
          <w:szCs w:val="28"/>
        </w:rPr>
      </w:pPr>
      <w:r>
        <w:rPr>
          <w:rFonts w:hint="eastAsia" w:ascii="Times New Roman" w:hAnsi="Times New Roman" w:eastAsia="仿宋" w:cs="宋体"/>
          <w:sz w:val="28"/>
          <w:szCs w:val="28"/>
        </w:rPr>
        <w:t>浙江毕博环境科技有限公司</w:t>
      </w:r>
    </w:p>
    <w:p>
      <w:pPr>
        <w:spacing w:after="3"/>
        <w:ind w:left="10" w:right="454" w:hanging="10"/>
        <w:jc w:val="center"/>
        <w:rPr>
          <w:rFonts w:ascii="Times New Roman" w:hAnsi="Times New Roman" w:eastAsia="仿宋" w:cs="宋体"/>
          <w:sz w:val="24"/>
          <w:szCs w:val="21"/>
        </w:rPr>
        <w:sectPr>
          <w:headerReference r:id="rId5" w:type="default"/>
          <w:pgSz w:w="11906" w:h="16838"/>
          <w:pgMar w:top="1547" w:right="1464" w:bottom="1538" w:left="1798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  <w:r>
        <w:rPr>
          <w:rFonts w:ascii="Times New Roman" w:hAnsi="Times New Roman" w:eastAsia="仿宋" w:cs="宋体"/>
          <w:sz w:val="28"/>
          <w:szCs w:val="28"/>
        </w:rPr>
        <w:t>二</w:t>
      </w:r>
      <w:r>
        <w:rPr>
          <w:rFonts w:hint="eastAsia" w:ascii="Times New Roman" w:hAnsi="Times New Roman" w:eastAsia="仿宋" w:cs="Times New Roman"/>
          <w:sz w:val="28"/>
          <w:szCs w:val="28"/>
        </w:rPr>
        <w:t>零</w:t>
      </w:r>
      <w:r>
        <w:rPr>
          <w:rFonts w:ascii="Times New Roman" w:hAnsi="Times New Roman" w:eastAsia="仿宋" w:cs="宋体"/>
          <w:sz w:val="28"/>
          <w:szCs w:val="28"/>
        </w:rPr>
        <w:t>二</w:t>
      </w:r>
      <w:r>
        <w:rPr>
          <w:rFonts w:hint="eastAsia" w:cs="宋体"/>
          <w:sz w:val="28"/>
          <w:szCs w:val="28"/>
          <w:lang w:eastAsia="zh-CN"/>
        </w:rPr>
        <w:t>三</w:t>
      </w:r>
      <w:r>
        <w:rPr>
          <w:rFonts w:ascii="Times New Roman" w:hAnsi="Times New Roman" w:eastAsia="仿宋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十</w:t>
      </w:r>
      <w:r>
        <w:rPr>
          <w:rFonts w:ascii="Times New Roman" w:hAnsi="Times New Roman" w:eastAsia="仿宋" w:cs="宋体"/>
          <w:sz w:val="28"/>
          <w:szCs w:val="28"/>
        </w:rPr>
        <w:t>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451"/>
        <w:jc w:val="center"/>
        <w:textAlignment w:val="auto"/>
        <w:rPr>
          <w:rFonts w:ascii="Times New Roman" w:hAnsi="Times New Roman" w:eastAsia="仿宋" w:cs="宋体"/>
          <w:sz w:val="24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right="451"/>
        <w:jc w:val="center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 w:cs="宋体"/>
          <w:b/>
          <w:bCs/>
          <w:sz w:val="32"/>
          <w:szCs w:val="32"/>
        </w:rPr>
        <w:t>责 任 表</w:t>
      </w:r>
      <w:r>
        <w:rPr>
          <w:rFonts w:ascii="Times New Roman" w:hAnsi="Times New Roman" w:eastAsia="仿宋" w:cs="Times New Roman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 w:cs="宋体"/>
          <w:sz w:val="28"/>
          <w:szCs w:val="28"/>
        </w:rPr>
        <w:t>项目名称：</w:t>
      </w:r>
      <w:r>
        <w:rPr>
          <w:rFonts w:hint="eastAsia" w:cs="宋体"/>
          <w:sz w:val="28"/>
          <w:szCs w:val="28"/>
          <w:lang w:eastAsia="zh-CN"/>
        </w:rPr>
        <w:t>永康市2351、2353号建设工程地块第一阶段土壤污染状况调查报告</w:t>
      </w:r>
    </w:p>
    <w:p>
      <w:pPr>
        <w:snapToGrid w:val="0"/>
        <w:spacing w:after="0" w:line="360" w:lineRule="auto"/>
        <w:rPr>
          <w:rFonts w:hint="default" w:ascii="Times New Roman" w:hAnsi="Times New Roman" w:cs="宋体"/>
          <w:sz w:val="28"/>
          <w:szCs w:val="28"/>
          <w:lang w:val="en-US" w:eastAsia="zh-CN"/>
        </w:rPr>
      </w:pPr>
      <w:r>
        <w:rPr>
          <w:rFonts w:ascii="Times New Roman" w:hAnsi="Times New Roman" w:eastAsia="仿宋" w:cs="宋体"/>
          <w:sz w:val="28"/>
          <w:szCs w:val="28"/>
        </w:rPr>
        <w:t>委托单位：</w:t>
      </w:r>
      <w:r>
        <w:rPr>
          <w:rFonts w:hint="eastAsia" w:ascii="Times New Roman" w:hAnsi="Times New Roman" w:cs="宋体"/>
          <w:sz w:val="28"/>
          <w:szCs w:val="28"/>
          <w:lang w:val="en-US" w:eastAsia="zh-CN"/>
        </w:rPr>
        <w:t>永康市东城街道河南一村村民委员会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Times New Roman" w:hAnsi="Times New Roman" w:eastAsia="仿宋" w:cs="宋体"/>
          <w:sz w:val="28"/>
          <w:szCs w:val="28"/>
          <w:lang w:eastAsia="zh-CN"/>
        </w:rPr>
      </w:pPr>
      <w:r>
        <w:rPr>
          <w:rFonts w:ascii="Times New Roman" w:hAnsi="Times New Roman" w:eastAsia="仿宋" w:cs="宋体"/>
          <w:sz w:val="28"/>
          <w:szCs w:val="28"/>
        </w:rPr>
        <w:t>编制单位：</w:t>
      </w:r>
      <w:r>
        <w:rPr>
          <w:rFonts w:hint="eastAsia" w:cs="宋体"/>
          <w:sz w:val="28"/>
          <w:szCs w:val="28"/>
          <w:lang w:eastAsia="zh-CN"/>
        </w:rPr>
        <w:t>浙江毕博环境科技有限公司</w:t>
      </w:r>
      <w:r>
        <w:rPr>
          <w:rFonts w:ascii="Times New Roman" w:hAnsi="Times New Roman" w:eastAsia="仿宋" w:cs="Times New Roman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rPr>
          <w:rFonts w:hint="eastAsia" w:ascii="Times New Roman" w:hAnsi="Times New Roman" w:eastAsia="仿宋" w:cs="宋体"/>
          <w:sz w:val="24"/>
          <w:szCs w:val="21"/>
        </w:rPr>
      </w:pPr>
      <w:r>
        <w:rPr>
          <w:rFonts w:ascii="Times New Roman" w:hAnsi="Times New Roman" w:eastAsia="仿宋" w:cs="宋体"/>
          <w:sz w:val="28"/>
          <w:szCs w:val="28"/>
        </w:rPr>
        <w:t>项目负责人：周火峰</w:t>
      </w:r>
    </w:p>
    <w:p>
      <w:pPr>
        <w:snapToGrid w:val="0"/>
        <w:spacing w:after="0" w:line="360" w:lineRule="auto"/>
        <w:jc w:val="center"/>
        <w:rPr>
          <w:rFonts w:ascii="Times New Roman" w:hAnsi="Times New Roman" w:eastAsia="仿宋"/>
          <w:b/>
          <w:sz w:val="24"/>
          <w:szCs w:val="21"/>
        </w:rPr>
      </w:pPr>
      <w:r>
        <w:rPr>
          <w:rFonts w:hint="eastAsia" w:cs="宋体"/>
          <w:b/>
          <w:sz w:val="32"/>
          <w:szCs w:val="32"/>
          <w:lang w:val="en-US" w:eastAsia="zh-CN"/>
        </w:rPr>
        <w:t>项目</w:t>
      </w:r>
      <w:r>
        <w:rPr>
          <w:rFonts w:ascii="Times New Roman" w:hAnsi="Times New Roman" w:eastAsia="仿宋" w:cs="宋体"/>
          <w:b/>
          <w:sz w:val="32"/>
          <w:szCs w:val="32"/>
        </w:rPr>
        <w:t>参加人员</w:t>
      </w:r>
    </w:p>
    <w:tbl>
      <w:tblPr>
        <w:tblStyle w:val="31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134"/>
        <w:gridCol w:w="2134"/>
        <w:gridCol w:w="2134"/>
        <w:gridCol w:w="21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72" w:hRule="atLeast"/>
        </w:trPr>
        <w:tc>
          <w:tcPr>
            <w:tcW w:w="5000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 xml:space="preserve">编 制 人 员 情 况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30" w:hRule="atLeast"/>
        </w:trPr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姓名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职务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工作内容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28" w:hRule="atLeast"/>
        </w:trPr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周火峰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  <w:t>助理工程师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项目负责人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27" w:hRule="atLeast"/>
        </w:trPr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吴其新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  <w:t>助理工程师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报告编制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30" w:hRule="atLeast"/>
        </w:trPr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周火峰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sz w:val="28"/>
                <w:szCs w:val="28"/>
                <w:lang w:val="en-US" w:eastAsia="zh-CN"/>
              </w:rPr>
              <w:t>助理工程师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报告审核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734" w:hRule="atLeast"/>
        </w:trPr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张展君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工程师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sz w:val="28"/>
                <w:szCs w:val="28"/>
              </w:rPr>
              <w:t>报告审定</w:t>
            </w:r>
          </w:p>
        </w:tc>
        <w:tc>
          <w:tcPr>
            <w:tcW w:w="1250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right="3"/>
              <w:jc w:val="center"/>
              <w:textAlignment w:val="auto"/>
              <w:rPr>
                <w:rFonts w:hint="eastAsia" w:ascii="Times New Roman" w:hAnsi="Times New Roman" w:eastAsia="仿宋" w:cs="宋体"/>
                <w:sz w:val="28"/>
                <w:szCs w:val="28"/>
              </w:rPr>
            </w:pPr>
          </w:p>
        </w:tc>
      </w:tr>
    </w:tbl>
    <w:p>
      <w:pPr>
        <w:snapToGrid w:val="0"/>
        <w:spacing w:after="0" w:line="360" w:lineRule="auto"/>
        <w:jc w:val="center"/>
        <w:rPr>
          <w:rFonts w:ascii="Times New Roman" w:hAnsi="Times New Roman" w:eastAsia="仿宋"/>
          <w:b/>
          <w:sz w:val="24"/>
          <w:szCs w:val="21"/>
        </w:rPr>
      </w:pPr>
    </w:p>
    <w:p>
      <w:pPr>
        <w:spacing w:after="0"/>
        <w:ind w:left="960"/>
        <w:rPr>
          <w:rFonts w:ascii="Times New Roman" w:hAnsi="Times New Roman" w:eastAsia="仿宋" w:cs="Times New Roman"/>
          <w:sz w:val="24"/>
          <w:szCs w:val="21"/>
        </w:rPr>
      </w:pPr>
      <w:r>
        <w:rPr>
          <w:rFonts w:ascii="Times New Roman" w:hAnsi="Times New Roman" w:eastAsia="仿宋" w:cs="Times New Roman"/>
          <w:sz w:val="24"/>
          <w:szCs w:val="21"/>
        </w:rPr>
        <w:t xml:space="preserve"> </w:t>
      </w:r>
    </w:p>
    <w:p>
      <w:pPr>
        <w:spacing w:after="0" w:line="240" w:lineRule="auto"/>
        <w:rPr>
          <w:rFonts w:ascii="Times New Roman" w:hAnsi="Times New Roman" w:eastAsia="仿宋" w:cs="Times New Roman"/>
          <w:sz w:val="24"/>
          <w:szCs w:val="21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1440" w:right="1800" w:bottom="1440" w:left="1800" w:header="720" w:footer="9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299" w:charSpace="0"/>
        </w:sectPr>
      </w:pPr>
    </w:p>
    <w:p>
      <w:pPr>
        <w:spacing w:after="0" w:line="240" w:lineRule="auto"/>
        <w:rPr>
          <w:rFonts w:ascii="Times New Roman" w:hAnsi="Times New Roman" w:eastAsia="仿宋" w:cs="Times New Roman"/>
          <w:sz w:val="24"/>
          <w:szCs w:val="21"/>
        </w:rPr>
      </w:pPr>
    </w:p>
    <w:p>
      <w:pPr>
        <w:spacing w:after="0" w:line="240" w:lineRule="auto"/>
        <w:rPr>
          <w:rFonts w:hint="eastAsia" w:ascii="Times New Roman" w:hAnsi="Times New Roman" w:eastAsia="仿宋" w:cs="仿宋_GB2312"/>
          <w:sz w:val="28"/>
          <w:lang w:eastAsia="zh-CN"/>
        </w:rPr>
      </w:pPr>
      <w:r>
        <w:rPr>
          <w:rFonts w:hint="eastAsia" w:ascii="Times New Roman" w:hAnsi="Times New Roman" w:eastAsia="仿宋" w:cs="仿宋_GB2312"/>
          <w:sz w:val="28"/>
          <w:lang w:eastAsia="zh-CN"/>
        </w:rPr>
        <w:pict>
          <v:shape id="_x0000_i1025" o:spt="75" alt="毕博" type="#_x0000_t75" style="height:456.45pt;width:628.7pt;rotation:-5898240f;" filled="f" o:preferrelative="t" stroked="f" coordsize="21600,21600">
            <v:path/>
            <v:fill on="f" focussize="0,0"/>
            <v:stroke on="f"/>
            <v:imagedata r:id="rId19" gain="112992f" blacklevel="-7864f" o:title="毕博"/>
            <o:lock v:ext="edit" aspectratio="t"/>
            <w10:wrap type="none"/>
            <w10:anchorlock/>
          </v:shape>
        </w:pict>
      </w:r>
    </w:p>
    <w:p>
      <w:pPr>
        <w:spacing w:after="0" w:line="240" w:lineRule="auto"/>
        <w:rPr>
          <w:rFonts w:hint="eastAsia" w:ascii="Times New Roman" w:hAnsi="Times New Roman" w:eastAsia="仿宋" w:cs="仿宋_GB2312"/>
          <w:sz w:val="28"/>
          <w:lang w:eastAsia="zh-CN"/>
        </w:rPr>
        <w:sectPr>
          <w:footerReference r:id="rId12" w:type="default"/>
          <w:pgSz w:w="11906" w:h="16838"/>
          <w:pgMar w:top="1440" w:right="1800" w:bottom="1440" w:left="1800" w:header="720" w:footer="9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299" w:charSpace="0"/>
        </w:sectPr>
      </w:pPr>
    </w:p>
    <w:p>
      <w:pPr>
        <w:spacing w:after="0" w:line="360" w:lineRule="auto"/>
        <w:jc w:val="center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目录</w:t>
      </w:r>
    </w:p>
    <w:p>
      <w:pPr>
        <w:pStyle w:val="23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instrText xml:space="preserve"> TOC \o "1-3" \h \z \u </w:instrTex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_Toc32653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摘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要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_Toc32653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3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_Toc21201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 前言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_Toc21201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3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_Toc2556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2 概述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_Toc2556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_Toc7303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2.1 调查的目的、原则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_Toc7303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_Toc7148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2.1.1 调查的目的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_Toc7148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_Toc6940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2.</w:t>
      </w:r>
      <w:r>
        <w:rPr>
          <w:rFonts w:hint="default" w:ascii="Times New Roman" w:hAnsi="Times New Roman" w:eastAsia="仿宋" w:cs="Times New Roman"/>
          <w:bCs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.2 调查原则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_Toc6940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_Toc32291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2.2 调查范围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_Toc32291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_Toc26944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2.3 编制依据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_Toc26944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9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_Toc2435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2.3.1 相关法律、法规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_Toc2435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9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_Toc26969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2.3.2 相关导则及技术规范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_Toc26969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11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_Toc6055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2.3.3 其他相关依据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_Toc6055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11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_Toc13374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2.4 调查方法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_Toc13374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12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_Toc29987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2.4.1 调查工作程序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_Toc29987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12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_Toc1763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2.4.2 地块土壤污染状况调查工作内容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_Toc1763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14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_Toc19209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2.4.</w:t>
      </w:r>
      <w:r>
        <w:rPr>
          <w:rFonts w:hint="default" w:ascii="Times New Roman" w:hAnsi="Times New Roman" w:eastAsia="仿宋" w:cs="Times New Roman"/>
          <w:bCs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Cs w:val="0"/>
          <w:sz w:val="28"/>
          <w:szCs w:val="28"/>
          <w:lang w:val="en-US" w:eastAsia="zh-CN"/>
        </w:rPr>
        <w:t>调查结论简述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_Toc19209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16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_Toc28246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2.5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调查报告的提纲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_Toc28246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16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3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_Toc24934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3 地块概况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_Toc24934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19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_Toc11453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3.1 调查地块基本信息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_Toc11453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19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_Toc27345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3.2 区域环境状况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_Toc27345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19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_Toc26425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3.2.1 地块地理位置及范围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_Toc26425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19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_Toc18755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3.2.2 社会经济概况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_Toc18755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20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_Toc27603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3.2.3 自然环境概况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_Toc27603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21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_Toc32457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3.2.4 环境质量现状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_Toc32457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37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_Toc6113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3.2.5 相关规划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_Toc6113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38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_Toc20703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3.3 敏感目标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_Toc20703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39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_Toc27267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3.4 地块的使用现状和历史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_Toc27267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40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_Toc7018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3.4.1 地块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现状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_Toc7018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40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_Toc27695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 xml:space="preserve">3.4.2 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地块利用历史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_Toc27695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40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_Toc30886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3.5 相邻地块的使用现状和历史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_Toc30886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48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_Toc7004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3.5.1 相邻地块使用现状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_Toc7004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48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_Toc19860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3.5.2 相邻地块历史变迁情况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_Toc19860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49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_Toc20434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  <w:lang w:val="en-US" w:eastAsia="zh-CN"/>
        </w:rPr>
        <w:t>3.5.3</w:t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 xml:space="preserve"> 地块潜在污染源和污染物识别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_Toc20434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56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_Toc1691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3.6 地块利用的规划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_Toc1691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57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1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_Toc20774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3.6.1 地块规划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_Toc20774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57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3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_Toc28290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4 资料分析与现场踏勘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_Toc28290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58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_Toc618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4.1 资料收集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_Toc618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58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_Toc6636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 w:val="0"/>
          <w:sz w:val="28"/>
          <w:szCs w:val="28"/>
        </w:rPr>
        <w:t>4.2 地块资料分析</w:t>
      </w:r>
      <w:r>
        <w:rPr>
          <w:rFonts w:hint="default" w:ascii="Times New Roman" w:hAnsi="Times New Roman" w:eastAsia="仿宋" w:cs="Times New Roman"/>
          <w:bCs w:val="0"/>
          <w:sz w:val="28"/>
          <w:szCs w:val="28"/>
          <w:lang w:val="en-US" w:eastAsia="zh-CN"/>
        </w:rPr>
        <w:t>情况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_Toc6636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60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3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_Toc21538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5 现场踏勘与人员访谈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_Toc21538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61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_Toc29692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5.1 人员访谈内容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_Toc29692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61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_Toc30445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5.2 有毒有害物质的储存、使用和处置情况分析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_Toc30445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65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_Toc7370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5.3 各类槽罐内的物质和泄露评价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_Toc7370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65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_Toc23699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5.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 xml:space="preserve"> 固体废物和危险废物的处理评价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_Toc23699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65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_Toc4302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5.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 xml:space="preserve"> 管线、沟渠泄露评价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_Toc4302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65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_Toc16970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5.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 xml:space="preserve"> 其他与污染物迁移相关的环境因素分析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_Toc16970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65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_Toc2167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5.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 xml:space="preserve"> 其他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_Toc2167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65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3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_Toc5756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6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结果分析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_Toc5756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66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_Toc14714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6.1 资料收集、现场踏勘和人员访谈一致性分析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_Toc14714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66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_Toc23885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 xml:space="preserve">6.2 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第一阶段调查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结果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_Toc23885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67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3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_Toc12193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7 结论和建议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_Toc12193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69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_Toc4780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 xml:space="preserve">7.1 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第一阶段调查</w: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结论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_Toc4780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69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_Toc24874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 xml:space="preserve">7.2 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建议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_Toc24874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71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_Toc15811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t>7.3 不确定性</w:t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分析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_Toc15811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71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3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_Toc750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8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_Toc750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73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_Toc18680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附件1：</w:t>
      </w:r>
      <w:r>
        <w:rPr>
          <w:rFonts w:hint="default" w:ascii="Times New Roman" w:hAnsi="Times New Roman" w:eastAsia="仿宋" w:cs="Times New Roman"/>
          <w:bCs/>
          <w:kern w:val="2"/>
          <w:sz w:val="28"/>
          <w:szCs w:val="28"/>
          <w:lang w:val="en-US" w:eastAsia="zh-CN" w:bidi="ar-SA"/>
        </w:rPr>
        <w:t>永康市2351号建设工程用地红线图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_Toc18680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73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_Toc744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附件2：永康市2353号建设工程用地红线图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_Toc744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74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_Toc2782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附件3：用地规划设计条件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_Toc2782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75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_Toc984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附件4：场地调查清单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_Toc984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76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_Toc4040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附件5：现场调查走访表格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_Toc4040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77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_Toc19217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  <w:highlight w:val="none"/>
          <w:lang w:val="en-US" w:eastAsia="zh-CN"/>
        </w:rPr>
        <w:t>附件6：现场勘察记录及照片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_Toc19217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78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_Toc28891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附件7：人员访谈记录表及照片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_Toc28891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83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_Toc22971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附件8：工程地质勘察报告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_Toc22971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94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_Toc11477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附件9：自评表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_Toc11477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127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_Toc29959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sz w:val="28"/>
          <w:szCs w:val="28"/>
          <w:lang w:val="en-US" w:eastAsia="zh-CN"/>
        </w:rPr>
        <w:t>附件10：调查报告技术审查会专家组意见及意见修改说明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_Toc29959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133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_Toc22497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kern w:val="2"/>
          <w:sz w:val="28"/>
          <w:szCs w:val="28"/>
          <w:lang w:val="en-US" w:eastAsia="zh-CN" w:bidi="ar-SA"/>
        </w:rPr>
        <w:t>附件11：永康市2351、2353号建设工程地块第一阶段土壤污染状况调查报告审查打分表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_Toc22497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136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_Toc15660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kern w:val="2"/>
          <w:sz w:val="28"/>
          <w:szCs w:val="28"/>
          <w:lang w:val="en-US" w:eastAsia="zh-CN" w:bidi="ar-SA"/>
        </w:rPr>
        <w:t>附件12：廉政通告及承诺书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_Toc15660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142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_Toc25392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kern w:val="2"/>
          <w:sz w:val="28"/>
          <w:szCs w:val="28"/>
          <w:lang w:val="en-US" w:eastAsia="zh-CN" w:bidi="ar-SA"/>
        </w:rPr>
        <w:t>附件13：建设用地土壤污染状况调查、风险评估、风险管控及修复效果评估报告评审申请表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_Toc25392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144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_Toc12583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kern w:val="2"/>
          <w:sz w:val="28"/>
          <w:szCs w:val="28"/>
          <w:lang w:val="en-US" w:eastAsia="zh-CN" w:bidi="ar-SA"/>
        </w:rPr>
        <w:t>附件14：申请人承诺书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_Toc12583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146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pStyle w:val="26"/>
        <w:tabs>
          <w:tab w:val="right" w:leader="dot" w:pos="8306"/>
        </w:tabs>
        <w:spacing w:line="360" w:lineRule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instrText xml:space="preserve"> HYPERLINK \l _Toc557 </w:instrText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bCs/>
          <w:kern w:val="2"/>
          <w:sz w:val="28"/>
          <w:szCs w:val="28"/>
          <w:lang w:val="en-US" w:eastAsia="zh-CN" w:bidi="ar-SA"/>
        </w:rPr>
        <w:t>附件15：报告出具单位承诺书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</w:rPr>
        <w:instrText xml:space="preserve"> PAGEREF _Toc557 \h </w:instrTex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147</w:t>
      </w:r>
      <w:r>
        <w:rPr>
          <w:rFonts w:hint="default" w:ascii="Times New Roman" w:hAnsi="Times New Roman" w:eastAsia="仿宋" w:cs="Times New Roman"/>
          <w:sz w:val="28"/>
          <w:szCs w:val="28"/>
        </w:rPr>
        <w:fldChar w:fldCharType="end"/>
      </w: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spacing w:after="0" w:line="360" w:lineRule="auto"/>
        <w:rPr>
          <w:rFonts w:ascii="Times New Roman" w:hAnsi="Times New Roman" w:eastAsia="仿宋" w:cs="仿宋_GB2312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sz w:val="28"/>
          <w:szCs w:val="28"/>
        </w:rPr>
        <w:fldChar w:fldCharType="end"/>
      </w:r>
    </w:p>
    <w:p>
      <w:pPr>
        <w:spacing w:after="0" w:line="240" w:lineRule="auto"/>
        <w:rPr>
          <w:rFonts w:ascii="Times New Roman" w:hAnsi="Times New Roman" w:eastAsia="仿宋" w:cs="仿宋_GB2312"/>
          <w:sz w:val="24"/>
          <w:szCs w:val="21"/>
        </w:rPr>
        <w:sectPr>
          <w:headerReference r:id="rId13" w:type="default"/>
          <w:footerReference r:id="rId14" w:type="default"/>
          <w:pgSz w:w="11906" w:h="16838"/>
          <w:pgMar w:top="1440" w:right="1800" w:bottom="1440" w:left="1800" w:header="720" w:footer="9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29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0" w:afterLines="50" w:line="360" w:lineRule="auto"/>
        <w:jc w:val="center"/>
        <w:textAlignment w:val="auto"/>
        <w:outlineLvl w:val="0"/>
        <w:rPr>
          <w:rFonts w:ascii="Times New Roman" w:hAnsi="Times New Roman" w:eastAsia="仿宋" w:cs="仿宋_GB2312"/>
          <w:b/>
          <w:bCs/>
          <w:sz w:val="32"/>
          <w:szCs w:val="32"/>
        </w:rPr>
      </w:pPr>
      <w:bookmarkStart w:id="0" w:name="_Toc32653"/>
      <w:r>
        <w:rPr>
          <w:rFonts w:hint="eastAsia" w:ascii="Times New Roman" w:hAnsi="Times New Roman" w:eastAsia="仿宋" w:cs="仿宋_GB2312"/>
          <w:b/>
          <w:bCs/>
          <w:sz w:val="32"/>
          <w:szCs w:val="32"/>
        </w:rPr>
        <w:t>摘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_GB2312"/>
          <w:b/>
          <w:bCs/>
          <w:sz w:val="32"/>
          <w:szCs w:val="32"/>
        </w:rPr>
        <w:t>要</w:t>
      </w:r>
      <w:bookmarkEnd w:id="0"/>
    </w:p>
    <w:p>
      <w:pPr>
        <w:adjustRightInd w:val="0"/>
        <w:snapToGrid w:val="0"/>
        <w:spacing w:after="0" w:line="360" w:lineRule="auto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永康市2351、2353号建设工程地块位于浙江省金华市永康市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东城街道河南一村，2351、2353号两个建设工程地块功能相同，2351</w:t>
      </w:r>
      <w:r>
        <w:rPr>
          <w:rFonts w:hint="eastAsia" w:cs="Times New Roman"/>
          <w:sz w:val="28"/>
          <w:szCs w:val="28"/>
          <w:lang w:val="en-US" w:eastAsia="zh-CN"/>
        </w:rPr>
        <w:t>建设工程地块东侧与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2353号建设工程地块</w:t>
      </w:r>
      <w:r>
        <w:rPr>
          <w:rFonts w:hint="eastAsia" w:cs="Times New Roman"/>
          <w:sz w:val="28"/>
          <w:szCs w:val="28"/>
          <w:lang w:val="en-US" w:eastAsia="zh-CN"/>
        </w:rPr>
        <w:t>西侧紧邻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，因此将两个地块合并调查。林江塘水库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位于</w:t>
      </w:r>
      <w:r>
        <w:rPr>
          <w:rFonts w:hint="eastAsia" w:cs="Times New Roman"/>
          <w:sz w:val="28"/>
          <w:szCs w:val="28"/>
          <w:lang w:val="en-US" w:eastAsia="zh-CN"/>
        </w:rPr>
        <w:t>合并后地块西侧，直线距离约288米，过水面积约30158m</w:t>
      </w:r>
      <w:r>
        <w:rPr>
          <w:rFonts w:hint="eastAsia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cs="Times New Roman"/>
          <w:sz w:val="28"/>
          <w:szCs w:val="28"/>
          <w:lang w:val="en-US" w:eastAsia="zh-CN"/>
        </w:rPr>
        <w:t>，该水库主要用于周边农田灌溉。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地块东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侧、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南侧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均紧邻山林地和农田，西侧紧邻山林地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，北侧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紧邻农田</w:t>
      </w:r>
      <w:r>
        <w:rPr>
          <w:rFonts w:hint="eastAsia" w:cs="Times New Roman"/>
          <w:sz w:val="28"/>
          <w:szCs w:val="28"/>
          <w:lang w:val="en-US" w:eastAsia="zh-CN"/>
        </w:rPr>
        <w:t>和水塘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地块占地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约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62708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m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  <w:lang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，中心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点经度120.079815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°，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纬度28.880342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°。</w:t>
      </w:r>
      <w:r>
        <w:rPr>
          <w:rFonts w:hint="eastAsia" w:cs="Times New Roman"/>
          <w:sz w:val="28"/>
          <w:szCs w:val="28"/>
          <w:lang w:val="en-US" w:eastAsia="zh-CN"/>
        </w:rPr>
        <w:t>地块北侧水塘与本地块紧邻，过水面积约4410m</w:t>
      </w:r>
      <w:r>
        <w:rPr>
          <w:rFonts w:hint="eastAsia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cs="Times New Roman"/>
          <w:sz w:val="28"/>
          <w:szCs w:val="28"/>
          <w:lang w:val="en-US" w:eastAsia="zh-CN"/>
        </w:rPr>
        <w:t>，该水塘主要用于周边农田灌溉，其中有约880m</w:t>
      </w:r>
      <w:r>
        <w:rPr>
          <w:rFonts w:hint="eastAsia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eastAsia" w:cs="Times New Roman"/>
          <w:sz w:val="28"/>
          <w:szCs w:val="28"/>
          <w:vertAlign w:val="baseline"/>
          <w:lang w:val="en-US" w:eastAsia="zh-CN"/>
        </w:rPr>
        <w:t>在本地块范围内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。</w:t>
      </w:r>
    </w:p>
    <w:p>
      <w:pPr>
        <w:adjustRightInd w:val="0"/>
        <w:snapToGrid w:val="0"/>
        <w:spacing w:after="0" w:line="360" w:lineRule="auto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根据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永康市自然资源和规划局</w:t>
      </w:r>
      <w:r>
        <w:rPr>
          <w:rFonts w:hint="eastAsia" w:cs="Times New Roman"/>
          <w:sz w:val="28"/>
          <w:szCs w:val="28"/>
          <w:lang w:val="en-US" w:eastAsia="zh-CN"/>
        </w:rPr>
        <w:t>2023年07月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出具的</w:t>
      </w:r>
      <w:r>
        <w:rPr>
          <w:rFonts w:hint="default" w:ascii="Times New Roman" w:hAnsi="Times New Roman" w:eastAsia="仿宋" w:cs="Times New Roman"/>
          <w:sz w:val="28"/>
          <w:szCs w:val="28"/>
        </w:rPr>
        <w:t>《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永康市2351号建设工程用地红线图（农转用征收）</w:t>
      </w:r>
      <w:r>
        <w:rPr>
          <w:rFonts w:hint="default" w:ascii="Times New Roman" w:hAnsi="Times New Roman" w:eastAsia="仿宋" w:cs="Times New Roman"/>
          <w:sz w:val="28"/>
          <w:szCs w:val="28"/>
        </w:rPr>
        <w:t>》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、《永康市2353号建设工程用地红线图（农转用征收）》和浙江汉宇设计有限公司</w:t>
      </w:r>
      <w:r>
        <w:rPr>
          <w:rFonts w:hint="eastAsia" w:cs="Times New Roman"/>
          <w:sz w:val="28"/>
          <w:szCs w:val="28"/>
          <w:lang w:val="en-US" w:eastAsia="zh-CN"/>
        </w:rPr>
        <w:t>2023年01月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出具的《永康市林江塘区块控制性详细规划》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eastAsia" w:cs="Times New Roman"/>
          <w:sz w:val="28"/>
          <w:szCs w:val="28"/>
          <w:lang w:val="en-US" w:eastAsia="zh-CN"/>
        </w:rPr>
        <w:t>该地块用地性质为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公共管理与公共服务用地，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对照《城市用地分类与规划建设用地标准》（GB 50137-2011）和《国土空间调查、规划、用途管制用地用海分类指南（试行》（自然资办〔2020〕51号）中的用地分类，属于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公共管理与公共服务用地（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08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），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为甲类地块。属于《土壤环境质量建设用地土壤污染风险管控标准》（试行）（GB 36600-2018）中规定的</w:t>
      </w:r>
      <w:r>
        <w:rPr>
          <w:rFonts w:hint="eastAsia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第二类用地</w:t>
      </w:r>
      <w:r>
        <w:rPr>
          <w:rFonts w:hint="eastAsia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adjustRightInd w:val="0"/>
        <w:snapToGrid w:val="0"/>
        <w:spacing w:after="0" w:line="360" w:lineRule="auto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根据《中华人民共和国土壤污染防治法》“第四章，第三节，第五十九条”及《浙江省建设用地土壤污染风险管控和修复监督管理办法》（浙环发【2021】21号）“第九条”，属于甲类地块，责任人应当按照规定进行土壤污染状况调查、编制调查报告，并报所在地设区市生态环境局，由设区市生态环境局会同同级自然资源主管部门组织评审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。 </w:t>
      </w:r>
    </w:p>
    <w:p>
      <w:pPr>
        <w:adjustRightInd w:val="0"/>
        <w:snapToGrid w:val="0"/>
        <w:spacing w:after="0" w:line="360" w:lineRule="auto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因此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该地块须按照《建设用地土壤污染状况调查技术导则》（HJ 25.1-2019）以及相关技术指南等，进行地块土壤污染状况调查，评价该地块土壤</w:t>
      </w:r>
      <w:r>
        <w:rPr>
          <w:rFonts w:hint="eastAsia" w:cs="Times New Roman"/>
          <w:sz w:val="28"/>
          <w:szCs w:val="28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地下水环境质量是否满足相应用地要求。为此，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永康市东城街道河南一村村民委员会于202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09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月委托浙江毕博环境科技有限公司对该地块进行土壤污染状况调查。受委托后，我公司在收集资料和现场踏勘的基础上，对该地块环境进行了初步调查，对该地块的污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染进行了初步识别。结合有关导则和标准编写了《永康市2351、2353号建设工程地块第一阶段土壤污染状况调查报告》。</w:t>
      </w:r>
    </w:p>
    <w:p>
      <w:pPr>
        <w:adjustRightInd w:val="0"/>
        <w:snapToGrid w:val="0"/>
        <w:spacing w:after="0" w:line="360" w:lineRule="auto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根据2023年09月的现场踏勘及影像资料显示，本地块为小山体，地势比周边地块高，在2023年之前均为山林地和水塘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，水塘未填埋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。地块于2023年完成征收，地块内未发现生活垃圾和固废填埋，未发现管道、沟渠或渗坑，没有污染痕迹，地块内无特殊气味。地块内未进行规模化畜禽养殖，未涉及有毒有害物质储存与输送，未发生过突发环境事故，未涉及危险废物堆放、固废堆放与倾倒、固废填埋等。</w:t>
      </w:r>
    </w:p>
    <w:p>
      <w:pPr>
        <w:adjustRightInd w:val="0"/>
        <w:snapToGrid w:val="0"/>
        <w:spacing w:after="0" w:line="360" w:lineRule="auto"/>
        <w:jc w:val="both"/>
        <w:rPr>
          <w:rFonts w:hint="default" w:ascii="Times New Roman" w:hAnsi="Times New Roman" w:eastAsia="仿宋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对照《浙江省建设用地土壤污染风险管控和修复监督管理办法》（浙环发【2021】21 号），本地块原有的生产活动对地块造成的污染较小，不存在要求开展采样分析等后续调查工作的情形。因此本地块调查可结束于第一阶段土壤污染状况调查，不需开展第二阶段土壤污染状况调查工作，直接用于</w:t>
      </w:r>
      <w:r>
        <w:rPr>
          <w:rFonts w:hint="eastAsia" w:cs="Times New Roman"/>
          <w:sz w:val="28"/>
          <w:szCs w:val="28"/>
          <w:lang w:val="en-US" w:eastAsia="zh-CN"/>
        </w:rPr>
        <w:t>公共管理与公共服务用地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开发是可行的。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outlineLvl w:val="0"/>
        <w:rPr>
          <w:rFonts w:ascii="Times New Roman" w:hAnsi="Times New Roman" w:eastAsia="仿宋" w:cs="Times New Roman"/>
          <w:b/>
          <w:sz w:val="24"/>
          <w:szCs w:val="21"/>
        </w:rPr>
        <w:sectPr>
          <w:footerReference r:id="rId15" w:type="default"/>
          <w:pgSz w:w="11906" w:h="16838"/>
          <w:pgMar w:top="1440" w:right="1800" w:bottom="1440" w:left="1800" w:header="720" w:footer="9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29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textAlignment w:val="auto"/>
        <w:outlineLvl w:val="0"/>
        <w:rPr>
          <w:rFonts w:hint="default" w:ascii="Times New Roman" w:hAnsi="Times New Roman" w:eastAsia="仿宋" w:cs="Times New Roman"/>
          <w:b/>
          <w:sz w:val="28"/>
          <w:szCs w:val="28"/>
        </w:rPr>
      </w:pPr>
      <w:bookmarkStart w:id="1" w:name="_Toc21201"/>
      <w:r>
        <w:rPr>
          <w:rFonts w:hint="default" w:ascii="Times New Roman" w:hAnsi="Times New Roman" w:eastAsia="仿宋" w:cs="Times New Roman"/>
          <w:b/>
          <w:sz w:val="28"/>
          <w:szCs w:val="28"/>
        </w:rPr>
        <w:t>1 前言</w:t>
      </w:r>
      <w:bookmarkEnd w:id="1"/>
      <w:r>
        <w:rPr>
          <w:rFonts w:hint="default" w:ascii="Times New Roman" w:hAnsi="Times New Roman" w:eastAsia="仿宋" w:cs="Times New Roman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随着各地城市化进程的不断发展，人类活动对土壤环境的影响日益加深，可能产生对土壤及地下水的潜在污染。如果这些地块未经土壤及地下水环境调查评估或修复，地块的开发再利用可能存在潜在健康风险。 </w:t>
      </w:r>
    </w:p>
    <w:p>
      <w:pPr>
        <w:adjustRightInd w:val="0"/>
        <w:snapToGrid w:val="0"/>
        <w:spacing w:after="0" w:line="360" w:lineRule="auto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永康市2351、2353号建设工程地块位于浙江省金华市永康市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东城街道河南一村，2351、2353号两个建设工程地块功能相同，2351建设工程地块东侧与2353号建设工程地块西侧紧邻，因此将两个地块合并调查。林江塘水库位于合并后地块西侧，直线距离约288米，过水面积约30158m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，该水库主要用于周边农田灌溉。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地块东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侧、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南侧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均紧邻山林地和农田，西侧紧邻山林地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，北侧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紧邻农田和水塘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地块占地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面积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约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为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62708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m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  <w:lang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，中心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点经度120.079815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°，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纬度28.880342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°。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地块北侧水塘与本地块紧邻，过水面积约4410m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，该水塘主要用于周边农田灌溉，其中有约880m</w:t>
      </w:r>
      <w:r>
        <w:rPr>
          <w:rFonts w:hint="default" w:ascii="Times New Roman" w:hAnsi="Times New Roman" w:eastAsia="仿宋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在本地块范围内。</w:t>
      </w:r>
    </w:p>
    <w:p>
      <w:pPr>
        <w:adjustRightInd w:val="0"/>
        <w:snapToGrid w:val="0"/>
        <w:spacing w:after="0" w:line="360" w:lineRule="auto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根据202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09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月的现场踏勘及影像资料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显示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本地块为小山体，地势比周边地块高，在2023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之前均为山林地和水塘</w:t>
      </w:r>
      <w:r>
        <w:rPr>
          <w:rFonts w:hint="eastAsia" w:cs="Times New Roman"/>
          <w:sz w:val="28"/>
          <w:szCs w:val="28"/>
          <w:lang w:val="en-US" w:eastAsia="zh-CN"/>
        </w:rPr>
        <w:t>，水塘未填埋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地块于2023年完成征收，地块内未发现生活垃圾和固废填埋，未发现管道、沟渠或渗坑，没有污染痕迹，地块内无特殊气味。地块内未进行规模化畜禽养殖，未涉及有毒有害物质储存与输送，未发生过突发环境事故，未涉及危险废物堆放、固废堆放与倾倒、固废填埋等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after="0" w:line="360" w:lineRule="auto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根据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永康市自然资源和规划局2023年07月出具的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永康市2351号建设工程用地红线图（农转用征收）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、《永康市2353号建设工程用地红线图（农转用征收）》和浙江汉宇设计有限公司2023年01月出具的《永康市林江塘区块控制性详细规划》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该地块用地性质为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公共管理与公共服务用地，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对照《城市用地分类与规划建设用地标准》（GB 50137-2011）和《国土空间调查、规划、用途管制用地用海分类指南（试行》（自然资办〔2020〕51号）中的用地分类，属于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公共管理与公共服务用地（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08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），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为甲类地块。属于《土壤环境质量建设用地土壤污染风险管控标准》（试行）（GB 36600-2018）中规定的</w:t>
      </w:r>
      <w:r>
        <w:rPr>
          <w:rFonts w:hint="eastAsia" w:cs="Times New Roman"/>
          <w:sz w:val="28"/>
          <w:szCs w:val="28"/>
          <w:lang w:val="en-US"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第二类用地</w:t>
      </w:r>
      <w:r>
        <w:rPr>
          <w:rFonts w:hint="eastAsia" w:cs="Times New Roman"/>
          <w:sz w:val="28"/>
          <w:szCs w:val="28"/>
          <w:lang w:val="en-US"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after="0" w:line="360" w:lineRule="auto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根据《中华人民共和国土壤污染防治法》“第四章，第三节，第五十九条”及《浙江省建设用地土壤污染风险管控和修复监督管理办法》（浙环发【2021】21号）“第九条”，属于甲类地块，责任人应当按照规定进行土壤污染状况调查、编制调查报告，并报所在地设区市生态环境局，由设区市生态环境局会同同级自然资源主管部门组织评审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因此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该地块须按照《建设用地土壤污染状况调查技术导则》（HJ 25.1-2019）以及相关技术指南等，进行地块土壤污染状况调查，评价该地块土壤地下水环境质量是否满足相应用地要求。为此，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永康市东城街道河南一村村民委员会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于202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年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09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月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委托浙江毕博环境科技有限公司对该地块进行土壤污染状况调查。受委托后，我公司在收集资料和现场踏勘的基础上，对该地块环境进行了初步调查，对该地块的污染进行了初步识别。结合有关导则和标准编写了《永康市2351、2353号建设工程地块第一阶段土壤污染状况调查报告》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根据人员现场访谈，该地块原有山林地和水塘不涉及土壤污染风险，项目委托时，现场踏勘过程中未发现生活垃圾和固废填埋，未发现管道、沟渠或渗坑，没有污染痕迹，场地内无特殊气味。地块未进行规模化畜禽养殖，未涉及有毒有害物质储存与输送，未发生过突发环境事故，未涉及危险废物堆放、固废堆放与倾倒、固废填埋等。对照《浙江省建设用地土壤污染风险管控和修复监督管理办法》（浙环发【2021】21 号），本地块原有的生产活动对地块造成的污染较小，不存在要求开展采样分析等后续调查工作的情形。因此本地块调查可结束于第一阶段土壤污染状况调查，不需开展第二阶段土壤污染状况调查工作，直接用于公共管理与公共服务用地（08）开发是可行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建议：</w:t>
      </w:r>
    </w:p>
    <w:p>
      <w:pPr>
        <w:snapToGrid w:val="0"/>
        <w:spacing w:after="0" w:line="360" w:lineRule="auto"/>
        <w:ind w:left="10" w:right="-7"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①严格遵守规划红线进行开挖建设；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  <w:t>地块后期开发过程中水塘后期填埋时要避免二次污染，严禁外来污染土壤进入该地块内；</w:t>
      </w:r>
    </w:p>
    <w:p>
      <w:pPr>
        <w:snapToGrid w:val="0"/>
        <w:spacing w:after="0" w:line="360" w:lineRule="auto"/>
        <w:ind w:left="10" w:right="-7"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②施工过程中产生的地下渗水、泥浆、地面设备冲洗水等</w:t>
      </w:r>
      <w:r>
        <w:rPr>
          <w:rFonts w:hint="eastAsia" w:cs="Times New Roman"/>
          <w:sz w:val="28"/>
          <w:szCs w:val="28"/>
          <w:lang w:val="en-US" w:eastAsia="zh-CN"/>
        </w:rPr>
        <w:t>悬浮物</w:t>
      </w:r>
      <w:r>
        <w:rPr>
          <w:rFonts w:hint="default" w:ascii="Times New Roman" w:hAnsi="Times New Roman" w:eastAsia="仿宋" w:cs="Times New Roman"/>
          <w:sz w:val="28"/>
          <w:szCs w:val="28"/>
        </w:rPr>
        <w:t>浓度较高的废水，应先经沉淀池沉淀后回用，不得就地直排。同时加强建材及废料的管理，防止雨水冲刷而产生的二次污染，并建议施工单位在工地周围设置沉淀池，径流水经沉淀处理后全部回用；</w:t>
      </w:r>
    </w:p>
    <w:p>
      <w:pPr>
        <w:snapToGrid w:val="0"/>
        <w:spacing w:after="0" w:line="360" w:lineRule="auto"/>
        <w:ind w:left="10" w:right="-7" w:firstLine="560" w:firstLineChars="20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③施工场地内设置临时简易厕所，施工人员生活污水定期由环卫部门统一清运；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720" w:footer="9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linePitch="299" w:charSpace="0"/>
        </w:sectPr>
      </w:pPr>
      <w:r>
        <w:rPr>
          <w:rFonts w:hint="default" w:ascii="Times New Roman" w:hAnsi="Times New Roman" w:eastAsia="仿宋" w:cs="Times New Roman"/>
          <w:sz w:val="28"/>
          <w:szCs w:val="28"/>
        </w:rPr>
        <w:t>④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施工作业时</w:t>
      </w:r>
      <w:r>
        <w:rPr>
          <w:rFonts w:hint="default" w:ascii="Times New Roman" w:hAnsi="Times New Roman" w:eastAsia="仿宋" w:cs="Times New Roman"/>
          <w:sz w:val="28"/>
          <w:szCs w:val="28"/>
        </w:rPr>
        <w:t>需做好硬化及防渗工作，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日常运行中做好预防施工机械用汽油、机油等防渗防漏工作，</w:t>
      </w:r>
      <w:r>
        <w:rPr>
          <w:rFonts w:hint="default" w:ascii="Times New Roman" w:hAnsi="Times New Roman" w:eastAsia="仿宋" w:cs="Times New Roman"/>
          <w:sz w:val="28"/>
          <w:szCs w:val="28"/>
        </w:rPr>
        <w:t>防止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汽油、机油等</w:t>
      </w:r>
      <w:r>
        <w:rPr>
          <w:rFonts w:hint="default" w:ascii="Times New Roman" w:hAnsi="Times New Roman" w:eastAsia="仿宋" w:cs="Times New Roman"/>
          <w:sz w:val="28"/>
          <w:szCs w:val="28"/>
        </w:rPr>
        <w:t>泄露污染周边土壤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instrText xml:space="preserve"> = 5 \* GB3 \* MERGEFORMAT </w:instrTex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separate"/>
      </w:r>
      <w:r>
        <w:rPr>
          <w:rFonts w:hint="default" w:ascii="Times New Roman" w:hAnsi="Times New Roman" w:eastAsia="仿宋" w:cs="Times New Roman"/>
          <w:sz w:val="28"/>
          <w:szCs w:val="28"/>
        </w:rPr>
        <w:t>⑤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本地块在开发和后续经营过程中产生的污水，应纳入市政污水管</w:t>
      </w:r>
      <w:r>
        <w:rPr>
          <w:rFonts w:hint="eastAsia" w:cs="Times New Roman"/>
          <w:sz w:val="28"/>
          <w:szCs w:val="28"/>
          <w:lang w:val="en-US" w:eastAsia="zh-CN"/>
        </w:rPr>
        <w:t>网。</w:t>
      </w:r>
      <w:bookmarkStart w:id="2" w:name="_GoBack"/>
      <w:bookmarkEnd w:id="2"/>
    </w:p>
    <w:p>
      <w:pPr>
        <w:pStyle w:val="17"/>
        <w:rPr>
          <w:rFonts w:hint="eastAsia"/>
          <w:lang w:val="en-US" w:eastAsia="zh-CN"/>
        </w:rPr>
      </w:pPr>
    </w:p>
    <w:sectPr>
      <w:headerReference r:id="rId16" w:type="default"/>
      <w:footerReference r:id="rId17" w:type="default"/>
      <w:pgSz w:w="11906" w:h="16838"/>
      <w:pgMar w:top="1440" w:right="1800" w:bottom="1440" w:left="1800" w:header="72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49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49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18"/>
      </w:rPr>
      <w:t>26</w:t>
    </w:r>
    <w:r>
      <w:rPr>
        <w:rFonts w:ascii="Times New Roman" w:hAnsi="Times New Roman" w:eastAsia="Times New Roman" w:cs="Times New Roman"/>
        <w:sz w:val="18"/>
      </w:rPr>
      <w:fldChar w:fldCharType="end"/>
    </w:r>
    <w:r>
      <w:rPr>
        <w:rFonts w:ascii="Times New Roman" w:hAnsi="Times New Roman" w:eastAsia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49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18"/>
      </w:rPr>
      <w:t>1</w:t>
    </w:r>
    <w:r>
      <w:rPr>
        <w:rFonts w:ascii="Times New Roman" w:hAnsi="Times New Roman" w:eastAsia="Times New Roman" w:cs="Times New Roman"/>
        <w:sz w:val="18"/>
      </w:rPr>
      <w:fldChar w:fldCharType="end"/>
    </w:r>
    <w:r>
      <w:rPr>
        <w:rFonts w:ascii="Times New Roman" w:hAnsi="Times New Roman" w:eastAsia="Times New Roman" w:cs="Times New Roman"/>
        <w:sz w:val="18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49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498"/>
      <w:jc w:val="center"/>
    </w:pPr>
    <w:r>
      <w:rPr>
        <w:sz w:val="24"/>
      </w:rPr>
      <w:pict>
        <v:shape id="_x0000_s3079" o:spid="_x0000_s307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pacing w:after="0"/>
                  <w:ind w:right="498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</w:rPr>
                  <w:t>12</w:t>
                </w:r>
                <w:r>
                  <w:rPr>
                    <w:rFonts w:ascii="Times New Roman" w:hAnsi="Times New Roman" w:eastAsia="Times New Roman" w:cs="Times New Roman"/>
                    <w:sz w:val="18"/>
                  </w:rP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z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498"/>
      <w:jc w:val="center"/>
    </w:pPr>
    <w:r>
      <w:rPr>
        <w:sz w:val="24"/>
      </w:rP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right="120"/>
    </w:pPr>
    <w:r>
      <w:rPr>
        <w:sz w:val="24"/>
      </w:rPr>
      <w:pict>
        <v:shape id="_x0000_s3084" o:spid="_x0000_s3084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left" w:pos="2301"/>
      </w:tabs>
      <w:spacing w:line="360" w:lineRule="auto"/>
      <w:jc w:val="center"/>
      <w:rPr>
        <w:rFonts w:hint="eastAsia" w:ascii="Times New Roman" w:hAnsi="Times New Roman" w:eastAsia="仿宋" w:cs="Times New Roman"/>
        <w:sz w:val="21"/>
        <w:szCs w:val="21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tabs>
        <w:tab w:val="left" w:pos="2301"/>
      </w:tabs>
      <w:spacing w:line="360" w:lineRule="auto"/>
      <w:jc w:val="center"/>
      <w:rPr>
        <w:rFonts w:hint="eastAsia" w:ascii="Times New Roman" w:hAnsi="Times New Roman" w:eastAsia="仿宋" w:cs="Times New Roman"/>
        <w:sz w:val="21"/>
        <w:szCs w:val="21"/>
        <w:lang w:eastAsia="zh-CN"/>
      </w:rPr>
    </w:pPr>
    <w:r>
      <w:rPr>
        <w:rFonts w:hint="eastAsia" w:cs="Times New Roman"/>
        <w:sz w:val="22"/>
        <w:szCs w:val="22"/>
        <w:lang w:eastAsia="zh-CN"/>
      </w:rPr>
      <w:t>永康市2351、2353号建设工程地块第一阶段土壤污染状况调查报告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tabs>
        <w:tab w:val="left" w:pos="2301"/>
      </w:tabs>
      <w:spacing w:line="360" w:lineRule="auto"/>
      <w:jc w:val="center"/>
      <w:rPr>
        <w:rFonts w:hint="eastAsia" w:ascii="Times New Roman" w:hAnsi="Times New Roman" w:eastAsia="仿宋" w:cs="Times New Roman"/>
        <w:sz w:val="21"/>
        <w:szCs w:val="21"/>
        <w:lang w:eastAsia="zh-CN"/>
      </w:rPr>
    </w:pPr>
    <w:r>
      <w:rPr>
        <w:rFonts w:hint="eastAsia" w:cs="Times New Roman"/>
        <w:sz w:val="22"/>
        <w:szCs w:val="22"/>
        <w:lang w:eastAsia="zh-CN"/>
      </w:rPr>
      <w:t>永康市2351、2353号建设工程地块第一阶段土壤污染状况调查报告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g0MWZmZDlmNTc0Y2JiYzFhZDU5MWRiZDNmZTlhNTkifQ=="/>
  </w:docVars>
  <w:rsids>
    <w:rsidRoot w:val="00D07813"/>
    <w:rsid w:val="000021A8"/>
    <w:rsid w:val="00015065"/>
    <w:rsid w:val="00022DC2"/>
    <w:rsid w:val="00033D1C"/>
    <w:rsid w:val="0003675E"/>
    <w:rsid w:val="00062A56"/>
    <w:rsid w:val="00081C2F"/>
    <w:rsid w:val="00083C67"/>
    <w:rsid w:val="00090A2F"/>
    <w:rsid w:val="000B4F29"/>
    <w:rsid w:val="000C5DDD"/>
    <w:rsid w:val="000C7275"/>
    <w:rsid w:val="000E3FF8"/>
    <w:rsid w:val="000E7DF1"/>
    <w:rsid w:val="000F2C73"/>
    <w:rsid w:val="0011369B"/>
    <w:rsid w:val="00113CBD"/>
    <w:rsid w:val="001156DF"/>
    <w:rsid w:val="00135184"/>
    <w:rsid w:val="001541A1"/>
    <w:rsid w:val="00163147"/>
    <w:rsid w:val="0017060F"/>
    <w:rsid w:val="00170B65"/>
    <w:rsid w:val="00170D3C"/>
    <w:rsid w:val="00171F80"/>
    <w:rsid w:val="0018423D"/>
    <w:rsid w:val="00192610"/>
    <w:rsid w:val="001D10FF"/>
    <w:rsid w:val="001D784D"/>
    <w:rsid w:val="001E37B3"/>
    <w:rsid w:val="00212DC4"/>
    <w:rsid w:val="00223618"/>
    <w:rsid w:val="00233F70"/>
    <w:rsid w:val="0024688E"/>
    <w:rsid w:val="00255C4F"/>
    <w:rsid w:val="00257D29"/>
    <w:rsid w:val="00262ECE"/>
    <w:rsid w:val="00264906"/>
    <w:rsid w:val="002672C6"/>
    <w:rsid w:val="002840BE"/>
    <w:rsid w:val="00286C69"/>
    <w:rsid w:val="002D7E30"/>
    <w:rsid w:val="002E7A57"/>
    <w:rsid w:val="002F501F"/>
    <w:rsid w:val="002F7B4A"/>
    <w:rsid w:val="003022FB"/>
    <w:rsid w:val="00313A4F"/>
    <w:rsid w:val="00335CD8"/>
    <w:rsid w:val="00341DF0"/>
    <w:rsid w:val="00354E6B"/>
    <w:rsid w:val="00375712"/>
    <w:rsid w:val="003773F1"/>
    <w:rsid w:val="003826E7"/>
    <w:rsid w:val="00384080"/>
    <w:rsid w:val="003A00A1"/>
    <w:rsid w:val="003A06B4"/>
    <w:rsid w:val="003A5C82"/>
    <w:rsid w:val="003B745D"/>
    <w:rsid w:val="003C117E"/>
    <w:rsid w:val="003E03EE"/>
    <w:rsid w:val="003E35C2"/>
    <w:rsid w:val="00417DB1"/>
    <w:rsid w:val="00423C61"/>
    <w:rsid w:val="004303D0"/>
    <w:rsid w:val="00462991"/>
    <w:rsid w:val="00464DA2"/>
    <w:rsid w:val="00470B97"/>
    <w:rsid w:val="00471674"/>
    <w:rsid w:val="00471EFF"/>
    <w:rsid w:val="00482D40"/>
    <w:rsid w:val="004849E6"/>
    <w:rsid w:val="00487360"/>
    <w:rsid w:val="00493328"/>
    <w:rsid w:val="004A3183"/>
    <w:rsid w:val="004A5159"/>
    <w:rsid w:val="004D1835"/>
    <w:rsid w:val="004E0863"/>
    <w:rsid w:val="004E40D7"/>
    <w:rsid w:val="004F3AFE"/>
    <w:rsid w:val="0050395A"/>
    <w:rsid w:val="005043C4"/>
    <w:rsid w:val="00506E37"/>
    <w:rsid w:val="00521C06"/>
    <w:rsid w:val="0053180C"/>
    <w:rsid w:val="00535037"/>
    <w:rsid w:val="00536080"/>
    <w:rsid w:val="00536E90"/>
    <w:rsid w:val="00555FEE"/>
    <w:rsid w:val="00567C42"/>
    <w:rsid w:val="005818CC"/>
    <w:rsid w:val="00586336"/>
    <w:rsid w:val="00590AF3"/>
    <w:rsid w:val="00594088"/>
    <w:rsid w:val="005A0589"/>
    <w:rsid w:val="005A3BED"/>
    <w:rsid w:val="005A6A65"/>
    <w:rsid w:val="005B15F1"/>
    <w:rsid w:val="005C3FB6"/>
    <w:rsid w:val="005D19E3"/>
    <w:rsid w:val="005D1A8D"/>
    <w:rsid w:val="005D1B73"/>
    <w:rsid w:val="005E0DA3"/>
    <w:rsid w:val="005E6B29"/>
    <w:rsid w:val="005F17AD"/>
    <w:rsid w:val="0062491F"/>
    <w:rsid w:val="00624E1A"/>
    <w:rsid w:val="00634CEB"/>
    <w:rsid w:val="0065242E"/>
    <w:rsid w:val="00652698"/>
    <w:rsid w:val="00664831"/>
    <w:rsid w:val="0067028B"/>
    <w:rsid w:val="00685F73"/>
    <w:rsid w:val="00692E5D"/>
    <w:rsid w:val="0069373A"/>
    <w:rsid w:val="006A7254"/>
    <w:rsid w:val="006B145D"/>
    <w:rsid w:val="006D7BEC"/>
    <w:rsid w:val="006E67D3"/>
    <w:rsid w:val="006F0937"/>
    <w:rsid w:val="006F0F51"/>
    <w:rsid w:val="006F2BA3"/>
    <w:rsid w:val="006F3FCE"/>
    <w:rsid w:val="00700170"/>
    <w:rsid w:val="00717041"/>
    <w:rsid w:val="00725C77"/>
    <w:rsid w:val="0073384A"/>
    <w:rsid w:val="00740329"/>
    <w:rsid w:val="00750925"/>
    <w:rsid w:val="007652BC"/>
    <w:rsid w:val="0076596E"/>
    <w:rsid w:val="0077293E"/>
    <w:rsid w:val="00772FC1"/>
    <w:rsid w:val="007801DF"/>
    <w:rsid w:val="007A3BD8"/>
    <w:rsid w:val="007C062B"/>
    <w:rsid w:val="007C2F6F"/>
    <w:rsid w:val="007E6241"/>
    <w:rsid w:val="00816F55"/>
    <w:rsid w:val="008336E2"/>
    <w:rsid w:val="00835EF6"/>
    <w:rsid w:val="00841482"/>
    <w:rsid w:val="0084599C"/>
    <w:rsid w:val="00856AF2"/>
    <w:rsid w:val="00860FC6"/>
    <w:rsid w:val="0089004A"/>
    <w:rsid w:val="008A4AC7"/>
    <w:rsid w:val="008B79BC"/>
    <w:rsid w:val="008E32F9"/>
    <w:rsid w:val="008F2B8B"/>
    <w:rsid w:val="008F4CBD"/>
    <w:rsid w:val="008F6CE6"/>
    <w:rsid w:val="008F7E17"/>
    <w:rsid w:val="00902BC1"/>
    <w:rsid w:val="00903506"/>
    <w:rsid w:val="00910ED2"/>
    <w:rsid w:val="00914274"/>
    <w:rsid w:val="00925A0F"/>
    <w:rsid w:val="00925AF0"/>
    <w:rsid w:val="00925D81"/>
    <w:rsid w:val="009517B1"/>
    <w:rsid w:val="00961480"/>
    <w:rsid w:val="00977F8B"/>
    <w:rsid w:val="00996421"/>
    <w:rsid w:val="009A28DE"/>
    <w:rsid w:val="009B7512"/>
    <w:rsid w:val="009C6881"/>
    <w:rsid w:val="009D3A47"/>
    <w:rsid w:val="009E1EE4"/>
    <w:rsid w:val="009E4E66"/>
    <w:rsid w:val="009E7498"/>
    <w:rsid w:val="00A21960"/>
    <w:rsid w:val="00A21FB3"/>
    <w:rsid w:val="00A33A59"/>
    <w:rsid w:val="00A36BE7"/>
    <w:rsid w:val="00A43DDC"/>
    <w:rsid w:val="00A51937"/>
    <w:rsid w:val="00A70E31"/>
    <w:rsid w:val="00A83D27"/>
    <w:rsid w:val="00AB0913"/>
    <w:rsid w:val="00AB0D63"/>
    <w:rsid w:val="00AE62FB"/>
    <w:rsid w:val="00AF5426"/>
    <w:rsid w:val="00AF6A30"/>
    <w:rsid w:val="00B022BA"/>
    <w:rsid w:val="00B04A5B"/>
    <w:rsid w:val="00B07E36"/>
    <w:rsid w:val="00B1052C"/>
    <w:rsid w:val="00B13025"/>
    <w:rsid w:val="00B13F52"/>
    <w:rsid w:val="00B1567B"/>
    <w:rsid w:val="00B24DBF"/>
    <w:rsid w:val="00B32685"/>
    <w:rsid w:val="00B607D2"/>
    <w:rsid w:val="00B816F0"/>
    <w:rsid w:val="00B81A83"/>
    <w:rsid w:val="00B84847"/>
    <w:rsid w:val="00B94656"/>
    <w:rsid w:val="00BA2299"/>
    <w:rsid w:val="00BA350C"/>
    <w:rsid w:val="00BA4AD1"/>
    <w:rsid w:val="00BB765F"/>
    <w:rsid w:val="00BB7FE7"/>
    <w:rsid w:val="00BE5D36"/>
    <w:rsid w:val="00BF1878"/>
    <w:rsid w:val="00BF3391"/>
    <w:rsid w:val="00C017ED"/>
    <w:rsid w:val="00C023CE"/>
    <w:rsid w:val="00C07A0D"/>
    <w:rsid w:val="00C14938"/>
    <w:rsid w:val="00C16471"/>
    <w:rsid w:val="00C22138"/>
    <w:rsid w:val="00C277E3"/>
    <w:rsid w:val="00C35109"/>
    <w:rsid w:val="00C3658C"/>
    <w:rsid w:val="00C53841"/>
    <w:rsid w:val="00C55CEF"/>
    <w:rsid w:val="00C635CF"/>
    <w:rsid w:val="00C73876"/>
    <w:rsid w:val="00C73D14"/>
    <w:rsid w:val="00C83123"/>
    <w:rsid w:val="00CA10C0"/>
    <w:rsid w:val="00CA35AA"/>
    <w:rsid w:val="00CD7288"/>
    <w:rsid w:val="00CE0CD7"/>
    <w:rsid w:val="00CE4840"/>
    <w:rsid w:val="00CF19E4"/>
    <w:rsid w:val="00D07813"/>
    <w:rsid w:val="00D2187A"/>
    <w:rsid w:val="00D22980"/>
    <w:rsid w:val="00D32C9F"/>
    <w:rsid w:val="00D42A68"/>
    <w:rsid w:val="00D508A7"/>
    <w:rsid w:val="00D5370D"/>
    <w:rsid w:val="00D575BA"/>
    <w:rsid w:val="00D670C7"/>
    <w:rsid w:val="00D674BB"/>
    <w:rsid w:val="00D73C32"/>
    <w:rsid w:val="00D75D51"/>
    <w:rsid w:val="00D90158"/>
    <w:rsid w:val="00D914CF"/>
    <w:rsid w:val="00DA0467"/>
    <w:rsid w:val="00DA7591"/>
    <w:rsid w:val="00DC3AA4"/>
    <w:rsid w:val="00DC3F57"/>
    <w:rsid w:val="00DC6654"/>
    <w:rsid w:val="00DE2596"/>
    <w:rsid w:val="00DF2704"/>
    <w:rsid w:val="00DF439E"/>
    <w:rsid w:val="00E22E06"/>
    <w:rsid w:val="00E26159"/>
    <w:rsid w:val="00E31C1C"/>
    <w:rsid w:val="00E36D6B"/>
    <w:rsid w:val="00E4018D"/>
    <w:rsid w:val="00E54DE9"/>
    <w:rsid w:val="00E56E16"/>
    <w:rsid w:val="00E653B6"/>
    <w:rsid w:val="00E72136"/>
    <w:rsid w:val="00E74596"/>
    <w:rsid w:val="00E74992"/>
    <w:rsid w:val="00E82A2D"/>
    <w:rsid w:val="00E90084"/>
    <w:rsid w:val="00E9485C"/>
    <w:rsid w:val="00EC1697"/>
    <w:rsid w:val="00ED1C72"/>
    <w:rsid w:val="00ED67BA"/>
    <w:rsid w:val="00EE1049"/>
    <w:rsid w:val="00EE18C8"/>
    <w:rsid w:val="00EE4B84"/>
    <w:rsid w:val="00F17FC4"/>
    <w:rsid w:val="00F37B9E"/>
    <w:rsid w:val="00F401F2"/>
    <w:rsid w:val="00F526EF"/>
    <w:rsid w:val="00F642AA"/>
    <w:rsid w:val="00FB15A3"/>
    <w:rsid w:val="00FB21FF"/>
    <w:rsid w:val="00FC0905"/>
    <w:rsid w:val="00FC1FCA"/>
    <w:rsid w:val="00FE0E67"/>
    <w:rsid w:val="00FE638C"/>
    <w:rsid w:val="00FE7F30"/>
    <w:rsid w:val="00FF1B31"/>
    <w:rsid w:val="00FF5AEA"/>
    <w:rsid w:val="00FF6E10"/>
    <w:rsid w:val="0101258F"/>
    <w:rsid w:val="01A4698D"/>
    <w:rsid w:val="02726A48"/>
    <w:rsid w:val="02BB6BA9"/>
    <w:rsid w:val="04132A96"/>
    <w:rsid w:val="04E452F2"/>
    <w:rsid w:val="05164816"/>
    <w:rsid w:val="055B3102"/>
    <w:rsid w:val="0636392C"/>
    <w:rsid w:val="06451DC1"/>
    <w:rsid w:val="06AD4EE3"/>
    <w:rsid w:val="08607386"/>
    <w:rsid w:val="08AC4379"/>
    <w:rsid w:val="08B01A71"/>
    <w:rsid w:val="09571337"/>
    <w:rsid w:val="09C33728"/>
    <w:rsid w:val="09CD3D2F"/>
    <w:rsid w:val="09DD6DF6"/>
    <w:rsid w:val="0A60256E"/>
    <w:rsid w:val="0A782765"/>
    <w:rsid w:val="0A84735B"/>
    <w:rsid w:val="0BA05A54"/>
    <w:rsid w:val="0C1A784C"/>
    <w:rsid w:val="0CEC743A"/>
    <w:rsid w:val="0D374B59"/>
    <w:rsid w:val="0D427855"/>
    <w:rsid w:val="0DCB52A1"/>
    <w:rsid w:val="0E6F213D"/>
    <w:rsid w:val="0FBC30F4"/>
    <w:rsid w:val="0FF93C26"/>
    <w:rsid w:val="105A0290"/>
    <w:rsid w:val="10FA10CD"/>
    <w:rsid w:val="11457119"/>
    <w:rsid w:val="114F6A23"/>
    <w:rsid w:val="117D3DBE"/>
    <w:rsid w:val="122475DC"/>
    <w:rsid w:val="126B78F4"/>
    <w:rsid w:val="12C21883"/>
    <w:rsid w:val="13250FB0"/>
    <w:rsid w:val="139A7BF0"/>
    <w:rsid w:val="13A4612D"/>
    <w:rsid w:val="13AC7923"/>
    <w:rsid w:val="15145780"/>
    <w:rsid w:val="152B6918"/>
    <w:rsid w:val="15C16F58"/>
    <w:rsid w:val="15DE1A4E"/>
    <w:rsid w:val="162A6F6A"/>
    <w:rsid w:val="16730DCD"/>
    <w:rsid w:val="16893F4C"/>
    <w:rsid w:val="16966488"/>
    <w:rsid w:val="174D43D4"/>
    <w:rsid w:val="175211D1"/>
    <w:rsid w:val="17B374D2"/>
    <w:rsid w:val="18276D73"/>
    <w:rsid w:val="193337D3"/>
    <w:rsid w:val="197E3CEA"/>
    <w:rsid w:val="19D269A0"/>
    <w:rsid w:val="19F13C69"/>
    <w:rsid w:val="1AA749A0"/>
    <w:rsid w:val="1AF12BE1"/>
    <w:rsid w:val="1B0E6429"/>
    <w:rsid w:val="1B1069E9"/>
    <w:rsid w:val="1B871F88"/>
    <w:rsid w:val="1CB33A5B"/>
    <w:rsid w:val="1CDF48C5"/>
    <w:rsid w:val="1D102CD1"/>
    <w:rsid w:val="1DE33040"/>
    <w:rsid w:val="1E197D41"/>
    <w:rsid w:val="1E7828DC"/>
    <w:rsid w:val="1EDA5104"/>
    <w:rsid w:val="1F176598"/>
    <w:rsid w:val="1F622D00"/>
    <w:rsid w:val="1F8123C2"/>
    <w:rsid w:val="1FC45F37"/>
    <w:rsid w:val="1FD46237"/>
    <w:rsid w:val="20346080"/>
    <w:rsid w:val="20C60125"/>
    <w:rsid w:val="20EC75B1"/>
    <w:rsid w:val="21464F13"/>
    <w:rsid w:val="22095116"/>
    <w:rsid w:val="223529AC"/>
    <w:rsid w:val="223B1D44"/>
    <w:rsid w:val="23300FEF"/>
    <w:rsid w:val="23C6058D"/>
    <w:rsid w:val="242C2CAF"/>
    <w:rsid w:val="25942B58"/>
    <w:rsid w:val="269B727C"/>
    <w:rsid w:val="26AB7030"/>
    <w:rsid w:val="270F7B55"/>
    <w:rsid w:val="27314AC4"/>
    <w:rsid w:val="27734588"/>
    <w:rsid w:val="277D4496"/>
    <w:rsid w:val="27EA74FC"/>
    <w:rsid w:val="28BC613E"/>
    <w:rsid w:val="293E6875"/>
    <w:rsid w:val="296E1A34"/>
    <w:rsid w:val="29C56BF1"/>
    <w:rsid w:val="29CA48B4"/>
    <w:rsid w:val="2AD215C5"/>
    <w:rsid w:val="2BC01119"/>
    <w:rsid w:val="2BDA2E28"/>
    <w:rsid w:val="2BF832AE"/>
    <w:rsid w:val="2C6941AB"/>
    <w:rsid w:val="2CB0765D"/>
    <w:rsid w:val="2D1512A9"/>
    <w:rsid w:val="2D356221"/>
    <w:rsid w:val="2FCF4325"/>
    <w:rsid w:val="30EA4F4B"/>
    <w:rsid w:val="319C0B7F"/>
    <w:rsid w:val="31E85B72"/>
    <w:rsid w:val="32310057"/>
    <w:rsid w:val="324F2DB3"/>
    <w:rsid w:val="32D06D32"/>
    <w:rsid w:val="339715FE"/>
    <w:rsid w:val="34221CF6"/>
    <w:rsid w:val="34297CED"/>
    <w:rsid w:val="348414E3"/>
    <w:rsid w:val="349C7277"/>
    <w:rsid w:val="34C370D3"/>
    <w:rsid w:val="34DC1F18"/>
    <w:rsid w:val="355A01C7"/>
    <w:rsid w:val="36E6490D"/>
    <w:rsid w:val="382D42DF"/>
    <w:rsid w:val="399801A3"/>
    <w:rsid w:val="39F82B50"/>
    <w:rsid w:val="3A137505"/>
    <w:rsid w:val="3A736353"/>
    <w:rsid w:val="3AA33984"/>
    <w:rsid w:val="3AE570F3"/>
    <w:rsid w:val="3BB03956"/>
    <w:rsid w:val="3BE7391F"/>
    <w:rsid w:val="3C785064"/>
    <w:rsid w:val="3E640189"/>
    <w:rsid w:val="3E894239"/>
    <w:rsid w:val="3F18304A"/>
    <w:rsid w:val="3F984734"/>
    <w:rsid w:val="3FB60769"/>
    <w:rsid w:val="3FF02A85"/>
    <w:rsid w:val="403D550E"/>
    <w:rsid w:val="405C1C05"/>
    <w:rsid w:val="407D5F58"/>
    <w:rsid w:val="40AD596A"/>
    <w:rsid w:val="40DD2F64"/>
    <w:rsid w:val="40F837EB"/>
    <w:rsid w:val="41B238E9"/>
    <w:rsid w:val="41E974C9"/>
    <w:rsid w:val="421B30E2"/>
    <w:rsid w:val="42205560"/>
    <w:rsid w:val="43803E5D"/>
    <w:rsid w:val="43A174E0"/>
    <w:rsid w:val="43A833B4"/>
    <w:rsid w:val="43C4761E"/>
    <w:rsid w:val="444E7AA6"/>
    <w:rsid w:val="44682965"/>
    <w:rsid w:val="446A6BD9"/>
    <w:rsid w:val="44895251"/>
    <w:rsid w:val="44D2767A"/>
    <w:rsid w:val="44E55743"/>
    <w:rsid w:val="450B56F8"/>
    <w:rsid w:val="45554E75"/>
    <w:rsid w:val="45D30BA8"/>
    <w:rsid w:val="45E7024F"/>
    <w:rsid w:val="46C960E3"/>
    <w:rsid w:val="47571C05"/>
    <w:rsid w:val="477535AD"/>
    <w:rsid w:val="4784450D"/>
    <w:rsid w:val="47BB1907"/>
    <w:rsid w:val="47E86474"/>
    <w:rsid w:val="49A37842"/>
    <w:rsid w:val="4A493C98"/>
    <w:rsid w:val="4AAF5028"/>
    <w:rsid w:val="4ACF64E3"/>
    <w:rsid w:val="4AD01899"/>
    <w:rsid w:val="4AFC6365"/>
    <w:rsid w:val="4B396C60"/>
    <w:rsid w:val="4B8D464C"/>
    <w:rsid w:val="4BDC3DDB"/>
    <w:rsid w:val="4BE41675"/>
    <w:rsid w:val="4C492FA3"/>
    <w:rsid w:val="4D373674"/>
    <w:rsid w:val="4D537EEC"/>
    <w:rsid w:val="4D697344"/>
    <w:rsid w:val="4E067A54"/>
    <w:rsid w:val="4EF11761"/>
    <w:rsid w:val="4F1F277C"/>
    <w:rsid w:val="4F4337F6"/>
    <w:rsid w:val="4F8F5F45"/>
    <w:rsid w:val="50BB0282"/>
    <w:rsid w:val="5119769F"/>
    <w:rsid w:val="513276B0"/>
    <w:rsid w:val="5176689F"/>
    <w:rsid w:val="5186625F"/>
    <w:rsid w:val="51D36763"/>
    <w:rsid w:val="51DD70DF"/>
    <w:rsid w:val="51E4284C"/>
    <w:rsid w:val="52754903"/>
    <w:rsid w:val="52AB6371"/>
    <w:rsid w:val="53227978"/>
    <w:rsid w:val="536D78E9"/>
    <w:rsid w:val="539C691D"/>
    <w:rsid w:val="544B5DC1"/>
    <w:rsid w:val="546479EA"/>
    <w:rsid w:val="54EC3516"/>
    <w:rsid w:val="54F1641E"/>
    <w:rsid w:val="55281050"/>
    <w:rsid w:val="55BD2CEE"/>
    <w:rsid w:val="567B7FB4"/>
    <w:rsid w:val="567D470D"/>
    <w:rsid w:val="56A5168B"/>
    <w:rsid w:val="56F049FE"/>
    <w:rsid w:val="56FA646E"/>
    <w:rsid w:val="57276654"/>
    <w:rsid w:val="57B34E87"/>
    <w:rsid w:val="587A4A65"/>
    <w:rsid w:val="588859C0"/>
    <w:rsid w:val="594A2AEB"/>
    <w:rsid w:val="59F23DF1"/>
    <w:rsid w:val="5A1C3314"/>
    <w:rsid w:val="5A5F5298"/>
    <w:rsid w:val="5A7C3F4A"/>
    <w:rsid w:val="5AE24FF9"/>
    <w:rsid w:val="5AE42ACB"/>
    <w:rsid w:val="5AF15CD3"/>
    <w:rsid w:val="5C35058A"/>
    <w:rsid w:val="5C9F314E"/>
    <w:rsid w:val="5DAC6FDF"/>
    <w:rsid w:val="5DBB45A8"/>
    <w:rsid w:val="5E0952FA"/>
    <w:rsid w:val="5E4C6AA2"/>
    <w:rsid w:val="5E702F77"/>
    <w:rsid w:val="5ED909EE"/>
    <w:rsid w:val="5EFF1C82"/>
    <w:rsid w:val="5F4104EC"/>
    <w:rsid w:val="5F6D7533"/>
    <w:rsid w:val="5F963D3B"/>
    <w:rsid w:val="613227E3"/>
    <w:rsid w:val="61562B9A"/>
    <w:rsid w:val="61DB152F"/>
    <w:rsid w:val="61F362EB"/>
    <w:rsid w:val="62047383"/>
    <w:rsid w:val="64550596"/>
    <w:rsid w:val="648B7AF9"/>
    <w:rsid w:val="64A62BA0"/>
    <w:rsid w:val="64C01EB3"/>
    <w:rsid w:val="64DD2A65"/>
    <w:rsid w:val="658035B8"/>
    <w:rsid w:val="66185495"/>
    <w:rsid w:val="66855163"/>
    <w:rsid w:val="668B746F"/>
    <w:rsid w:val="66DA3FFA"/>
    <w:rsid w:val="670E46F7"/>
    <w:rsid w:val="67192570"/>
    <w:rsid w:val="68460921"/>
    <w:rsid w:val="685D34AB"/>
    <w:rsid w:val="687F3E33"/>
    <w:rsid w:val="691D4957"/>
    <w:rsid w:val="69530C0A"/>
    <w:rsid w:val="69F35AC6"/>
    <w:rsid w:val="6B151C77"/>
    <w:rsid w:val="6B25651C"/>
    <w:rsid w:val="6B9D6AAA"/>
    <w:rsid w:val="6C5A0E3F"/>
    <w:rsid w:val="6D627650"/>
    <w:rsid w:val="6D6535F8"/>
    <w:rsid w:val="6D975D53"/>
    <w:rsid w:val="6E1F7C4B"/>
    <w:rsid w:val="6E906B41"/>
    <w:rsid w:val="6EFF6849"/>
    <w:rsid w:val="6F073F06"/>
    <w:rsid w:val="6FE934AB"/>
    <w:rsid w:val="70573136"/>
    <w:rsid w:val="70A775E7"/>
    <w:rsid w:val="70F42A38"/>
    <w:rsid w:val="70FE448F"/>
    <w:rsid w:val="71214C30"/>
    <w:rsid w:val="713E2E26"/>
    <w:rsid w:val="719D2989"/>
    <w:rsid w:val="72475B67"/>
    <w:rsid w:val="72A921D9"/>
    <w:rsid w:val="735955DB"/>
    <w:rsid w:val="746C7962"/>
    <w:rsid w:val="761C7166"/>
    <w:rsid w:val="7621477C"/>
    <w:rsid w:val="769B7B09"/>
    <w:rsid w:val="76C50796"/>
    <w:rsid w:val="76D611AE"/>
    <w:rsid w:val="76F268FC"/>
    <w:rsid w:val="782E3B07"/>
    <w:rsid w:val="783C3AEF"/>
    <w:rsid w:val="78457D71"/>
    <w:rsid w:val="791A468C"/>
    <w:rsid w:val="79E306C6"/>
    <w:rsid w:val="7A6F2841"/>
    <w:rsid w:val="7B315461"/>
    <w:rsid w:val="7B37586F"/>
    <w:rsid w:val="7B445194"/>
    <w:rsid w:val="7BD1454E"/>
    <w:rsid w:val="7C5F4230"/>
    <w:rsid w:val="7CD9190C"/>
    <w:rsid w:val="7CF56859"/>
    <w:rsid w:val="7D3676BF"/>
    <w:rsid w:val="7DB859C6"/>
    <w:rsid w:val="7E09208C"/>
    <w:rsid w:val="7E215319"/>
    <w:rsid w:val="7E312B2A"/>
    <w:rsid w:val="7E350DC4"/>
    <w:rsid w:val="7FAB2A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</w:pPr>
    <w:rPr>
      <w:rFonts w:ascii="Times New Roman" w:hAnsi="Times New Roman" w:eastAsia="仿宋" w:cs="Calibri"/>
      <w:color w:val="000000"/>
      <w:kern w:val="2"/>
      <w:sz w:val="24"/>
      <w:szCs w:val="22"/>
      <w:lang w:val="en-US" w:eastAsia="zh-CN" w:bidi="ar-SA"/>
    </w:rPr>
  </w:style>
  <w:style w:type="paragraph" w:styleId="4">
    <w:name w:val="heading 1"/>
    <w:next w:val="1"/>
    <w:link w:val="35"/>
    <w:qFormat/>
    <w:uiPriority w:val="9"/>
    <w:pPr>
      <w:keepNext/>
      <w:keepLines/>
      <w:spacing w:after="64" w:line="259" w:lineRule="auto"/>
      <w:ind w:left="10" w:right="460" w:hanging="10"/>
      <w:outlineLvl w:val="0"/>
    </w:pPr>
    <w:rPr>
      <w:rFonts w:ascii="宋体" w:hAnsi="宋体" w:eastAsia="宋体" w:cs="宋体"/>
      <w:color w:val="000000"/>
      <w:kern w:val="2"/>
      <w:sz w:val="44"/>
      <w:szCs w:val="22"/>
      <w:lang w:val="en-US" w:eastAsia="zh-CN" w:bidi="ar-SA"/>
    </w:rPr>
  </w:style>
  <w:style w:type="paragraph" w:styleId="5">
    <w:name w:val="heading 2"/>
    <w:next w:val="1"/>
    <w:link w:val="36"/>
    <w:unhideWhenUsed/>
    <w:qFormat/>
    <w:uiPriority w:val="9"/>
    <w:pPr>
      <w:keepNext/>
      <w:keepLines/>
      <w:spacing w:after="5" w:line="265" w:lineRule="auto"/>
      <w:ind w:left="12" w:hanging="10"/>
      <w:outlineLvl w:val="1"/>
    </w:pPr>
    <w:rPr>
      <w:rFonts w:ascii="宋体" w:hAnsi="宋体" w:eastAsia="宋体" w:cs="宋体"/>
      <w:color w:val="000000"/>
      <w:kern w:val="2"/>
      <w:sz w:val="24"/>
      <w:szCs w:val="22"/>
      <w:lang w:val="en-US" w:eastAsia="zh-CN" w:bidi="ar-SA"/>
    </w:rPr>
  </w:style>
  <w:style w:type="paragraph" w:styleId="6">
    <w:name w:val="heading 3"/>
    <w:basedOn w:val="1"/>
    <w:next w:val="1"/>
    <w:link w:val="3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38"/>
    <w:unhideWhenUsed/>
    <w:qFormat/>
    <w:uiPriority w:val="9"/>
    <w:pPr>
      <w:keepNext/>
      <w:keepLines/>
      <w:spacing w:line="360" w:lineRule="auto"/>
      <w:outlineLvl w:val="3"/>
    </w:pPr>
    <w:rPr>
      <w:rFonts w:ascii="Calibri" w:hAnsi="Calibri" w:cs="Times New Roman"/>
      <w:b/>
      <w:bCs/>
      <w:szCs w:val="28"/>
    </w:rPr>
  </w:style>
  <w:style w:type="paragraph" w:styleId="8">
    <w:name w:val="heading 5"/>
    <w:basedOn w:val="1"/>
    <w:next w:val="1"/>
    <w:link w:val="39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9">
    <w:name w:val="heading 6"/>
    <w:basedOn w:val="1"/>
    <w:next w:val="1"/>
    <w:link w:val="40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4"/>
    </w:rPr>
  </w:style>
  <w:style w:type="paragraph" w:styleId="10">
    <w:name w:val="heading 7"/>
    <w:next w:val="1"/>
    <w:link w:val="41"/>
    <w:unhideWhenUsed/>
    <w:qFormat/>
    <w:uiPriority w:val="9"/>
    <w:pPr>
      <w:keepNext/>
      <w:keepLines/>
      <w:spacing w:after="143" w:line="259" w:lineRule="auto"/>
      <w:ind w:left="12" w:hanging="10"/>
      <w:outlineLvl w:val="6"/>
    </w:pPr>
    <w:rPr>
      <w:rFonts w:ascii="Times New Roman" w:hAnsi="Times New Roman" w:eastAsia="Times New Roman" w:cs="Times New Roman"/>
      <w:b/>
      <w:color w:val="000000"/>
      <w:kern w:val="2"/>
      <w:sz w:val="24"/>
      <w:szCs w:val="22"/>
      <w:lang w:val="en-US" w:eastAsia="zh-CN" w:bidi="ar-SA"/>
    </w:rPr>
  </w:style>
  <w:style w:type="character" w:default="1" w:styleId="33">
    <w:name w:val="Default Paragraph Font"/>
    <w:unhideWhenUsed/>
    <w:qFormat/>
    <w:uiPriority w:val="1"/>
  </w:style>
  <w:style w:type="table" w:default="1" w:styleId="3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">
    <w:name w:val="正文首行缩进2个字 Char"/>
    <w:basedOn w:val="1"/>
    <w:qFormat/>
    <w:uiPriority w:val="0"/>
    <w:pPr>
      <w:ind w:firstLine="480" w:firstLineChars="200"/>
    </w:pPr>
    <w:rPr>
      <w:rFonts w:eastAsia="楷体"/>
      <w:sz w:val="24"/>
    </w:rPr>
  </w:style>
  <w:style w:type="paragraph" w:styleId="11">
    <w:name w:val="toc 7"/>
    <w:basedOn w:val="1"/>
    <w:next w:val="1"/>
    <w:unhideWhenUsed/>
    <w:qFormat/>
    <w:uiPriority w:val="39"/>
    <w:pPr>
      <w:widowControl w:val="0"/>
      <w:spacing w:after="0" w:line="240" w:lineRule="auto"/>
      <w:ind w:left="2520" w:leftChars="1200"/>
      <w:jc w:val="both"/>
    </w:pPr>
    <w:rPr>
      <w:rFonts w:ascii="Calibri" w:hAnsi="Calibri" w:eastAsia="宋体" w:cs="Times New Roman"/>
      <w:color w:val="auto"/>
      <w:sz w:val="21"/>
    </w:rPr>
  </w:style>
  <w:style w:type="paragraph" w:styleId="12">
    <w:name w:val="annotation text"/>
    <w:basedOn w:val="1"/>
    <w:unhideWhenUsed/>
    <w:qFormat/>
    <w:uiPriority w:val="99"/>
    <w:pPr>
      <w:jc w:val="left"/>
    </w:pPr>
  </w:style>
  <w:style w:type="paragraph" w:styleId="13">
    <w:name w:val="Body Text"/>
    <w:basedOn w:val="1"/>
    <w:link w:val="42"/>
    <w:unhideWhenUsed/>
    <w:qFormat/>
    <w:uiPriority w:val="99"/>
    <w:pPr>
      <w:spacing w:after="120"/>
    </w:pPr>
  </w:style>
  <w:style w:type="paragraph" w:styleId="1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5">
    <w:name w:val="toc 5"/>
    <w:basedOn w:val="1"/>
    <w:next w:val="1"/>
    <w:unhideWhenUsed/>
    <w:qFormat/>
    <w:uiPriority w:val="39"/>
    <w:pPr>
      <w:widowControl w:val="0"/>
      <w:spacing w:after="0" w:line="240" w:lineRule="auto"/>
      <w:ind w:left="1680" w:leftChars="800"/>
      <w:jc w:val="both"/>
    </w:pPr>
    <w:rPr>
      <w:rFonts w:ascii="Calibri" w:hAnsi="Calibri" w:eastAsia="宋体" w:cs="Times New Roman"/>
      <w:color w:val="auto"/>
      <w:sz w:val="21"/>
    </w:rPr>
  </w:style>
  <w:style w:type="paragraph" w:styleId="1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7">
    <w:name w:val="Plain Text"/>
    <w:basedOn w:val="1"/>
    <w:qFormat/>
    <w:uiPriority w:val="0"/>
    <w:rPr>
      <w:rFonts w:ascii="宋体" w:hAnsi="Courier New"/>
    </w:rPr>
  </w:style>
  <w:style w:type="paragraph" w:styleId="18">
    <w:name w:val="toc 8"/>
    <w:basedOn w:val="1"/>
    <w:next w:val="1"/>
    <w:unhideWhenUsed/>
    <w:qFormat/>
    <w:uiPriority w:val="39"/>
    <w:pPr>
      <w:widowControl w:val="0"/>
      <w:spacing w:after="0" w:line="240" w:lineRule="auto"/>
      <w:ind w:left="2940" w:leftChars="1400"/>
      <w:jc w:val="both"/>
    </w:pPr>
    <w:rPr>
      <w:rFonts w:ascii="Calibri" w:hAnsi="Calibri" w:eastAsia="宋体" w:cs="Times New Roman"/>
      <w:color w:val="auto"/>
      <w:sz w:val="21"/>
    </w:rPr>
  </w:style>
  <w:style w:type="paragraph" w:styleId="19">
    <w:name w:val="Body Text Indent 2"/>
    <w:basedOn w:val="1"/>
    <w:qFormat/>
    <w:uiPriority w:val="0"/>
    <w:pPr>
      <w:ind w:firstLine="540"/>
    </w:pPr>
    <w:rPr>
      <w:rFonts w:ascii="宋体"/>
      <w:sz w:val="28"/>
      <w:szCs w:val="20"/>
    </w:rPr>
  </w:style>
  <w:style w:type="paragraph" w:styleId="20">
    <w:name w:val="Balloon Text"/>
    <w:basedOn w:val="1"/>
    <w:link w:val="43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1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22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</w:style>
  <w:style w:type="paragraph" w:styleId="24">
    <w:name w:val="toc 4"/>
    <w:basedOn w:val="1"/>
    <w:next w:val="1"/>
    <w:unhideWhenUsed/>
    <w:qFormat/>
    <w:uiPriority w:val="39"/>
    <w:pPr>
      <w:widowControl w:val="0"/>
      <w:spacing w:after="0" w:line="240" w:lineRule="auto"/>
      <w:ind w:left="1260" w:leftChars="600"/>
      <w:jc w:val="both"/>
    </w:pPr>
    <w:rPr>
      <w:rFonts w:ascii="Calibri" w:hAnsi="Calibri" w:eastAsia="宋体" w:cs="Times New Roman"/>
      <w:color w:val="auto"/>
      <w:sz w:val="21"/>
    </w:rPr>
  </w:style>
  <w:style w:type="paragraph" w:styleId="25">
    <w:name w:val="toc 6"/>
    <w:basedOn w:val="1"/>
    <w:next w:val="1"/>
    <w:unhideWhenUsed/>
    <w:qFormat/>
    <w:uiPriority w:val="39"/>
    <w:pPr>
      <w:widowControl w:val="0"/>
      <w:spacing w:after="0" w:line="240" w:lineRule="auto"/>
      <w:ind w:left="2100" w:leftChars="1000"/>
      <w:jc w:val="both"/>
    </w:pPr>
    <w:rPr>
      <w:rFonts w:ascii="Calibri" w:hAnsi="Calibri" w:eastAsia="宋体" w:cs="Times New Roman"/>
      <w:color w:val="auto"/>
      <w:sz w:val="21"/>
    </w:rPr>
  </w:style>
  <w:style w:type="paragraph" w:styleId="26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7">
    <w:name w:val="toc 9"/>
    <w:basedOn w:val="1"/>
    <w:next w:val="1"/>
    <w:unhideWhenUsed/>
    <w:qFormat/>
    <w:uiPriority w:val="39"/>
    <w:pPr>
      <w:widowControl w:val="0"/>
      <w:spacing w:after="0" w:line="240" w:lineRule="auto"/>
      <w:ind w:left="3360" w:leftChars="1600"/>
      <w:jc w:val="both"/>
    </w:pPr>
    <w:rPr>
      <w:rFonts w:ascii="Calibri" w:hAnsi="Calibri" w:eastAsia="宋体" w:cs="Times New Roman"/>
      <w:color w:val="auto"/>
      <w:sz w:val="21"/>
    </w:rPr>
  </w:style>
  <w:style w:type="paragraph" w:styleId="2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9">
    <w:name w:val="Body Text First Indent"/>
    <w:basedOn w:val="13"/>
    <w:qFormat/>
    <w:uiPriority w:val="0"/>
    <w:pPr>
      <w:spacing w:line="460" w:lineRule="exact"/>
      <w:ind w:firstLine="425"/>
      <w:jc w:val="both"/>
    </w:pPr>
  </w:style>
  <w:style w:type="paragraph" w:styleId="30">
    <w:name w:val="Body Text First Indent 2"/>
    <w:basedOn w:val="14"/>
    <w:next w:val="1"/>
    <w:qFormat/>
    <w:uiPriority w:val="0"/>
    <w:pPr>
      <w:keepNext/>
      <w:keepLines/>
      <w:widowControl w:val="0"/>
      <w:autoSpaceDE w:val="0"/>
      <w:autoSpaceDN w:val="0"/>
      <w:adjustRightInd w:val="0"/>
      <w:spacing w:before="280" w:after="120" w:line="200" w:lineRule="exact"/>
      <w:ind w:left="420" w:leftChars="200" w:firstLine="420"/>
      <w:jc w:val="left"/>
      <w:outlineLvl w:val="3"/>
    </w:pPr>
    <w:rPr>
      <w:rFonts w:ascii="Calibri Light" w:hAnsi="Courier New" w:eastAsia="宋体" w:cs="Times New Roman"/>
      <w:spacing w:val="-4"/>
      <w:kern w:val="2"/>
      <w:sz w:val="18"/>
      <w:szCs w:val="28"/>
      <w:lang w:val="en-US" w:eastAsia="zh-CN" w:bidi="ar-SA"/>
    </w:rPr>
  </w:style>
  <w:style w:type="table" w:styleId="32">
    <w:name w:val="Table Grid"/>
    <w:basedOn w:val="31"/>
    <w:qFormat/>
    <w:uiPriority w:val="39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Hyperlink"/>
    <w:basedOn w:val="33"/>
    <w:unhideWhenUsed/>
    <w:qFormat/>
    <w:uiPriority w:val="99"/>
    <w:rPr>
      <w:color w:val="0000FF"/>
      <w:u w:val="single"/>
    </w:rPr>
  </w:style>
  <w:style w:type="character" w:customStyle="1" w:styleId="35">
    <w:name w:val="标题 1 Char"/>
    <w:basedOn w:val="33"/>
    <w:link w:val="4"/>
    <w:qFormat/>
    <w:uiPriority w:val="0"/>
    <w:rPr>
      <w:rFonts w:ascii="宋体" w:hAnsi="宋体" w:eastAsia="宋体" w:cs="宋体"/>
      <w:color w:val="000000"/>
      <w:sz w:val="44"/>
    </w:rPr>
  </w:style>
  <w:style w:type="character" w:customStyle="1" w:styleId="36">
    <w:name w:val="标题 2 Char"/>
    <w:basedOn w:val="33"/>
    <w:link w:val="5"/>
    <w:qFormat/>
    <w:uiPriority w:val="0"/>
    <w:rPr>
      <w:rFonts w:ascii="宋体" w:hAnsi="宋体" w:eastAsia="宋体" w:cs="宋体"/>
      <w:color w:val="000000"/>
      <w:sz w:val="24"/>
    </w:rPr>
  </w:style>
  <w:style w:type="character" w:customStyle="1" w:styleId="37">
    <w:name w:val="标题 3 Char"/>
    <w:basedOn w:val="33"/>
    <w:link w:val="6"/>
    <w:qFormat/>
    <w:uiPriority w:val="9"/>
    <w:rPr>
      <w:rFonts w:ascii="Calibri" w:hAnsi="Calibri" w:eastAsia="Calibri" w:cs="Calibri"/>
      <w:b/>
      <w:bCs/>
      <w:color w:val="000000"/>
      <w:sz w:val="32"/>
      <w:szCs w:val="32"/>
    </w:rPr>
  </w:style>
  <w:style w:type="character" w:customStyle="1" w:styleId="38">
    <w:name w:val="标题 4 Char"/>
    <w:basedOn w:val="33"/>
    <w:link w:val="7"/>
    <w:qFormat/>
    <w:uiPriority w:val="0"/>
    <w:rPr>
      <w:rFonts w:ascii="Calibri" w:hAnsi="Calibri" w:eastAsia="仿宋" w:cs="Times New Roman"/>
      <w:b/>
      <w:bCs/>
      <w:color w:val="000000"/>
      <w:sz w:val="28"/>
      <w:szCs w:val="28"/>
    </w:rPr>
  </w:style>
  <w:style w:type="character" w:customStyle="1" w:styleId="39">
    <w:name w:val="标题 5 Char"/>
    <w:basedOn w:val="33"/>
    <w:link w:val="8"/>
    <w:qFormat/>
    <w:uiPriority w:val="0"/>
    <w:rPr>
      <w:rFonts w:ascii="Calibri" w:hAnsi="Calibri" w:eastAsia="Calibri" w:cs="Calibri"/>
      <w:b/>
      <w:bCs/>
      <w:color w:val="000000"/>
      <w:sz w:val="28"/>
      <w:szCs w:val="28"/>
    </w:rPr>
  </w:style>
  <w:style w:type="character" w:customStyle="1" w:styleId="40">
    <w:name w:val="标题 6 Char"/>
    <w:basedOn w:val="33"/>
    <w:link w:val="9"/>
    <w:qFormat/>
    <w:uiPriority w:val="0"/>
    <w:rPr>
      <w:rFonts w:ascii="Cambria" w:hAnsi="Cambria" w:eastAsia="宋体" w:cs="Times New Roman"/>
      <w:b/>
      <w:bCs/>
      <w:color w:val="000000"/>
      <w:sz w:val="24"/>
      <w:szCs w:val="24"/>
    </w:rPr>
  </w:style>
  <w:style w:type="character" w:customStyle="1" w:styleId="41">
    <w:name w:val="标题 7 Char"/>
    <w:basedOn w:val="33"/>
    <w:link w:val="10"/>
    <w:qFormat/>
    <w:uiPriority w:val="0"/>
    <w:rPr>
      <w:rFonts w:ascii="Times New Roman" w:hAnsi="Times New Roman" w:eastAsia="Times New Roman" w:cs="Times New Roman"/>
      <w:b/>
      <w:color w:val="000000"/>
      <w:sz w:val="24"/>
    </w:rPr>
  </w:style>
  <w:style w:type="character" w:customStyle="1" w:styleId="42">
    <w:name w:val="正文文本 Char"/>
    <w:basedOn w:val="33"/>
    <w:link w:val="13"/>
    <w:qFormat/>
    <w:uiPriority w:val="99"/>
    <w:rPr>
      <w:rFonts w:ascii="Times New Roman" w:hAnsi="Times New Roman" w:eastAsia="仿宋_GB2312" w:cs="Times New Roman"/>
      <w:sz w:val="28"/>
      <w:szCs w:val="24"/>
    </w:rPr>
  </w:style>
  <w:style w:type="character" w:customStyle="1" w:styleId="43">
    <w:name w:val="批注框文本 Char"/>
    <w:basedOn w:val="33"/>
    <w:link w:val="20"/>
    <w:semiHidden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44">
    <w:name w:val="页脚 Char"/>
    <w:basedOn w:val="33"/>
    <w:link w:val="21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45">
    <w:name w:val="页眉 Char"/>
    <w:basedOn w:val="33"/>
    <w:link w:val="2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table" w:customStyle="1" w:styleId="4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TableGrid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jc w:val="center"/>
    </w:pPr>
    <w:rPr>
      <w:rFonts w:ascii="宋体" w:hAnsi="宋体" w:eastAsia="宋体" w:cs="宋体"/>
      <w:color w:val="auto"/>
      <w:kern w:val="0"/>
      <w:lang w:eastAsia="en-US"/>
    </w:rPr>
  </w:style>
  <w:style w:type="character" w:styleId="50">
    <w:name w:val="Placeholder Text"/>
    <w:basedOn w:val="33"/>
    <w:semiHidden/>
    <w:qFormat/>
    <w:uiPriority w:val="99"/>
    <w:rPr>
      <w:color w:val="808080"/>
    </w:rPr>
  </w:style>
  <w:style w:type="paragraph" w:styleId="51">
    <w:name w:val="List Paragraph"/>
    <w:basedOn w:val="1"/>
    <w:qFormat/>
    <w:uiPriority w:val="34"/>
    <w:pPr>
      <w:ind w:firstLine="420" w:firstLineChars="200"/>
    </w:pPr>
  </w:style>
  <w:style w:type="paragraph" w:customStyle="1" w:styleId="52">
    <w:name w:val="Table caption|1"/>
    <w:basedOn w:val="1"/>
    <w:qFormat/>
    <w:uiPriority w:val="0"/>
    <w:pPr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53">
    <w:name w:val="font51"/>
    <w:basedOn w:val="3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4">
    <w:name w:val="font21"/>
    <w:basedOn w:val="3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5">
    <w:name w:val="font01"/>
    <w:basedOn w:val="3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56">
    <w:name w:val="报告正文-连续目录"/>
    <w:basedOn w:val="1"/>
    <w:qFormat/>
    <w:uiPriority w:val="0"/>
    <w:pPr>
      <w:spacing w:line="440" w:lineRule="exact"/>
      <w:ind w:firstLine="200" w:firstLineChars="200"/>
    </w:pPr>
    <w:rPr>
      <w:rFonts w:ascii="Arial" w:hAnsi="Arial"/>
      <w:snapToGrid w:val="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7.xml"/><Relationship Id="rId16" Type="http://schemas.openxmlformats.org/officeDocument/2006/relationships/header" Target="header6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3079" textRotate="1"/>
    <customShpInfo spid="_x0000_s3074" textRotate="1"/>
    <customShpInfo spid="_x0000_s308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154</Pages>
  <Words>24806</Words>
  <Characters>27825</Characters>
  <Lines>522</Lines>
  <Paragraphs>147</Paragraphs>
  <TotalTime>38</TotalTime>
  <ScaleCrop>false</ScaleCrop>
  <LinksUpToDate>false</LinksUpToDate>
  <CharactersWithSpaces>33944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2022-05-25T05:48:00Z</dcterms:created>
  <dc:creator>User</dc:creator>
  <cp:lastModifiedBy>七</cp:lastModifiedBy>
  <cp:lastPrinted>2022-09-14T06:02:00Z</cp:lastPrinted>
  <dcterms:modified xsi:type="dcterms:W3CDTF">2023-10-19T12:10:50Z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97733BEF30F3403C903DAA6070D419FB_13</vt:lpwstr>
  </property>
</Properties>
</file>