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浙江焱木科技有限公司工作场所职业病危害因素检测报告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浙江焱木科技有限公司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浙江省金华市武义县泉溪镇金岩山工业功能区（浙江远达机电制造有限公司内）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包装车间、生产车间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其他粉尘(总尘),噪声,木粉尘(硬)(总尘)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龚最远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本次共检测粉尘及化学有害因素定点10个点、个体0个，检测结果均符合GBZ 2.1-2019及第1号修改单的要求；共检测物理因素定点10个点、个体0个，其中有10个点不符合GBZ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pPr w:leftFromText="180" w:rightFromText="180" w:vertAnchor="text" w:horzAnchor="page" w:tblpX="1774" w:tblpY="452"/>
        <w:tblOverlap w:val="never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42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50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86990" cy="2282825"/>
                  <wp:effectExtent l="0" t="0" r="3810" b="3175"/>
                  <wp:docPr id="861013401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013401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90" cy="228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2225" cy="2270125"/>
                  <wp:effectExtent l="0" t="0" r="9525" b="15875"/>
                  <wp:docPr id="1" name="图片 1" descr="微信图片_202310201918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2019181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22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50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81910" cy="2510155"/>
                  <wp:effectExtent l="0" t="0" r="8890" b="4445"/>
                  <wp:docPr id="3" name="图片 3" descr="微信图片_202310201918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2019181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910" cy="251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468880"/>
                  <wp:effectExtent l="0" t="0" r="16510" b="7620"/>
                  <wp:docPr id="4" name="图片 4" descr="微信图片_20231020191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2019181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2508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78100" cy="2278380"/>
                  <wp:effectExtent l="0" t="0" r="12700" b="7620"/>
                  <wp:docPr id="5" name="图片 5" descr="微信图片_20231020191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2019181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3810" cy="2269490"/>
                  <wp:effectExtent l="0" t="0" r="8890" b="16510"/>
                  <wp:docPr id="7" name="图片 7" descr="微信图片_20231020191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02019181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810" cy="226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57A0A09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2023-11-10T07:44:01Z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