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59068">
      <w:pPr>
        <w:jc w:val="left"/>
        <w:rPr>
          <w:rFonts w:ascii="Times New Roman" w:hAnsi="Times New Roman"/>
        </w:rPr>
      </w:pPr>
      <w:bookmarkStart w:id="0" w:name="_Hlk61943130"/>
      <w:bookmarkEnd w:id="0"/>
    </w:p>
    <w:p w14:paraId="395006A5">
      <w:pPr>
        <w:jc w:val="left"/>
        <w:rPr>
          <w:rFonts w:ascii="Times New Roman" w:hAnsi="Times New Roman"/>
        </w:rPr>
      </w:pPr>
    </w:p>
    <w:p w14:paraId="54C7735C">
      <w:pPr>
        <w:jc w:val="left"/>
        <w:rPr>
          <w:rFonts w:ascii="Times New Roman" w:hAnsi="Times New Roman"/>
        </w:rPr>
      </w:pPr>
    </w:p>
    <w:p w14:paraId="7F6A6C0E">
      <w:pPr>
        <w:jc w:val="center"/>
        <w:rPr>
          <w:rFonts w:ascii="Times New Roman" w:hAnsi="Times New Roman"/>
          <w:b/>
          <w:sz w:val="28"/>
          <w:szCs w:val="28"/>
        </w:rPr>
      </w:pPr>
    </w:p>
    <w:p w14:paraId="1971FC0D">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武义凯鑫厨具有限公司</w:t>
      </w:r>
    </w:p>
    <w:bookmarkEnd w:id="1"/>
    <w:p w14:paraId="5C2EBD87">
      <w:pPr>
        <w:spacing w:line="800" w:lineRule="exact"/>
        <w:jc w:val="center"/>
        <w:rPr>
          <w:rFonts w:hint="default" w:ascii="Times New Roman" w:hAnsi="Times New Roman" w:eastAsia="仿宋_GB2312" w:cs="仿宋_GB2312"/>
          <w:b/>
          <w:sz w:val="40"/>
          <w:szCs w:val="40"/>
          <w:lang w:val="en-US" w:eastAsia="zh-CN"/>
        </w:rPr>
      </w:pPr>
      <w:r>
        <w:rPr>
          <w:rFonts w:hint="eastAsia" w:ascii="Times New Roman" w:hAnsi="Times New Roman" w:eastAsia="仿宋_GB2312" w:cs="仿宋_GB2312"/>
          <w:b/>
          <w:sz w:val="40"/>
          <w:szCs w:val="40"/>
          <w:lang w:eastAsia="zh-CN"/>
        </w:rPr>
        <w:t>新增年产10万个金属制蛋糕模具项目</w:t>
      </w:r>
    </w:p>
    <w:p w14:paraId="7CC87F4E">
      <w:pPr>
        <w:spacing w:line="800" w:lineRule="exact"/>
        <w:jc w:val="center"/>
        <w:rPr>
          <w:rFonts w:ascii="Times New Roman" w:hAnsi="Times New Roman" w:eastAsia="仿宋_GB2312" w:cs="仿宋_GB2312"/>
          <w:b/>
          <w:sz w:val="44"/>
          <w:szCs w:val="44"/>
        </w:rPr>
      </w:pPr>
      <w:r>
        <w:rPr>
          <w:rFonts w:hint="eastAsia" w:ascii="Times New Roman" w:hAnsi="Times New Roman" w:eastAsia="仿宋_GB2312" w:cs="仿宋_GB2312"/>
          <w:b/>
          <w:sz w:val="40"/>
          <w:szCs w:val="40"/>
        </w:rPr>
        <w:t>竣工环境保护验收监测报告</w:t>
      </w:r>
      <w:bookmarkEnd w:id="2"/>
    </w:p>
    <w:p w14:paraId="618CE076">
      <w:pPr>
        <w:spacing w:line="800" w:lineRule="exact"/>
        <w:jc w:val="center"/>
        <w:rPr>
          <w:rFonts w:hint="eastAsia" w:ascii="Times New Roman" w:hAnsi="Times New Roman" w:eastAsia="仿宋_GB2312" w:cs="仿宋_GB2312"/>
          <w:b/>
          <w:sz w:val="40"/>
          <w:szCs w:val="40"/>
          <w:lang w:eastAsia="zh-CN"/>
        </w:rPr>
      </w:pPr>
    </w:p>
    <w:p w14:paraId="2B194612">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rPr>
        <w:t>高鑫</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验</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字</w:t>
      </w:r>
      <w:r>
        <w:rPr>
          <w:rFonts w:hint="eastAsia" w:ascii="Times New Roman" w:hAnsi="Times New Roman" w:eastAsia="仿宋_GB2312" w:cs="仿宋_GB2312"/>
          <w:b/>
          <w:bCs/>
          <w:sz w:val="30"/>
          <w:szCs w:val="30"/>
          <w:lang w:val="en-US" w:eastAsia="zh-CN"/>
        </w:rPr>
        <w:t>20231201</w:t>
      </w:r>
    </w:p>
    <w:p w14:paraId="450FFB76">
      <w:pPr>
        <w:jc w:val="center"/>
        <w:rPr>
          <w:rFonts w:ascii="Times New Roman" w:hAnsi="Times New Roman"/>
          <w:b/>
          <w:sz w:val="28"/>
          <w:szCs w:val="28"/>
        </w:rPr>
      </w:pPr>
    </w:p>
    <w:p w14:paraId="0C732CCA">
      <w:pPr>
        <w:rPr>
          <w:rFonts w:ascii="Times New Roman" w:hAnsi="Times New Roman" w:eastAsia="仿宋_GB2312" w:cs="仿宋_GB2312"/>
          <w:b/>
          <w:sz w:val="28"/>
          <w:szCs w:val="28"/>
        </w:rPr>
      </w:pPr>
    </w:p>
    <w:p w14:paraId="2BA22FC0">
      <w:pPr>
        <w:jc w:val="center"/>
        <w:rPr>
          <w:rFonts w:ascii="Times New Roman" w:hAnsi="Times New Roman" w:eastAsia="仿宋_GB2312" w:cs="仿宋_GB2312"/>
          <w:b/>
          <w:sz w:val="28"/>
          <w:szCs w:val="28"/>
        </w:rPr>
      </w:pPr>
    </w:p>
    <w:p w14:paraId="20FAFC02">
      <w:pPr>
        <w:pStyle w:val="13"/>
        <w:rPr>
          <w:rFonts w:hint="eastAsia"/>
        </w:rPr>
      </w:pPr>
    </w:p>
    <w:p w14:paraId="741F9D37">
      <w:pPr>
        <w:pStyle w:val="13"/>
        <w:rPr>
          <w:rFonts w:hint="eastAsia"/>
        </w:rPr>
      </w:pPr>
    </w:p>
    <w:p w14:paraId="7D5ED859">
      <w:pPr>
        <w:pStyle w:val="13"/>
        <w:rPr>
          <w:rFonts w:hint="eastAsia"/>
        </w:rPr>
      </w:pPr>
    </w:p>
    <w:p w14:paraId="71A345B3">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武义凯鑫厨具有限公司</w:t>
      </w:r>
    </w:p>
    <w:p w14:paraId="58A72154">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14:paraId="61819BB0">
      <w:pPr>
        <w:jc w:val="center"/>
        <w:rPr>
          <w:rFonts w:ascii="Times New Roman" w:hAnsi="Times New Roman" w:eastAsia="仿宋_GB2312" w:cs="仿宋_GB2312"/>
          <w:b/>
          <w:sz w:val="28"/>
          <w:szCs w:val="28"/>
        </w:rPr>
      </w:pPr>
    </w:p>
    <w:p w14:paraId="604E0404">
      <w:pPr>
        <w:jc w:val="center"/>
        <w:rPr>
          <w:rFonts w:ascii="Times New Roman" w:hAnsi="Times New Roman" w:eastAsia="仿宋_GB2312" w:cs="仿宋_GB2312"/>
          <w:b/>
          <w:sz w:val="28"/>
          <w:szCs w:val="28"/>
        </w:rPr>
      </w:pPr>
    </w:p>
    <w:p w14:paraId="26A68C2E">
      <w:pPr>
        <w:jc w:val="center"/>
        <w:rPr>
          <w:rFonts w:ascii="Times New Roman" w:hAnsi="Times New Roman" w:eastAsia="仿宋_GB2312" w:cs="仿宋_GB2312"/>
          <w:b/>
          <w:sz w:val="28"/>
          <w:szCs w:val="28"/>
        </w:rPr>
      </w:pPr>
    </w:p>
    <w:p w14:paraId="5601F8E8">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09</w:t>
      </w:r>
      <w:r>
        <w:rPr>
          <w:rFonts w:hint="eastAsia" w:ascii="Times New Roman" w:hAnsi="Times New Roman" w:eastAsia="仿宋_GB2312" w:cs="仿宋_GB2312"/>
          <w:b/>
          <w:sz w:val="28"/>
          <w:szCs w:val="28"/>
        </w:rPr>
        <w:t>月</w:t>
      </w:r>
    </w:p>
    <w:p w14:paraId="7FA524B5">
      <w:pPr>
        <w:pStyle w:val="13"/>
        <w:rPr>
          <w:rFonts w:hint="eastAsia"/>
        </w:rPr>
      </w:pPr>
    </w:p>
    <w:p w14:paraId="35380A8C">
      <w:pPr>
        <w:rPr>
          <w:rFonts w:hint="eastAsia" w:ascii="Times New Roman" w:hAnsi="Times New Roman" w:eastAsiaTheme="minorEastAsia"/>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8"/>
          <w:szCs w:val="28"/>
          <w:lang w:eastAsia="zh-CN"/>
        </w:rPr>
        <w:drawing>
          <wp:inline distT="0" distB="0" distL="114300" distR="114300">
            <wp:extent cx="5271135" cy="7453630"/>
            <wp:effectExtent l="0" t="0" r="5715" b="13970"/>
            <wp:docPr id="39" name="图片 39" descr="新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证书_00"/>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14:paraId="726775E4">
      <w:pPr>
        <w:rPr>
          <w:rFonts w:ascii="Times New Roman" w:hAnsi="Times New Roman" w:eastAsia="仿宋_GB2312" w:cs="Times New Roman"/>
          <w:b/>
          <w:color w:val="000000"/>
          <w:sz w:val="28"/>
        </w:rPr>
      </w:pPr>
    </w:p>
    <w:p w14:paraId="47BE5BCD">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14:paraId="60501915">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14:paraId="13340357">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14:paraId="02798A92">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14:paraId="73C227EB">
      <w:pPr>
        <w:ind w:firstLine="1559" w:firstLineChars="557"/>
        <w:rPr>
          <w:rFonts w:ascii="Times New Roman" w:hAnsi="Times New Roman" w:eastAsia="仿宋_GB2312" w:cs="仿宋_GB2312"/>
          <w:sz w:val="28"/>
          <w:szCs w:val="28"/>
        </w:rPr>
      </w:pPr>
    </w:p>
    <w:p w14:paraId="64DDD3AB">
      <w:pPr>
        <w:ind w:firstLine="1559" w:firstLineChars="557"/>
        <w:rPr>
          <w:rFonts w:ascii="Times New Roman" w:hAnsi="Times New Roman" w:eastAsia="仿宋_GB2312" w:cs="仿宋_GB2312"/>
          <w:sz w:val="28"/>
          <w:szCs w:val="28"/>
        </w:rPr>
      </w:pPr>
    </w:p>
    <w:p w14:paraId="082FA0E6">
      <w:pPr>
        <w:ind w:firstLine="1559" w:firstLineChars="557"/>
        <w:rPr>
          <w:rFonts w:ascii="Times New Roman" w:hAnsi="Times New Roman" w:eastAsia="仿宋_GB2312" w:cs="仿宋_GB2312"/>
          <w:sz w:val="28"/>
          <w:szCs w:val="28"/>
        </w:rPr>
      </w:pPr>
    </w:p>
    <w:p w14:paraId="6E6C3777">
      <w:pPr>
        <w:ind w:firstLine="1559" w:firstLineChars="557"/>
        <w:rPr>
          <w:rFonts w:ascii="Times New Roman" w:hAnsi="Times New Roman" w:eastAsia="仿宋_GB2312" w:cs="仿宋_GB2312"/>
          <w:sz w:val="28"/>
          <w:szCs w:val="28"/>
        </w:rPr>
      </w:pPr>
    </w:p>
    <w:p w14:paraId="5F1FDCF5">
      <w:pPr>
        <w:ind w:firstLine="1559" w:firstLineChars="557"/>
        <w:rPr>
          <w:rFonts w:ascii="Times New Roman" w:hAnsi="Times New Roman" w:eastAsia="仿宋_GB2312" w:cs="仿宋_GB2312"/>
          <w:sz w:val="28"/>
          <w:szCs w:val="28"/>
        </w:rPr>
      </w:pP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14:paraId="54A3A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4CCA5690">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14:paraId="23EB144C">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14:paraId="132EA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14:paraId="4CCFF00B">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武义凯鑫厨具有限公司</w:t>
            </w:r>
          </w:p>
          <w:p w14:paraId="4999870C">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15267930557</w:t>
            </w:r>
          </w:p>
          <w:p w14:paraId="24F3AD9B">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14:paraId="122AB70B">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eastAsia="zh-CN"/>
              </w:rPr>
              <w:t>32</w:t>
            </w:r>
            <w:r>
              <w:rPr>
                <w:rFonts w:hint="eastAsia" w:ascii="Times New Roman" w:hAnsi="Times New Roman" w:eastAsia="仿宋_GB2312" w:cs="仿宋_GB2312"/>
                <w:sz w:val="28"/>
                <w:szCs w:val="28"/>
                <w:lang w:val="en-US" w:eastAsia="zh-CN"/>
              </w:rPr>
              <w:t>1203</w:t>
            </w:r>
          </w:p>
          <w:p w14:paraId="570FB00E">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浙江省金华市武义县白洋街道百花山工业区</w:t>
            </w:r>
          </w:p>
        </w:tc>
        <w:tc>
          <w:tcPr>
            <w:tcW w:w="4261" w:type="dxa"/>
            <w:vAlign w:val="center"/>
          </w:tcPr>
          <w:p w14:paraId="352ACF46">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14:paraId="619DF167">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14:paraId="2F91B99C">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14:paraId="492393F2">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14:paraId="7C3D5977">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14:paraId="26419F2A">
      <w:pPr>
        <w:ind w:firstLine="1559" w:firstLineChars="557"/>
        <w:rPr>
          <w:rFonts w:ascii="Times New Roman" w:hAnsi="Times New Roman" w:eastAsia="仿宋_GB2312" w:cs="仿宋_GB2312"/>
          <w:sz w:val="28"/>
          <w:szCs w:val="28"/>
        </w:rPr>
      </w:pPr>
    </w:p>
    <w:p w14:paraId="2A1ACE69">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14:paraId="175ACCB9">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14:paraId="12002FCF">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 w:val="20"/>
              <w:szCs w:val="20"/>
            </w:rPr>
            <w:fldChar w:fldCharType="begin"/>
          </w:r>
          <w:r>
            <w:rPr>
              <w:rFonts w:hint="default" w:ascii="Times New Roman" w:hAnsi="Times New Roman" w:eastAsia="宋体" w:cs="Times New Roman"/>
              <w:i w:val="0"/>
              <w:iCs w:val="0"/>
              <w:sz w:val="20"/>
              <w:szCs w:val="20"/>
            </w:rPr>
            <w:instrText xml:space="preserve"> TOC \o "1-3" \h \z \u </w:instrText>
          </w:r>
          <w:r>
            <w:rPr>
              <w:rFonts w:hint="default" w:ascii="Times New Roman" w:hAnsi="Times New Roman" w:eastAsia="宋体" w:cs="Times New Roman"/>
              <w:i w:val="0"/>
              <w:iCs w:val="0"/>
              <w:sz w:val="20"/>
              <w:szCs w:val="20"/>
            </w:rPr>
            <w:fldChar w:fldCharType="separate"/>
          </w: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_Toc27364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1项目概况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_Toc27364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56D87FA">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_Toc22287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rPr>
            <w:t>1.1基本情况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_Toc22287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BE39DC3">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_Toc906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1.2项目审批情况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8908892">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_Toc20954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1.3项目建设情况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_Toc20954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2A0D3CF">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_Toc14226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1.4项目验收工作情况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_Toc14226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64E323F">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_Toc28832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2验收依据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_Toc28832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1F35595">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_Toc12874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2.1建设项目环境保护相关法</w:t>
          </w:r>
          <w:r>
            <w:rPr>
              <w:rFonts w:hint="default" w:ascii="Times New Roman" w:hAnsi="Times New Roman" w:eastAsia="宋体" w:cs="Times New Roman"/>
              <w:i w:val="0"/>
              <w:iCs w:val="0"/>
              <w:highlight w:val="none"/>
            </w:rPr>
            <w:t>律、法规和规章制度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_Toc12874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5126504">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_Toc25729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2.2建设项目竣工环境保护验收技术规范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_Toc25729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E7BED2C">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_Toc28460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2.3建设项目环境影响报告表及其审批部门审批决定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_Toc28460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A6B32F2">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_Toc5734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2.4其他相关文件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_Toc5734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7306FFC">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_Toc2417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3FE5E78">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_Toc31444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3.1地理位置及平面布置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_Toc31444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3541FBC">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_Toc30993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3.2建设内容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_Toc30993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DE515DE">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_Toc12637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3.3主要原辅材料及燃料</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_Toc12637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0D343EB">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_Toc12514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4</w:t>
          </w:r>
          <w:r>
            <w:rPr>
              <w:rFonts w:hint="default" w:ascii="Times New Roman" w:hAnsi="Times New Roman" w:eastAsia="宋体" w:cs="Times New Roman"/>
              <w:i w:val="0"/>
              <w:iCs w:val="0"/>
            </w:rPr>
            <w:t>主要生产设备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_Toc12514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ED796D7">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_Toc13507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5</w:t>
          </w:r>
          <w:r>
            <w:rPr>
              <w:rFonts w:hint="default" w:ascii="Times New Roman" w:hAnsi="Times New Roman" w:eastAsia="宋体" w:cs="Times New Roman"/>
              <w:i w:val="0"/>
              <w:iCs w:val="0"/>
            </w:rPr>
            <w:t>水源及水平衡</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_Toc13507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30EE809">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_Toc28356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3.</w:t>
          </w:r>
          <w:r>
            <w:rPr>
              <w:rFonts w:hint="default" w:ascii="Times New Roman" w:hAnsi="Times New Roman" w:eastAsia="宋体" w:cs="Times New Roman"/>
              <w:i w:val="0"/>
              <w:iCs w:val="0"/>
              <w:highlight w:val="none"/>
              <w:lang w:val="en-US" w:eastAsia="zh-CN"/>
            </w:rPr>
            <w:t>6</w:t>
          </w:r>
          <w:r>
            <w:rPr>
              <w:rFonts w:hint="default" w:ascii="Times New Roman" w:hAnsi="Times New Roman" w:eastAsia="宋体" w:cs="Times New Roman"/>
              <w:i w:val="0"/>
              <w:iCs w:val="0"/>
              <w:highlight w:val="none"/>
            </w:rPr>
            <w:t>生产工艺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_Toc28356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E14FCC3">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_Toc18691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3.7项目变动情况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_Toc18691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94B7D1B">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_Toc21999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i w:val="0"/>
              <w:iCs w:val="0"/>
              <w:kern w:val="44"/>
              <w:szCs w:val="44"/>
              <w:highlight w:val="none"/>
              <w:lang w:val="en-US" w:eastAsia="zh-CN" w:bidi="ar-SA"/>
            </w:rPr>
            <w:t>4环境保护设施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_Toc21999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E8701D8">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_Toc32481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4.1污染物治理/处置设施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_Toc32481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8854D6D">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_Toc27866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4.1.1废水</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_Toc27866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A414E75">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_Toc8367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4.1.2废气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_Toc8367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1E9B4FC">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_Toc9059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4.1.3噪声</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_Toc9059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C7D918B">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_Toc14942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4.1.4固（液）体废物</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_Toc14942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1398CD4">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_Toc27415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4.2其他环境保护设施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_Toc27415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17CE285">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_Toc16163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4.2.1环境风险防范设施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_Toc16163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01C024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_Toc31430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4.2.2规范化排污口、监测</w:t>
          </w:r>
          <w:r>
            <w:rPr>
              <w:rFonts w:hint="default" w:ascii="Times New Roman" w:hAnsi="Times New Roman" w:eastAsia="宋体" w:cs="Times New Roman"/>
              <w:i w:val="0"/>
              <w:iCs w:val="0"/>
            </w:rPr>
            <w:t>设施及在线监测装置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_Toc31430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5E108088">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_Toc8501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4.2.3其他设施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_Toc8501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466FE3B">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_Toc24532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4.3环保设施投资及“三同时”落实情况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_Toc24532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9CF7E0D">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_Toc5220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4.3.1 环保设施投资</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_Toc5220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ED933A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_Toc21212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4.3.2 “三同时”落实情况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_Toc21212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5718850B">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_Toc15014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5建设项目环评报告的主要结论与建议及其审批部门审批决定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_Toc15014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FDADBFB">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_Toc12963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5.1建设项目环评报告的主要结论与建议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_Toc12963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80A1854">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_Toc12746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5.1.1 建设项目污染产生和防治措施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_Toc12746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7AFEF40">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_Toc24431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lang w:val="en-US" w:eastAsia="zh-CN"/>
            </w:rPr>
            <w:t>5.1.2 环评总结论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_Toc24431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7FA3F552">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_Toc29671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5.2审批部门审批决定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_Toc29671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2918F31">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_Toc16950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6验收执行标准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_Toc16950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50F0936">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_Toc18515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6.1废水验收执行标准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_Toc18515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C55A88D">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_Toc26190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6.2废气验收执行标准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_Toc26190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D3A5201">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_Toc12567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6.3噪声验收执行标准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_Toc12567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8B0393F">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_Toc381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6.4固废验收执行标准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_Toc381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FDB811C">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_Toc24892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6.5主要污染物</w:t>
          </w:r>
          <w:r>
            <w:rPr>
              <w:rFonts w:hint="default" w:ascii="Times New Roman" w:hAnsi="Times New Roman" w:eastAsia="宋体" w:cs="Times New Roman"/>
              <w:i w:val="0"/>
              <w:iCs w:val="0"/>
            </w:rPr>
            <w:t>排放总量控制指标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_Toc24892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ED20956">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_Toc26006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6.6环境质量标准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_Toc26006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53DDCCA">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_Toc27251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highlight w:val="none"/>
            </w:rPr>
            <w:t>验收监测</w:t>
          </w:r>
          <w:r>
            <w:rPr>
              <w:rFonts w:hint="default" w:ascii="Times New Roman" w:hAnsi="Times New Roman" w:eastAsia="宋体" w:cs="Times New Roman"/>
              <w:i w:val="0"/>
              <w:iCs w:val="0"/>
            </w:rPr>
            <w:t>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_Toc27251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CFCC0BE">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_Toc28687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7.1环境保护设施调试运行效果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_Toc28687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8453ED3">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_Toc1235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7.1.1废水验收监测内容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_Toc1235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5D63B927">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_Toc28464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7.1.2废气验收监测内容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_Toc28464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2552293">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_Toc10700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7.1.3厂界噪声监测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_Toc10700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DB5017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_Toc29131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7.1.4</w:t>
          </w:r>
          <w:r>
            <w:rPr>
              <w:rFonts w:hint="default" w:ascii="Times New Roman" w:hAnsi="Times New Roman" w:eastAsia="宋体" w:cs="Times New Roman"/>
              <w:i w:val="0"/>
              <w:iCs w:val="0"/>
              <w:lang w:val="en-US" w:eastAsia="zh-CN"/>
            </w:rPr>
            <w:t>监测</w:t>
          </w:r>
          <w:r>
            <w:rPr>
              <w:rFonts w:hint="default" w:ascii="Times New Roman" w:hAnsi="Times New Roman" w:eastAsia="宋体" w:cs="Times New Roman"/>
              <w:i w:val="0"/>
              <w:iCs w:val="0"/>
            </w:rPr>
            <w:t>点位</w:t>
          </w:r>
          <w:r>
            <w:rPr>
              <w:rFonts w:hint="default" w:ascii="Times New Roman" w:hAnsi="Times New Roman" w:eastAsia="宋体" w:cs="Times New Roman"/>
              <w:i w:val="0"/>
              <w:iCs w:val="0"/>
              <w:highlight w:val="none"/>
              <w:lang w:val="en-US" w:eastAsia="zh-CN"/>
            </w:rPr>
            <w:t>布置</w:t>
          </w:r>
          <w:r>
            <w:rPr>
              <w:rFonts w:hint="default" w:ascii="Times New Roman" w:hAnsi="Times New Roman" w:eastAsia="宋体" w:cs="Times New Roman"/>
              <w:i w:val="0"/>
              <w:iCs w:val="0"/>
            </w:rPr>
            <w:t>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_Toc29131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A9817F1">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_Toc17287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i w:val="0"/>
              <w:iCs w:val="0"/>
              <w:caps w:val="0"/>
              <w:kern w:val="2"/>
              <w:szCs w:val="32"/>
              <w:highlight w:val="none"/>
              <w:lang w:val="en-US" w:eastAsia="zh-CN" w:bidi="ar-SA"/>
            </w:rPr>
            <w:t>7.2环境质量监测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_Toc17287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56913C4">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_Toc23963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8质量保证及质量控</w:t>
          </w:r>
          <w:r>
            <w:rPr>
              <w:rFonts w:hint="default" w:ascii="Times New Roman" w:hAnsi="Times New Roman" w:eastAsia="宋体" w:cs="Times New Roman"/>
              <w:i w:val="0"/>
              <w:iCs w:val="0"/>
            </w:rPr>
            <w:t>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_Toc23963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57079F9B">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_Toc31801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8.1监测分析方法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_Toc31801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ADB6994">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_Toc18879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8.2监测仪器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_Toc18879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B74741F">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_Toc21825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8.3人员能力</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_Toc21825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7EA53A0">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_Toc17900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8.4水质监测分析过程中的质量保证和质量控制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_Toc17900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78528EA">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_Toc11273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8.5气体监测分析过程中的质量保证和质量控制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_Toc11273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3B79AF9">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_Toc15433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8.6噪声监测分析过程中的质量保证和质量控制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_Toc15433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3C67666">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_Toc17143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8.7采样记录及分析结果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_Toc17143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6F3CDB4">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_Toc19219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9验收监测结果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_Toc19219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4B56C3D">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_Toc22267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9.1生产工况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_Toc22267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6C3F166">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_Toc7291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rPr>
            <w:t>9.2污染物排放监测及环保设施处理效率结果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_Toc7291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50CB90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_Toc20094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highlight w:val="none"/>
            </w:rPr>
            <w:t>9.2.1废水监测结果及评价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_Toc20094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68876C4">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_Toc13919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highlight w:val="none"/>
            </w:rPr>
            <w:t>9.2.2固定污染源废气检测结果及评价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_Toc13919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EC51D3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_Toc13490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highlight w:val="none"/>
            </w:rPr>
            <w:t>9.2.3无组织废气检测结果及评价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_Toc13490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510D799">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_Toc18628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rPr>
            <w:t>9.2.4噪声检测结果及评价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_Toc18628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54C407B8">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_Toc3231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5</w:t>
          </w:r>
          <w:r>
            <w:rPr>
              <w:rFonts w:hint="default" w:ascii="Times New Roman" w:hAnsi="Times New Roman" w:eastAsia="宋体" w:cs="Times New Roman"/>
              <w:i w:val="0"/>
              <w:iCs w:val="0"/>
              <w:highlight w:val="none"/>
            </w:rPr>
            <w:t>环保设施</w:t>
          </w:r>
          <w:r>
            <w:rPr>
              <w:rFonts w:hint="default" w:ascii="Times New Roman" w:hAnsi="Times New Roman" w:eastAsia="宋体" w:cs="Times New Roman"/>
              <w:i w:val="0"/>
              <w:iCs w:val="0"/>
              <w:highlight w:val="none"/>
              <w:lang w:val="en-US" w:eastAsia="zh-CN"/>
            </w:rPr>
            <w:t>处理</w:t>
          </w:r>
          <w:r>
            <w:rPr>
              <w:rFonts w:hint="default" w:ascii="Times New Roman" w:hAnsi="Times New Roman" w:eastAsia="宋体" w:cs="Times New Roman"/>
              <w:i w:val="0"/>
              <w:iCs w:val="0"/>
              <w:highlight w:val="none"/>
            </w:rPr>
            <w:t>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_Toc3231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8972BAC">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_Toc31045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6</w:t>
          </w:r>
          <w:r>
            <w:rPr>
              <w:rFonts w:hint="default" w:ascii="Times New Roman" w:hAnsi="Times New Roman" w:eastAsia="宋体" w:cs="Times New Roman"/>
              <w:i w:val="0"/>
              <w:iCs w:val="0"/>
              <w:kern w:val="22"/>
              <w:highlight w:val="none"/>
            </w:rPr>
            <w:t>污染物排放总量核算</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_Toc31045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9344E77">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_Toc8547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i w:val="0"/>
              <w:iCs w:val="0"/>
              <w:caps w:val="0"/>
              <w:kern w:val="2"/>
              <w:szCs w:val="32"/>
              <w:highlight w:val="none"/>
              <w:lang w:val="en-US" w:eastAsia="zh-CN" w:bidi="ar-SA"/>
            </w:rPr>
            <w:t>9.3工程建设对环境的影响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_Toc8547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FE494A0">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_Toc23245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highlight w:val="none"/>
            </w:rPr>
            <w:t>10验收监测结论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_Toc23245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1C2A6CC">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_Toc25966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rPr>
            <w:t>10.1环保设施调试运行效果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_Toc25966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48715F7">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_Toc31837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rPr>
            <w:t>10.1.1环保设施处理效率监测结果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_Toc31837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42E44CD">
          <w:pPr>
            <w:pStyle w:val="12"/>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_Toc16593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rPr>
            <w:t>10.1.2</w:t>
          </w:r>
          <w:r>
            <w:rPr>
              <w:rFonts w:hint="default" w:ascii="Times New Roman" w:hAnsi="Times New Roman" w:eastAsia="宋体" w:cs="Times New Roman"/>
              <w:i w:val="0"/>
              <w:iCs w:val="0"/>
              <w:kern w:val="22"/>
              <w:highlight w:val="none"/>
            </w:rPr>
            <w:t>污染设施排放监测结</w:t>
          </w:r>
          <w:r>
            <w:rPr>
              <w:rFonts w:hint="default" w:ascii="Times New Roman" w:hAnsi="Times New Roman" w:eastAsia="宋体" w:cs="Times New Roman"/>
              <w:i w:val="0"/>
              <w:iCs w:val="0"/>
              <w:kern w:val="22"/>
            </w:rPr>
            <w:t>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_Toc16593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99038C4">
          <w:pPr>
            <w:pStyle w:val="25"/>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_Toc3746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i w:val="0"/>
              <w:iCs w:val="0"/>
              <w:kern w:val="22"/>
            </w:rPr>
            <w:t>10.2建议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_Toc3746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E78718D">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_Toc28375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highlight w:val="none"/>
            </w:rPr>
            <w:t>附件1 建设项目环境保护“三同时”竣工验收报告表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_Toc28375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AEDCA74">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_Toc24493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lang w:val="en-US" w:eastAsia="zh-CN"/>
            </w:rPr>
            <w:t>附件2 武义凯鑫厨具有限公司项目备案通知书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_Toc24493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08E1665">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_Toc19835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3</w:t>
          </w:r>
          <w:r>
            <w:rPr>
              <w:rFonts w:hint="default" w:ascii="Times New Roman" w:hAnsi="Times New Roman" w:eastAsia="宋体" w:cs="Times New Roman"/>
              <w:bCs w:val="0"/>
              <w:i w:val="0"/>
              <w:iCs w:val="0"/>
              <w:szCs w:val="32"/>
            </w:rPr>
            <w:t xml:space="preserve"> 环评批复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_Toc19835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0DA2EF72">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_Toc9490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4</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固定污染源排污登记回执</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_Toc9490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36B81F4C">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_Toc21882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kern w:val="44"/>
              <w:szCs w:val="32"/>
              <w:lang w:val="en-US" w:eastAsia="zh-CN" w:bidi="ar-SA"/>
            </w:rPr>
            <w:t>附件5 雨污分流管网图及城镇污水排入排水管网许可证</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_Toc21882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7AD7B11">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_Toc4138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6</w:t>
          </w:r>
          <w:r>
            <w:rPr>
              <w:rFonts w:hint="default" w:ascii="Times New Roman" w:hAnsi="Times New Roman" w:eastAsia="宋体" w:cs="Times New Roman"/>
              <w:bCs w:val="0"/>
              <w:i w:val="0"/>
              <w:iCs w:val="0"/>
              <w:szCs w:val="32"/>
              <w:highlight w:val="none"/>
            </w:rPr>
            <w:t xml:space="preserve"> </w:t>
          </w:r>
          <w:r>
            <w:rPr>
              <w:rFonts w:hint="default" w:ascii="Times New Roman" w:hAnsi="Times New Roman" w:eastAsia="宋体" w:cs="Times New Roman"/>
              <w:bCs w:val="0"/>
              <w:i w:val="0"/>
              <w:iCs w:val="0"/>
              <w:szCs w:val="32"/>
              <w:highlight w:val="none"/>
              <w:lang w:val="en-US" w:eastAsia="zh-CN"/>
            </w:rPr>
            <w:t>固废处置协议及危险废物台账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_Toc4138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C7D98AD">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_Toc26643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7</w:t>
          </w:r>
          <w:r>
            <w:rPr>
              <w:rFonts w:hint="default" w:ascii="Times New Roman" w:hAnsi="Times New Roman" w:eastAsia="宋体" w:cs="Times New Roman"/>
              <w:bCs w:val="0"/>
              <w:i w:val="0"/>
              <w:iCs w:val="0"/>
              <w:szCs w:val="32"/>
              <w:highlight w:val="none"/>
            </w:rPr>
            <w:t xml:space="preserve"> </w:t>
          </w:r>
          <w:r>
            <w:rPr>
              <w:rFonts w:hint="default" w:ascii="Times New Roman" w:hAnsi="Times New Roman" w:eastAsia="宋体" w:cs="Times New Roman"/>
              <w:bCs w:val="0"/>
              <w:i w:val="0"/>
              <w:iCs w:val="0"/>
              <w:szCs w:val="32"/>
              <w:highlight w:val="none"/>
              <w:lang w:val="en-US" w:eastAsia="zh-CN"/>
            </w:rPr>
            <w:t>验收期间生产工况及信息确认</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_Toc26643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A6C7B73">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_Toc17752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8</w:t>
          </w:r>
          <w:r>
            <w:rPr>
              <w:rFonts w:hint="default" w:ascii="Times New Roman" w:hAnsi="Times New Roman" w:eastAsia="宋体" w:cs="Times New Roman"/>
              <w:bCs w:val="0"/>
              <w:i w:val="0"/>
              <w:iCs w:val="0"/>
              <w:szCs w:val="32"/>
            </w:rPr>
            <w:t xml:space="preserve"> 验收意见及签到表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_Toc17752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3E5561A">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_Toc18361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9</w:t>
          </w:r>
          <w:r>
            <w:rPr>
              <w:rFonts w:hint="default" w:ascii="Times New Roman" w:hAnsi="Times New Roman" w:eastAsia="宋体" w:cs="Times New Roman"/>
              <w:bCs w:val="0"/>
              <w:i w:val="0"/>
              <w:iCs w:val="0"/>
              <w:szCs w:val="32"/>
            </w:rPr>
            <w:t xml:space="preserve"> 验收公示截图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_Toc18361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82B78F7">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_Toc22140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kern w:val="44"/>
              <w:szCs w:val="32"/>
              <w:lang w:val="en-US" w:eastAsia="zh-CN" w:bidi="ar-SA"/>
            </w:rPr>
            <w:t>附件10 废水处理设施设计方案</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_Toc22140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291A7986">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_Toc31539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kern w:val="44"/>
              <w:szCs w:val="32"/>
              <w:lang w:val="en-US" w:eastAsia="zh-CN" w:bidi="ar-SA"/>
            </w:rPr>
            <w:t>附件11 脱附催化燃烧处理设施废气设计方案</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_Toc31539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C855CC3">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_Toc8699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12</w:t>
          </w:r>
          <w:r>
            <w:rPr>
              <w:rFonts w:hint="default" w:ascii="Times New Roman" w:hAnsi="Times New Roman" w:eastAsia="宋体" w:cs="Times New Roman"/>
              <w:bCs w:val="0"/>
              <w:i w:val="0"/>
              <w:iCs w:val="0"/>
              <w:szCs w:val="32"/>
              <w:highlight w:val="none"/>
            </w:rPr>
            <w:t xml:space="preserve"> 其他需要说明的事项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_Toc8699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689227C4">
          <w:pPr>
            <w:pStyle w:val="14"/>
            <w:tabs>
              <w:tab w:val="right" w:leader="dot" w:pos="8306"/>
            </w:tabs>
            <w:spacing w:line="360" w:lineRule="auto"/>
            <w:rPr>
              <w:rFonts w:hint="default" w:ascii="Times New Roman" w:hAnsi="Times New Roman" w:eastAsia="宋体" w:cs="Times New Roman"/>
              <w:i w:val="0"/>
              <w:iCs w:val="0"/>
            </w:rPr>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_Toc5902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kern w:val="44"/>
              <w:szCs w:val="32"/>
              <w:highlight w:val="none"/>
              <w:lang w:val="en-US" w:eastAsia="zh-CN" w:bidi="ar-SA"/>
            </w:rPr>
            <w:t>附件13 废气运行台账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_Toc5902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12BC9868">
          <w:pPr>
            <w:pStyle w:val="14"/>
            <w:tabs>
              <w:tab w:val="right" w:leader="dot" w:pos="8306"/>
            </w:tabs>
            <w:spacing w:line="360" w:lineRule="auto"/>
          </w:pPr>
          <w:r>
            <w:rPr>
              <w:rFonts w:hint="default" w:ascii="Times New Roman" w:hAnsi="Times New Roman" w:eastAsia="宋体" w:cs="Times New Roman"/>
              <w:i w:val="0"/>
              <w:iCs w:val="0"/>
              <w:szCs w:val="20"/>
            </w:rPr>
            <w:fldChar w:fldCharType="begin"/>
          </w:r>
          <w:r>
            <w:rPr>
              <w:rFonts w:hint="default" w:ascii="Times New Roman" w:hAnsi="Times New Roman" w:eastAsia="宋体" w:cs="Times New Roman"/>
              <w:i w:val="0"/>
              <w:iCs w:val="0"/>
              <w:szCs w:val="20"/>
            </w:rPr>
            <w:instrText xml:space="preserve"> HYPERLINK \l _Toc17154 </w:instrText>
          </w:r>
          <w:r>
            <w:rPr>
              <w:rFonts w:hint="default" w:ascii="Times New Roman" w:hAnsi="Times New Roman" w:eastAsia="宋体" w:cs="Times New Roman"/>
              <w:i w:val="0"/>
              <w:iCs w:val="0"/>
              <w:szCs w:val="20"/>
            </w:rPr>
            <w:fldChar w:fldCharType="separate"/>
          </w:r>
          <w:r>
            <w:rPr>
              <w:rFonts w:hint="default" w:ascii="Times New Roman" w:hAnsi="Times New Roman" w:eastAsia="宋体" w:cs="Times New Roman"/>
              <w:bCs w:val="0"/>
              <w:i w:val="0"/>
              <w:iCs w:val="0"/>
              <w:kern w:val="44"/>
              <w:szCs w:val="32"/>
              <w:highlight w:val="none"/>
              <w:lang w:val="en-US" w:eastAsia="zh-CN" w:bidi="ar-SA"/>
            </w:rPr>
            <w:t>附件14 检测报告</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_Toc17154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0"/>
            </w:rPr>
            <w:fldChar w:fldCharType="end"/>
          </w:r>
        </w:p>
        <w:p w14:paraId="4CD087DE">
          <w:pPr>
            <w:spacing w:line="360" w:lineRule="auto"/>
            <w:rPr>
              <w:rFonts w:ascii="Times New Roman" w:hAnsi="Times New Roman"/>
            </w:rPr>
          </w:pPr>
          <w:r>
            <w:rPr>
              <w:rFonts w:hint="default" w:ascii="Times New Roman" w:hAnsi="Times New Roman" w:eastAsia="宋体" w:cs="Times New Roman"/>
              <w:i w:val="0"/>
              <w:iCs w:val="0"/>
              <w:szCs w:val="20"/>
            </w:rPr>
            <w:fldChar w:fldCharType="end"/>
          </w:r>
        </w:p>
      </w:sdtContent>
    </w:sdt>
    <w:p w14:paraId="64DA1CFE">
      <w:pPr>
        <w:spacing w:line="360" w:lineRule="auto"/>
        <w:rPr>
          <w:rFonts w:ascii="Calibri" w:hAnsi="Calibri" w:eastAsia="宋体" w:cs="Times New Roman"/>
          <w:smallCaps/>
          <w:color w:val="0000FF"/>
          <w:sz w:val="20"/>
          <w:szCs w:val="20"/>
        </w:rPr>
      </w:pPr>
    </w:p>
    <w:p w14:paraId="2A4C8CF6">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163D8BCB">
      <w:pPr>
        <w:pStyle w:val="2"/>
      </w:pPr>
      <w:bookmarkStart w:id="3" w:name="_Toc27364"/>
      <w:r>
        <w:rPr>
          <w:rFonts w:hint="eastAsia"/>
        </w:rPr>
        <w:t>1项目概况</w:t>
      </w:r>
      <w:bookmarkEnd w:id="3"/>
    </w:p>
    <w:p w14:paraId="3768FDD3">
      <w:pPr>
        <w:pStyle w:val="3"/>
        <w:rPr>
          <w:rFonts w:hint="eastAsia" w:eastAsia="宋体"/>
          <w:lang w:val="en-US"/>
        </w:rPr>
      </w:pPr>
      <w:bookmarkStart w:id="4" w:name="_Toc22287"/>
      <w:bookmarkStart w:id="5" w:name="_Hlk133396231"/>
      <w:r>
        <w:rPr>
          <w:rFonts w:hint="eastAsia" w:eastAsia="宋体"/>
          <w:lang w:val="en-US"/>
        </w:rPr>
        <w:t>1.1基本情况</w:t>
      </w:r>
      <w:bookmarkEnd w:id="4"/>
    </w:p>
    <w:p w14:paraId="0836D435">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武义凯鑫厨具有限公司位于浙江省金华市武义县白洋街道百花山工业区，从事金属制厨房用器具、不锈钢制品（除门）的制造、销售，年产80万个金属制蛋糕模具。本项目于2022年12月01日在武义县经济商务局（粮食和物资储备局）完成了备案（项目代码：2212-330723-07-02-813369）。</w:t>
      </w:r>
    </w:p>
    <w:p w14:paraId="317519B5">
      <w:pPr>
        <w:pStyle w:val="3"/>
        <w:rPr>
          <w:rFonts w:hint="eastAsia" w:eastAsia="宋体"/>
          <w:lang w:val="en-US" w:eastAsia="zh-CN"/>
        </w:rPr>
      </w:pPr>
      <w:bookmarkStart w:id="6" w:name="_Toc906"/>
      <w:r>
        <w:rPr>
          <w:rFonts w:hint="eastAsia" w:eastAsia="宋体"/>
          <w:lang w:val="en-US" w:eastAsia="zh-CN"/>
        </w:rPr>
        <w:t>1.2项目审批情况</w:t>
      </w:r>
      <w:bookmarkEnd w:id="6"/>
    </w:p>
    <w:p w14:paraId="2A06F4D8">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2020年01月，企业委托浙江瑞阳环保科技有限公司编制完成了《武义凯鑫厨具有限公司年产70万个金属制蛋糕模具项目》，并于2020 年01月取得了金华市生态环境局武义分局的备案，批复文号为金环建武备2020017号，批复产能为70万个蛋糕模；2020年07月16日完成了排污许可证申领（证书编号：91330723325549106W001W）；2020年09月05日完成了自主环保竣工验收。</w:t>
      </w:r>
    </w:p>
    <w:p w14:paraId="15236D93">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2023年06月，企业委托浙江凯峰慈欣环保科技责任有限公司编制了《武义凯鑫厨具有限公司新增年产10万个金属制蛋糕模具项目环境影响登记表》，于2023年06月16日通过金华市生态环境局审批（金环建武备2023031）。</w:t>
      </w:r>
    </w:p>
    <w:p w14:paraId="3AB462E0">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2023年08月18日完成固定污染源排污登记（登记编号：91330723325549106W001W）。</w:t>
      </w:r>
    </w:p>
    <w:p w14:paraId="41E54A4F">
      <w:pPr>
        <w:pStyle w:val="3"/>
        <w:rPr>
          <w:rFonts w:hint="default" w:eastAsia="宋体"/>
          <w:lang w:val="en-US" w:eastAsia="zh-CN"/>
        </w:rPr>
      </w:pPr>
      <w:bookmarkStart w:id="7" w:name="_Toc20954"/>
      <w:r>
        <w:rPr>
          <w:rFonts w:hint="eastAsia" w:eastAsia="宋体"/>
          <w:lang w:val="en-US" w:eastAsia="zh-CN"/>
        </w:rPr>
        <w:t>1.3项目建设情况</w:t>
      </w:r>
      <w:bookmarkEnd w:id="7"/>
    </w:p>
    <w:bookmarkEnd w:id="5"/>
    <w:p w14:paraId="0B5C04A5">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武义凯鑫厨具有限公司租用武义县九鼎钢木承造有限公司位于浙江省金华市武义县白洋街道百花山工业区已建工业厂房作为生产用房，建筑面积7255m</w:t>
      </w:r>
      <w:r>
        <w:rPr>
          <w:rFonts w:hint="eastAsia" w:ascii="Times New Roman" w:hAnsi="Times New Roman" w:cs="Times New Roman"/>
          <w:color w:val="000000" w:themeColor="text1"/>
          <w:sz w:val="24"/>
          <w:szCs w:val="24"/>
          <w:vertAlign w:val="superscript"/>
          <w:lang w:val="en-US" w:eastAsia="zh-CN" w:bidi="zh-CN"/>
          <w14:textFill>
            <w14:solidFill>
              <w14:schemeClr w14:val="tx1"/>
            </w14:solidFill>
          </w14:textFill>
        </w:rPr>
        <w:t>2</w:t>
      </w: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。本项目为扩建项目，实际总投资</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590万</w:t>
      </w:r>
      <w:r>
        <w:rPr>
          <w:rFonts w:hint="eastAsia" w:ascii="Times New Roman" w:hAnsi="Times New Roman" w:cs="Times New Roman"/>
          <w:color w:val="000000" w:themeColor="text1"/>
          <w:sz w:val="24"/>
          <w:szCs w:val="24"/>
          <w:lang w:val="en-US" w:eastAsia="zh-CN" w:bidi="zh-CN"/>
          <w14:textFill>
            <w14:solidFill>
              <w14:schemeClr w14:val="tx1"/>
            </w14:solidFill>
          </w14:textFill>
        </w:rPr>
        <w:t>元，于2023年06月开工建设，至2023年11月30日竣工，2023年12月01日至2023年12月15日调试完成。淘汰厂房2层一条手动喷漆线，在厂房三层新增一条全自动喷漆挂线，同时新增压机、机械臂、振抛机、包装流水线等生产设备，其余设备依托原有，年生产能力新增10万个金属制蛋糕模具，扩建项目投产后全厂产能为80万个金属制蛋糕模具。</w:t>
      </w:r>
    </w:p>
    <w:p w14:paraId="4663EEE0">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项目现有员工</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40人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，采用单班制，8小时/班，年生产300天，厂区内不设食堂、宿舍。</w:t>
      </w:r>
    </w:p>
    <w:p w14:paraId="53E124AB">
      <w:pPr>
        <w:pStyle w:val="3"/>
        <w:rPr>
          <w:rFonts w:hint="default" w:eastAsia="宋体"/>
          <w:lang w:val="en-US" w:eastAsia="zh-CN"/>
        </w:rPr>
      </w:pPr>
      <w:bookmarkStart w:id="8" w:name="_Toc14226"/>
      <w:bookmarkStart w:id="9" w:name="_Hlk126492922"/>
      <w:r>
        <w:rPr>
          <w:rFonts w:hint="eastAsia" w:eastAsia="宋体"/>
          <w:lang w:val="en-US" w:eastAsia="zh-CN"/>
        </w:rPr>
        <w:t>1.4项目验收工作情况</w:t>
      </w:r>
      <w:bookmarkEnd w:id="8"/>
    </w:p>
    <w:bookmarkEnd w:id="9"/>
    <w:p w14:paraId="6B9F4A2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武义凯鑫厨具有限公司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并于2023年</w:t>
      </w:r>
      <w:r>
        <w:rPr>
          <w:rFonts w:hint="default" w:ascii="Times New Roman" w:hAnsi="Times New Roman" w:cs="Times New Roman"/>
          <w:color w:val="000000" w:themeColor="text1"/>
          <w:sz w:val="24"/>
          <w:szCs w:val="24"/>
          <w:lang w:val="en-US" w:bidi="zh-CN"/>
          <w14:textFill>
            <w14:solidFill>
              <w14:schemeClr w14:val="tx1"/>
            </w14:solidFill>
          </w14:textFill>
        </w:rPr>
        <w:t>12</w:t>
      </w:r>
      <w:r>
        <w:rPr>
          <w:rFonts w:hint="default" w:ascii="Times New Roman" w:hAnsi="Times New Roman" w:cs="Times New Roman"/>
          <w:color w:val="000000" w:themeColor="text1"/>
          <w:sz w:val="24"/>
          <w:szCs w:val="24"/>
          <w:lang w:bidi="zh-CN"/>
          <w14:textFill>
            <w14:solidFill>
              <w14:schemeClr w14:val="tx1"/>
            </w14:solidFill>
          </w14:textFill>
        </w:rPr>
        <w:t>月</w:t>
      </w:r>
      <w:r>
        <w:rPr>
          <w:rFonts w:hint="default" w:ascii="Times New Roman" w:hAnsi="Times New Roman" w:cs="Times New Roman"/>
          <w:color w:val="000000" w:themeColor="text1"/>
          <w:sz w:val="24"/>
          <w:szCs w:val="24"/>
          <w:lang w:val="en-US" w:bidi="zh-CN"/>
          <w14:textFill>
            <w14:solidFill>
              <w14:schemeClr w14:val="tx1"/>
            </w14:solidFill>
          </w14:textFill>
        </w:rPr>
        <w:t>18</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default" w:ascii="Times New Roman" w:hAnsi="Times New Roman" w:cs="Times New Roman"/>
          <w:color w:val="000000" w:themeColor="text1"/>
          <w:sz w:val="24"/>
          <w:szCs w:val="24"/>
          <w:lang w:val="en-US" w:bidi="zh-CN"/>
          <w14:textFill>
            <w14:solidFill>
              <w14:schemeClr w14:val="tx1"/>
            </w14:solidFill>
          </w14:textFill>
        </w:rPr>
        <w:t>12</w:t>
      </w:r>
      <w:r>
        <w:rPr>
          <w:rFonts w:hint="default" w:ascii="Times New Roman" w:hAnsi="Times New Roman" w:cs="Times New Roman"/>
          <w:color w:val="000000" w:themeColor="text1"/>
          <w:sz w:val="24"/>
          <w:szCs w:val="24"/>
          <w:lang w:bidi="zh-CN"/>
          <w14:textFill>
            <w14:solidFill>
              <w14:schemeClr w14:val="tx1"/>
            </w14:solidFill>
          </w14:textFill>
        </w:rPr>
        <w:t>月</w:t>
      </w:r>
      <w:r>
        <w:rPr>
          <w:rFonts w:hint="default" w:ascii="Times New Roman" w:hAnsi="Times New Roman" w:cs="Times New Roman"/>
          <w:color w:val="000000" w:themeColor="text1"/>
          <w:sz w:val="24"/>
          <w:szCs w:val="24"/>
          <w:lang w:val="en-US" w:bidi="zh-CN"/>
          <w14:textFill>
            <w14:solidFill>
              <w14:schemeClr w14:val="tx1"/>
            </w14:solidFill>
          </w14:textFill>
        </w:rPr>
        <w:t>19</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新增年产10万个金属制蛋糕模具项目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14:paraId="55083AE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highlight w:val="none"/>
          <w:lang w:bidi="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bidi="zh-CN"/>
          <w14:textFill>
            <w14:solidFill>
              <w14:schemeClr w14:val="tx1"/>
            </w14:solidFill>
          </w14:textFill>
        </w:rPr>
        <w:t>本次验收为对“武义凯鑫厨具有限公司</w:t>
      </w:r>
      <w:r>
        <w:rPr>
          <w:rFonts w:hint="eastAsia" w:ascii="Times New Roman" w:hAnsi="Times New Roman" w:cs="Times New Roman"/>
          <w:b/>
          <w:bCs/>
          <w:color w:val="000000" w:themeColor="text1"/>
          <w:sz w:val="24"/>
          <w:szCs w:val="24"/>
          <w:highlight w:val="none"/>
          <w:lang w:val="en-US" w:eastAsia="zh-CN" w:bidi="zh-CN"/>
          <w14:textFill>
            <w14:solidFill>
              <w14:schemeClr w14:val="tx1"/>
            </w14:solidFill>
          </w14:textFill>
        </w:rPr>
        <w:t>新增年产10万个金属制蛋糕模具项目</w:t>
      </w:r>
      <w:r>
        <w:rPr>
          <w:rFonts w:hint="eastAsia" w:ascii="Times New Roman" w:hAnsi="Times New Roman" w:cs="Times New Roman"/>
          <w:b/>
          <w:bCs/>
          <w:color w:val="000000" w:themeColor="text1"/>
          <w:sz w:val="24"/>
          <w:szCs w:val="24"/>
          <w:highlight w:val="none"/>
          <w:lang w:val="en-US" w:bidi="zh-CN"/>
          <w14:textFill>
            <w14:solidFill>
              <w14:schemeClr w14:val="tx1"/>
            </w14:solidFill>
          </w14:textFill>
        </w:rPr>
        <w:t>”的整体验收，本次验收产能为年产80万个金属制蛋糕模具</w:t>
      </w:r>
      <w:r>
        <w:rPr>
          <w:rFonts w:hint="default" w:ascii="Times New Roman" w:hAnsi="Times New Roman" w:eastAsia="宋体" w:cs="Times New Roman"/>
          <w:b/>
          <w:bCs/>
          <w:color w:val="auto"/>
          <w:kern w:val="0"/>
          <w:sz w:val="24"/>
          <w:szCs w:val="24"/>
          <w:highlight w:val="none"/>
        </w:rPr>
        <w:t>。</w:t>
      </w:r>
    </w:p>
    <w:p w14:paraId="39C0D35A">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14:paraId="07941762">
      <w:pPr>
        <w:pStyle w:val="2"/>
      </w:pPr>
      <w:r>
        <w:br w:type="page"/>
      </w:r>
      <w:bookmarkStart w:id="10" w:name="_Toc28832"/>
      <w:r>
        <w:rPr>
          <w:rFonts w:hint="eastAsia"/>
        </w:rPr>
        <w:t>2验收依据</w:t>
      </w:r>
      <w:bookmarkEnd w:id="10"/>
    </w:p>
    <w:p w14:paraId="0268F954">
      <w:pPr>
        <w:pStyle w:val="3"/>
        <w:rPr>
          <w:rFonts w:eastAsia="宋体"/>
          <w:highlight w:val="none"/>
        </w:rPr>
      </w:pPr>
      <w:bookmarkStart w:id="11" w:name="_Toc17244"/>
      <w:bookmarkStart w:id="12" w:name="_Toc20591"/>
      <w:bookmarkStart w:id="13" w:name="_Toc9651"/>
      <w:bookmarkStart w:id="14" w:name="_Toc12874"/>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14:paraId="4278EB4A">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18677"/>
      <w:bookmarkStart w:id="16" w:name="_Toc30754"/>
      <w:bookmarkStart w:id="17" w:name="_Toc73"/>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w:t>
      </w:r>
      <w:r>
        <w:rPr>
          <w:rFonts w:hint="eastAsia" w:ascii="Times New Roman" w:hAnsi="Times New Roman" w:eastAsia="宋体" w:cs="Times New Roman"/>
          <w:kern w:val="0"/>
          <w:sz w:val="24"/>
          <w:highlight w:val="none"/>
          <w:lang w:val="en-US" w:eastAsia="zh-CN"/>
        </w:rPr>
        <w:t>0</w:t>
      </w:r>
      <w:r>
        <w:rPr>
          <w:rFonts w:hint="eastAsia" w:ascii="Times New Roman" w:hAnsi="Times New Roman" w:eastAsia="宋体" w:cs="Times New Roman"/>
          <w:kern w:val="0"/>
          <w:sz w:val="24"/>
          <w:highlight w:val="none"/>
        </w:rPr>
        <w:t>1月</w:t>
      </w:r>
      <w:r>
        <w:rPr>
          <w:rFonts w:hint="eastAsia" w:ascii="Times New Roman" w:hAnsi="Times New Roman" w:eastAsia="宋体" w:cs="Times New Roman"/>
          <w:kern w:val="0"/>
          <w:sz w:val="24"/>
          <w:highlight w:val="none"/>
          <w:lang w:val="en-US" w:eastAsia="zh-CN"/>
        </w:rPr>
        <w:t>0</w:t>
      </w:r>
      <w:r>
        <w:rPr>
          <w:rFonts w:hint="eastAsia" w:ascii="Times New Roman" w:hAnsi="Times New Roman" w:eastAsia="宋体" w:cs="Times New Roman"/>
          <w:kern w:val="0"/>
          <w:sz w:val="24"/>
          <w:highlight w:val="none"/>
        </w:rPr>
        <w:t>1日起施行）</w:t>
      </w:r>
      <w:r>
        <w:rPr>
          <w:rFonts w:ascii="Times New Roman" w:hAnsi="Times New Roman" w:eastAsia="宋体" w:cs="Times New Roman"/>
          <w:kern w:val="0"/>
          <w:sz w:val="24"/>
          <w:highlight w:val="none"/>
        </w:rPr>
        <w:t>；</w:t>
      </w:r>
    </w:p>
    <w:p w14:paraId="7E356C3B">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w:t>
      </w:r>
      <w:r>
        <w:rPr>
          <w:rFonts w:hint="eastAsia" w:ascii="Times New Roman" w:hAnsi="Times New Roman" w:eastAsia="宋体" w:cs="Times New Roman"/>
          <w:kern w:val="0"/>
          <w:sz w:val="24"/>
          <w:highlight w:val="none"/>
          <w:lang w:val="en-US" w:eastAsia="zh-CN"/>
        </w:rPr>
        <w:t>0</w:t>
      </w:r>
      <w:r>
        <w:rPr>
          <w:rFonts w:hint="eastAsia" w:ascii="Times New Roman" w:hAnsi="Times New Roman" w:eastAsia="宋体" w:cs="Times New Roman"/>
          <w:kern w:val="0"/>
          <w:sz w:val="24"/>
          <w:highlight w:val="none"/>
        </w:rPr>
        <w:t>1日起实施）；</w:t>
      </w:r>
    </w:p>
    <w:p w14:paraId="2663CD41">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14:paraId="18F985CF">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w:t>
      </w:r>
      <w:r>
        <w:rPr>
          <w:rFonts w:hint="eastAsia" w:ascii="Times New Roman" w:hAnsi="Times New Roman" w:eastAsia="宋体" w:cs="Times New Roman"/>
          <w:kern w:val="0"/>
          <w:sz w:val="24"/>
          <w:highlight w:val="none"/>
          <w:lang w:val="en-US" w:eastAsia="zh-CN"/>
        </w:rPr>
        <w:t>0</w:t>
      </w:r>
      <w:r>
        <w:rPr>
          <w:rFonts w:hint="eastAsia" w:ascii="Times New Roman" w:hAnsi="Times New Roman" w:eastAsia="宋体" w:cs="Times New Roman"/>
          <w:kern w:val="0"/>
          <w:sz w:val="24"/>
          <w:highlight w:val="none"/>
        </w:rPr>
        <w:t>2月10日起实施)；</w:t>
      </w:r>
    </w:p>
    <w:p w14:paraId="23515E87">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14:paraId="211F6A31">
      <w:pPr>
        <w:pStyle w:val="3"/>
        <w:rPr>
          <w:rFonts w:eastAsia="宋体"/>
          <w:highlight w:val="none"/>
        </w:rPr>
      </w:pPr>
      <w:bookmarkStart w:id="18" w:name="_Toc25729"/>
      <w:r>
        <w:rPr>
          <w:rFonts w:eastAsia="宋体"/>
          <w:highlight w:val="none"/>
        </w:rPr>
        <w:t>2.2建设项目竣工环境保护验收技术规范</w:t>
      </w:r>
      <w:bookmarkEnd w:id="15"/>
      <w:bookmarkEnd w:id="16"/>
      <w:bookmarkEnd w:id="17"/>
      <w:bookmarkEnd w:id="18"/>
    </w:p>
    <w:p w14:paraId="5F062AC2">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14:paraId="0B953947">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14:paraId="6278D4B3">
      <w:pPr>
        <w:pStyle w:val="3"/>
        <w:rPr>
          <w:rFonts w:eastAsia="宋体"/>
        </w:rPr>
      </w:pPr>
      <w:bookmarkStart w:id="19" w:name="_Toc2924"/>
      <w:bookmarkStart w:id="20" w:name="_Toc23835"/>
      <w:bookmarkStart w:id="21" w:name="_Toc3185"/>
      <w:bookmarkStart w:id="22" w:name="_Toc28460"/>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14:paraId="29476DCF">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武义凯鑫厨具有限公司新增年产10万个金属制蛋糕模具项目环境影响登记表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（浙江凯峰慈欣环保科技责任有限公司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11</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14:paraId="26E79077">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浙江省“区域环评+环境标准”改革项目环境影响登记表备案通知书</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金环建武备2023031，</w:t>
      </w:r>
      <w:r>
        <w:rPr>
          <w:rFonts w:hint="eastAsia" w:ascii="Times New Roman" w:hAnsi="Times New Roman" w:eastAsia="宋体" w:cs="Times New Roman"/>
          <w:kern w:val="0"/>
          <w:sz w:val="24"/>
          <w:lang w:val="en-US" w:eastAsia="zh-CN"/>
        </w:rPr>
        <w:t>2023年11月28日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14:paraId="4DACF05E">
      <w:pPr>
        <w:pStyle w:val="3"/>
        <w:rPr>
          <w:rFonts w:eastAsia="宋体"/>
        </w:rPr>
      </w:pPr>
      <w:bookmarkStart w:id="24" w:name="_Toc5734"/>
      <w:r>
        <w:rPr>
          <w:rFonts w:eastAsia="宋体"/>
        </w:rPr>
        <w:t>2.4其他相关文件</w:t>
      </w:r>
      <w:bookmarkEnd w:id="24"/>
    </w:p>
    <w:p w14:paraId="3C85D27C">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14:paraId="70472882">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检测报告》（高鑫（验）字20240102）（浙江高鑫安全检测科技有限公司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14:paraId="1C33328D">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5" w:name="_Toc232675147"/>
      <w:r>
        <w:rPr>
          <w:rFonts w:hint="eastAsia" w:ascii="Times New Roman" w:hAnsi="Times New Roman" w:eastAsia="宋体" w:cs="Times New Roman"/>
          <w:kern w:val="0"/>
          <w:sz w:val="24"/>
          <w:lang w:val="en-US" w:eastAsia="zh-CN"/>
        </w:rPr>
        <w:t>（3）《武义凯鑫厨具有限公司废气处理设备技术方案》（武义碧波环保科技有限公司编制）；</w:t>
      </w:r>
      <w:bookmarkEnd w:id="25"/>
    </w:p>
    <w:p w14:paraId="1E48DD92">
      <w:pPr>
        <w:widowControl/>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（4）《武义凯鑫厨具有限公司生产废水处理项目设计方案》（武义碧波环保科技有限公司编制）；</w:t>
      </w:r>
    </w:p>
    <w:p w14:paraId="23F63F7B">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（5）企业提供的用水量、监测期间生产工况、固废产生量等。</w:t>
      </w:r>
    </w:p>
    <w:p w14:paraId="1C5033CE">
      <w:pPr>
        <w:pStyle w:val="13"/>
        <w:rPr>
          <w:rFonts w:hint="eastAsia" w:ascii="Times New Roman" w:hAnsi="Times New Roman" w:eastAsia="宋体" w:cs="Times New Roman"/>
          <w:kern w:val="0"/>
          <w:sz w:val="24"/>
        </w:rPr>
      </w:pPr>
    </w:p>
    <w:p w14:paraId="428C0DCD">
      <w:pPr>
        <w:pStyle w:val="13"/>
        <w:rPr>
          <w:rFonts w:hint="eastAsia" w:ascii="Times New Roman" w:hAnsi="Times New Roman" w:eastAsia="宋体" w:cs="Times New Roman"/>
          <w:kern w:val="0"/>
          <w:sz w:val="24"/>
        </w:rPr>
      </w:pPr>
    </w:p>
    <w:p w14:paraId="38A18223">
      <w:pPr>
        <w:pStyle w:val="13"/>
        <w:rPr>
          <w:rFonts w:hint="eastAsia" w:ascii="Times New Roman" w:hAnsi="Times New Roman" w:eastAsia="宋体" w:cs="Times New Roman"/>
          <w:kern w:val="0"/>
          <w:sz w:val="24"/>
        </w:rPr>
      </w:pPr>
    </w:p>
    <w:p w14:paraId="773D5D18">
      <w:pPr>
        <w:pStyle w:val="13"/>
        <w:rPr>
          <w:rFonts w:hint="eastAsia" w:ascii="Times New Roman" w:hAnsi="Times New Roman" w:eastAsia="宋体" w:cs="Times New Roman"/>
          <w:kern w:val="0"/>
          <w:sz w:val="24"/>
        </w:rPr>
      </w:pPr>
    </w:p>
    <w:p w14:paraId="128A9A8E">
      <w:pPr>
        <w:pStyle w:val="13"/>
        <w:rPr>
          <w:rFonts w:hint="eastAsia" w:ascii="Times New Roman" w:hAnsi="Times New Roman" w:eastAsia="宋体" w:cs="Times New Roman"/>
          <w:kern w:val="0"/>
          <w:sz w:val="24"/>
        </w:rPr>
      </w:pPr>
    </w:p>
    <w:p w14:paraId="2016D01E">
      <w:pPr>
        <w:pStyle w:val="13"/>
        <w:rPr>
          <w:rFonts w:hint="eastAsia" w:ascii="Times New Roman" w:hAnsi="Times New Roman" w:eastAsia="宋体" w:cs="Times New Roman"/>
          <w:kern w:val="0"/>
          <w:sz w:val="24"/>
        </w:rPr>
      </w:pPr>
    </w:p>
    <w:p w14:paraId="4C25950F">
      <w:pPr>
        <w:pStyle w:val="13"/>
        <w:rPr>
          <w:rFonts w:hint="eastAsia" w:ascii="Times New Roman" w:hAnsi="Times New Roman" w:eastAsia="宋体" w:cs="Times New Roman"/>
          <w:kern w:val="0"/>
          <w:sz w:val="24"/>
        </w:rPr>
      </w:pPr>
    </w:p>
    <w:p w14:paraId="7B286BD4">
      <w:pPr>
        <w:pStyle w:val="13"/>
        <w:rPr>
          <w:rFonts w:hint="eastAsia" w:ascii="Times New Roman" w:hAnsi="Times New Roman" w:eastAsia="宋体" w:cs="Times New Roman"/>
          <w:kern w:val="0"/>
          <w:sz w:val="24"/>
        </w:rPr>
      </w:pPr>
    </w:p>
    <w:p w14:paraId="48835B08">
      <w:pPr>
        <w:pStyle w:val="13"/>
        <w:rPr>
          <w:rFonts w:hint="eastAsia" w:ascii="Times New Roman" w:hAnsi="Times New Roman" w:eastAsia="宋体" w:cs="Times New Roman"/>
          <w:kern w:val="0"/>
          <w:sz w:val="24"/>
        </w:rPr>
      </w:pPr>
    </w:p>
    <w:p w14:paraId="1A241FBC">
      <w:pPr>
        <w:pStyle w:val="13"/>
        <w:rPr>
          <w:rFonts w:hint="eastAsia" w:ascii="Times New Roman" w:hAnsi="Times New Roman" w:eastAsia="宋体" w:cs="Times New Roman"/>
          <w:kern w:val="0"/>
          <w:sz w:val="24"/>
        </w:rPr>
      </w:pPr>
    </w:p>
    <w:p w14:paraId="68AEBEFF">
      <w:pPr>
        <w:pStyle w:val="13"/>
        <w:rPr>
          <w:rFonts w:hint="eastAsia" w:ascii="Times New Roman" w:hAnsi="Times New Roman" w:eastAsia="宋体" w:cs="Times New Roman"/>
          <w:kern w:val="0"/>
          <w:sz w:val="24"/>
        </w:rPr>
      </w:pPr>
    </w:p>
    <w:p w14:paraId="3652EDFD">
      <w:pPr>
        <w:pStyle w:val="13"/>
        <w:rPr>
          <w:rFonts w:hint="eastAsia" w:ascii="Times New Roman" w:hAnsi="Times New Roman" w:eastAsia="宋体" w:cs="Times New Roman"/>
          <w:kern w:val="0"/>
          <w:sz w:val="24"/>
        </w:rPr>
      </w:pPr>
    </w:p>
    <w:p w14:paraId="21856DE3">
      <w:pPr>
        <w:pStyle w:val="13"/>
        <w:rPr>
          <w:rFonts w:hint="eastAsia" w:ascii="Times New Roman" w:hAnsi="Times New Roman" w:eastAsia="宋体" w:cs="Times New Roman"/>
          <w:kern w:val="0"/>
          <w:sz w:val="24"/>
        </w:rPr>
      </w:pPr>
    </w:p>
    <w:p w14:paraId="72CFED59">
      <w:pPr>
        <w:pStyle w:val="13"/>
        <w:rPr>
          <w:rFonts w:hint="eastAsia" w:ascii="Times New Roman" w:hAnsi="Times New Roman" w:eastAsia="宋体" w:cs="Times New Roman"/>
          <w:kern w:val="0"/>
          <w:sz w:val="24"/>
        </w:rPr>
      </w:pPr>
    </w:p>
    <w:p w14:paraId="61EDBFAF">
      <w:pPr>
        <w:pStyle w:val="13"/>
        <w:rPr>
          <w:rFonts w:hint="eastAsia" w:ascii="Times New Roman" w:hAnsi="Times New Roman" w:eastAsia="宋体" w:cs="Times New Roman"/>
          <w:kern w:val="0"/>
          <w:sz w:val="24"/>
        </w:rPr>
      </w:pPr>
    </w:p>
    <w:p w14:paraId="313523C0">
      <w:pPr>
        <w:pStyle w:val="14"/>
        <w:rPr>
          <w:rFonts w:hint="eastAsia" w:ascii="Times New Roman" w:hAnsi="Times New Roman" w:eastAsia="宋体" w:cs="Times New Roman"/>
          <w:kern w:val="0"/>
          <w:sz w:val="24"/>
        </w:rPr>
      </w:pPr>
    </w:p>
    <w:p w14:paraId="7C2427EE">
      <w:pPr>
        <w:rPr>
          <w:rFonts w:hint="eastAsia"/>
        </w:rPr>
      </w:pPr>
    </w:p>
    <w:p w14:paraId="6875C3FD">
      <w:pPr>
        <w:pStyle w:val="2"/>
        <w:rPr>
          <w:rFonts w:hint="default" w:eastAsiaTheme="minorEastAsia"/>
          <w:lang w:val="en-US" w:eastAsia="zh-CN"/>
        </w:rPr>
      </w:pPr>
      <w:bookmarkStart w:id="26" w:name="_Toc2417"/>
      <w:r>
        <w:rPr>
          <w:rFonts w:hint="eastAsia"/>
          <w:lang w:val="en-US" w:eastAsia="zh-CN"/>
        </w:rPr>
        <w:t>3项目建设情况</w:t>
      </w:r>
      <w:bookmarkEnd w:id="26"/>
    </w:p>
    <w:p w14:paraId="12D61A71">
      <w:pPr>
        <w:pStyle w:val="3"/>
        <w:rPr>
          <w:rFonts w:eastAsia="宋体"/>
        </w:rPr>
      </w:pPr>
      <w:bookmarkStart w:id="27" w:name="_Toc31444"/>
      <w:r>
        <w:rPr>
          <w:rFonts w:eastAsia="宋体"/>
        </w:rPr>
        <w:t>3.1地理位置及平面布置</w:t>
      </w:r>
      <w:bookmarkEnd w:id="27"/>
    </w:p>
    <w:p w14:paraId="1C464E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武义凯鑫厨具有限公司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浙江省金华市武义县白洋街道百花山工业区</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lang w:val="en-US" w:eastAsia="zh-CN"/>
        </w:rPr>
        <w:t>东经119.825382°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北纬28.955234°</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东侧为浙江本牛工贸有限公司，南侧为浙江嘉信门业有限公司，西侧为其他工业厂房，北侧为牡丹路（二级公路）。与本项目最近的敏感点为东侧130m的东方五金城、南侧160m的石甲洞村。</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厂区</w:t>
      </w:r>
      <w:r>
        <w:rPr>
          <w:rFonts w:hint="eastAsia" w:ascii="Times New Roman" w:hAnsi="Times New Roman" w:cs="Times New Roman"/>
          <w:sz w:val="24"/>
          <w:szCs w:val="24"/>
        </w:rPr>
        <w:t>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项目周边主要敏感保护目标见</w:t>
      </w:r>
      <w:r>
        <w:rPr>
          <w:rFonts w:hint="eastAsia" w:ascii="Times New Roman" w:hAnsi="Times New Roman" w:cs="Times New Roman"/>
          <w:sz w:val="24"/>
          <w:szCs w:val="24"/>
          <w:lang w:eastAsia="zh-CN"/>
        </w:rPr>
        <w:t>周边敏感点分布情况表3.1-</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1"/>
      </w:tblGrid>
      <w:tr w14:paraId="312E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atLeast"/>
        </w:trPr>
        <w:tc>
          <w:tcPr>
            <w:tcW w:w="9401" w:type="dxa"/>
            <w:tcBorders>
              <w:top w:val="nil"/>
              <w:left w:val="nil"/>
              <w:bottom w:val="nil"/>
              <w:right w:val="nil"/>
            </w:tcBorders>
            <w:vAlign w:val="center"/>
          </w:tcPr>
          <w:p w14:paraId="2E46E334">
            <w:pPr>
              <w:adjustRightInd w:val="0"/>
              <w:snapToGrid w:val="0"/>
              <w:spacing w:line="240" w:lineRule="auto"/>
              <w:jc w:val="center"/>
              <w:rPr>
                <w:vertAlign w:val="baseline"/>
              </w:rPr>
            </w:pPr>
            <w:r>
              <w:drawing>
                <wp:inline distT="0" distB="0" distL="114300" distR="114300">
                  <wp:extent cx="5830570" cy="4364990"/>
                  <wp:effectExtent l="0" t="0" r="17780" b="1651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11"/>
                          <a:stretch>
                            <a:fillRect/>
                          </a:stretch>
                        </pic:blipFill>
                        <pic:spPr>
                          <a:xfrm>
                            <a:off x="0" y="0"/>
                            <a:ext cx="5830570" cy="4364990"/>
                          </a:xfrm>
                          <a:prstGeom prst="rect">
                            <a:avLst/>
                          </a:prstGeom>
                          <a:noFill/>
                          <a:ln>
                            <a:noFill/>
                          </a:ln>
                        </pic:spPr>
                      </pic:pic>
                    </a:graphicData>
                  </a:graphic>
                </wp:inline>
              </w:drawing>
            </w:r>
          </w:p>
        </w:tc>
      </w:tr>
      <w:tr w14:paraId="1BDA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14:paraId="202490DF">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14:paraId="7150F9EE">
      <w:pPr>
        <w:adjustRightInd w:val="0"/>
        <w:snapToGrid w:val="0"/>
        <w:spacing w:line="360" w:lineRule="auto"/>
        <w:jc w:val="center"/>
        <w:rPr>
          <w:rFonts w:ascii="Times New Roman" w:hAnsi="Times New Roman" w:cs="Times New Roman"/>
          <w:sz w:val="24"/>
          <w:szCs w:val="24"/>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1"/>
      </w:tblGrid>
      <w:tr w14:paraId="65C4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0" w:hRule="atLeast"/>
        </w:trPr>
        <w:tc>
          <w:tcPr>
            <w:tcW w:w="9401" w:type="dxa"/>
            <w:tcBorders>
              <w:top w:val="nil"/>
              <w:left w:val="nil"/>
              <w:bottom w:val="nil"/>
              <w:right w:val="nil"/>
            </w:tcBorders>
            <w:vAlign w:val="center"/>
          </w:tcPr>
          <w:p w14:paraId="5956E973">
            <w:pPr>
              <w:adjustRightInd w:val="0"/>
              <w:snapToGrid w:val="0"/>
              <w:spacing w:line="240" w:lineRule="auto"/>
              <w:jc w:val="center"/>
              <w:rPr>
                <w:vertAlign w:val="baseline"/>
              </w:rPr>
            </w:pPr>
            <w:r>
              <w:drawing>
                <wp:inline distT="0" distB="0" distL="114300" distR="114300">
                  <wp:extent cx="5824855" cy="4879340"/>
                  <wp:effectExtent l="0" t="0" r="4445" b="16510"/>
                  <wp:docPr id="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pic:cNvPicPr>
                            <a:picLocks noChangeAspect="1"/>
                          </pic:cNvPicPr>
                        </pic:nvPicPr>
                        <pic:blipFill>
                          <a:blip r:embed="rId12"/>
                          <a:stretch>
                            <a:fillRect/>
                          </a:stretch>
                        </pic:blipFill>
                        <pic:spPr>
                          <a:xfrm>
                            <a:off x="0" y="0"/>
                            <a:ext cx="5824855" cy="4879340"/>
                          </a:xfrm>
                          <a:prstGeom prst="rect">
                            <a:avLst/>
                          </a:prstGeom>
                          <a:noFill/>
                          <a:ln>
                            <a:noFill/>
                          </a:ln>
                        </pic:spPr>
                      </pic:pic>
                    </a:graphicData>
                  </a:graphic>
                </wp:inline>
              </w:drawing>
            </w:r>
          </w:p>
        </w:tc>
      </w:tr>
      <w:tr w14:paraId="0586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14:paraId="3CD4F1DC">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14:paraId="49C22A86">
      <w:pPr>
        <w:widowControl/>
        <w:spacing w:line="360" w:lineRule="auto"/>
        <w:jc w:val="center"/>
        <w:rPr>
          <w:rFonts w:hint="default" w:ascii="Times New Roman" w:hAnsi="Times New Roman" w:eastAsia="宋体" w:cs="Times New Roman"/>
          <w:b/>
          <w:bCs/>
          <w:sz w:val="21"/>
          <w:szCs w:val="21"/>
        </w:rPr>
      </w:pPr>
    </w:p>
    <w:p w14:paraId="149EB6B8">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2"/>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2123"/>
        <w:gridCol w:w="4593"/>
      </w:tblGrid>
      <w:tr w14:paraId="585E8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14:paraId="58F9D2DA">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14:paraId="01B1796C">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14:paraId="78B7E6D5">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14:paraId="593E8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14:paraId="2A4AA891">
            <w:pPr>
              <w:spacing w:line="360" w:lineRule="auto"/>
              <w:jc w:val="center"/>
              <w:rPr>
                <w:rFonts w:hint="default" w:ascii="Times New Roman" w:hAnsi="Times New Roman" w:eastAsia="宋体" w:cs="Times New Roman"/>
                <w:sz w:val="21"/>
                <w:szCs w:val="21"/>
              </w:rPr>
            </w:pPr>
            <w:r>
              <w:rPr>
                <w:rFonts w:hint="eastAsia" w:ascii="Times New Roman" w:hAnsi="Times New Roman" w:cs="Times New Roman"/>
                <w:szCs w:val="21"/>
              </w:rPr>
              <w:t>东</w:t>
            </w:r>
          </w:p>
        </w:tc>
        <w:tc>
          <w:tcPr>
            <w:tcW w:w="2335" w:type="dxa"/>
            <w:tcBorders>
              <w:right w:val="single" w:color="auto" w:sz="4" w:space="0"/>
            </w:tcBorders>
            <w:vAlign w:val="center"/>
          </w:tcPr>
          <w:p w14:paraId="1B6A2786">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相邻</w:t>
            </w:r>
          </w:p>
        </w:tc>
        <w:tc>
          <w:tcPr>
            <w:tcW w:w="5102" w:type="dxa"/>
            <w:tcBorders>
              <w:left w:val="single" w:color="auto" w:sz="4" w:space="0"/>
            </w:tcBorders>
            <w:vAlign w:val="center"/>
          </w:tcPr>
          <w:p w14:paraId="43C6A8C9">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浙江本牛工贸有限公司</w:t>
            </w:r>
          </w:p>
        </w:tc>
      </w:tr>
      <w:tr w14:paraId="08CAA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14:paraId="2973CB43">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南</w:t>
            </w:r>
          </w:p>
        </w:tc>
        <w:tc>
          <w:tcPr>
            <w:tcW w:w="2335" w:type="dxa"/>
            <w:tcBorders>
              <w:right w:val="single" w:color="auto" w:sz="4" w:space="0"/>
            </w:tcBorders>
            <w:vAlign w:val="center"/>
          </w:tcPr>
          <w:p w14:paraId="6684400D">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相邻</w:t>
            </w:r>
          </w:p>
        </w:tc>
        <w:tc>
          <w:tcPr>
            <w:tcW w:w="5102" w:type="dxa"/>
            <w:tcBorders>
              <w:left w:val="single" w:color="auto" w:sz="4" w:space="0"/>
            </w:tcBorders>
            <w:vAlign w:val="center"/>
          </w:tcPr>
          <w:p w14:paraId="12A5FA85">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浙江嘉信门业有限公司</w:t>
            </w:r>
          </w:p>
        </w:tc>
      </w:tr>
      <w:tr w14:paraId="46EE4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14:paraId="5F8E73D4">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西</w:t>
            </w:r>
          </w:p>
        </w:tc>
        <w:tc>
          <w:tcPr>
            <w:tcW w:w="2335" w:type="dxa"/>
            <w:tcBorders>
              <w:right w:val="single" w:color="auto" w:sz="4" w:space="0"/>
            </w:tcBorders>
            <w:vAlign w:val="center"/>
          </w:tcPr>
          <w:p w14:paraId="6065B524">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相邻</w:t>
            </w:r>
          </w:p>
        </w:tc>
        <w:tc>
          <w:tcPr>
            <w:tcW w:w="5102" w:type="dxa"/>
            <w:tcBorders>
              <w:left w:val="single" w:color="auto" w:sz="4" w:space="0"/>
            </w:tcBorders>
            <w:vAlign w:val="center"/>
          </w:tcPr>
          <w:p w14:paraId="50983E6C">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其他工业厂房</w:t>
            </w:r>
          </w:p>
        </w:tc>
      </w:tr>
      <w:tr w14:paraId="4B83C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14:paraId="7C7E03EC">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北</w:t>
            </w:r>
          </w:p>
        </w:tc>
        <w:tc>
          <w:tcPr>
            <w:tcW w:w="2335" w:type="dxa"/>
            <w:tcBorders>
              <w:right w:val="single" w:color="auto" w:sz="4" w:space="0"/>
            </w:tcBorders>
            <w:vAlign w:val="center"/>
          </w:tcPr>
          <w:p w14:paraId="0CBC2D6E">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相邻</w:t>
            </w:r>
          </w:p>
        </w:tc>
        <w:tc>
          <w:tcPr>
            <w:tcW w:w="5102" w:type="dxa"/>
            <w:tcBorders>
              <w:left w:val="single" w:color="auto" w:sz="4" w:space="0"/>
            </w:tcBorders>
            <w:vAlign w:val="center"/>
          </w:tcPr>
          <w:p w14:paraId="3BA7356D">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牡丹路（二级公路）</w:t>
            </w:r>
          </w:p>
        </w:tc>
      </w:tr>
    </w:tbl>
    <w:p w14:paraId="0D908E08">
      <w:pPr>
        <w:widowControl/>
        <w:spacing w:line="360" w:lineRule="auto"/>
        <w:jc w:val="center"/>
        <w:rPr>
          <w:rFonts w:hint="default" w:ascii="Times New Roman" w:hAnsi="Times New Roman" w:eastAsia="宋体" w:cs="Times New Roman"/>
          <w:b/>
          <w:bCs/>
          <w:sz w:val="21"/>
          <w:szCs w:val="21"/>
          <w:lang w:val="en-US" w:eastAsia="zh-CN"/>
        </w:rPr>
      </w:pPr>
    </w:p>
    <w:p w14:paraId="4756FBE7">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表3.1</w:t>
      </w:r>
      <w:r>
        <w:rPr>
          <w:rFonts w:hint="default" w:ascii="Times New Roman" w:hAnsi="Times New Roman" w:eastAsia="宋体" w:cs="Times New Roman"/>
          <w:b/>
          <w:bCs/>
          <w:sz w:val="21"/>
          <w:szCs w:val="21"/>
          <w:lang w:val="en-US" w:eastAsia="zh-CN"/>
        </w:rPr>
        <w:noBreakHyphen/>
      </w:r>
      <w:r>
        <w:rPr>
          <w:rFonts w:hint="default" w:ascii="Times New Roman" w:hAnsi="Times New Roman" w:eastAsia="宋体" w:cs="Times New Roman"/>
          <w:b/>
          <w:bCs/>
          <w:sz w:val="21"/>
          <w:szCs w:val="21"/>
          <w:lang w:val="en-US" w:eastAsia="zh-CN"/>
        </w:rPr>
        <w:t>2周边敏感点分布情况表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
        <w:gridCol w:w="1406"/>
        <w:gridCol w:w="1406"/>
        <w:gridCol w:w="990"/>
        <w:gridCol w:w="1822"/>
        <w:gridCol w:w="1230"/>
        <w:gridCol w:w="1585"/>
        <w:gridCol w:w="34"/>
      </w:tblGrid>
      <w:tr w14:paraId="77F3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43" w:type="dxa"/>
          <w:wAfter w:w="43" w:type="dxa"/>
          <w:trHeight w:val="425" w:hRule="atLeast"/>
          <w:jc w:val="center"/>
        </w:trPr>
        <w:tc>
          <w:tcPr>
            <w:tcW w:w="1552" w:type="dxa"/>
            <w:vAlign w:val="center"/>
          </w:tcPr>
          <w:p w14:paraId="0C43380F">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14:paraId="4A3DC35F">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14:paraId="1006A755">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14:paraId="770B1AA8">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14:paraId="09EA2515">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14:paraId="72B50D8D">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14:paraId="2C868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43" w:type="dxa"/>
          <w:wAfter w:w="43" w:type="dxa"/>
          <w:trHeight w:val="425" w:hRule="atLeast"/>
          <w:jc w:val="center"/>
        </w:trPr>
        <w:tc>
          <w:tcPr>
            <w:tcW w:w="1552" w:type="dxa"/>
            <w:vMerge w:val="restart"/>
            <w:vAlign w:val="center"/>
          </w:tcPr>
          <w:p w14:paraId="61B2830D">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14:paraId="71E3E638">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szCs w:val="21"/>
                <w:lang w:val="en-US" w:eastAsia="zh-CN"/>
              </w:rPr>
              <w:t>东方五金城</w:t>
            </w:r>
          </w:p>
        </w:tc>
        <w:tc>
          <w:tcPr>
            <w:tcW w:w="1085" w:type="dxa"/>
            <w:tcBorders>
              <w:left w:val="single" w:color="auto" w:sz="4" w:space="0"/>
            </w:tcBorders>
            <w:vAlign w:val="center"/>
          </w:tcPr>
          <w:p w14:paraId="16A8EC4B">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宋体" w:hAnsi="宋体" w:eastAsia="宋体" w:cs="Times New Roman"/>
                <w:b w:val="0"/>
                <w:bCs w:val="0"/>
                <w:szCs w:val="21"/>
                <w:lang w:val="en-US" w:eastAsia="zh-CN"/>
              </w:rPr>
              <w:t>东</w:t>
            </w:r>
          </w:p>
        </w:tc>
        <w:tc>
          <w:tcPr>
            <w:tcW w:w="2019" w:type="dxa"/>
            <w:vAlign w:val="center"/>
          </w:tcPr>
          <w:p w14:paraId="786FDD34">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eastAsia="宋体" w:cs="Times New Roman"/>
                <w:b w:val="0"/>
                <w:bCs w:val="0"/>
                <w:kern w:val="2"/>
                <w:sz w:val="21"/>
                <w:szCs w:val="21"/>
                <w:lang w:val="en-US" w:eastAsia="zh-CN" w:bidi="ar-SA"/>
              </w:rPr>
              <w:t>130</w:t>
            </w:r>
            <w:r>
              <w:rPr>
                <w:rFonts w:hint="default" w:ascii="Times New Roman" w:hAnsi="Times New Roman" w:eastAsia="宋体" w:cs="Times New Roman"/>
                <w:b w:val="0"/>
                <w:bCs w:val="0"/>
                <w:kern w:val="2"/>
                <w:sz w:val="21"/>
                <w:szCs w:val="21"/>
                <w:lang w:val="en-US" w:eastAsia="zh-CN" w:bidi="ar-SA"/>
              </w:rPr>
              <w:t>m</w:t>
            </w:r>
          </w:p>
        </w:tc>
        <w:tc>
          <w:tcPr>
            <w:tcW w:w="1354" w:type="dxa"/>
            <w:vMerge w:val="restart"/>
            <w:vAlign w:val="center"/>
          </w:tcPr>
          <w:p w14:paraId="55D88977">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1753" w:type="dxa"/>
            <w:vMerge w:val="restart"/>
            <w:vAlign w:val="center"/>
          </w:tcPr>
          <w:p w14:paraId="6669FA1D">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r w14:paraId="1DC94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gridAfter w:val="1"/>
          <w:wBefore w:w="43" w:type="dxa"/>
          <w:wAfter w:w="43" w:type="dxa"/>
          <w:trHeight w:val="425" w:hRule="atLeast"/>
          <w:jc w:val="center"/>
        </w:trPr>
        <w:tc>
          <w:tcPr>
            <w:tcW w:w="1552" w:type="dxa"/>
            <w:vMerge w:val="continue"/>
            <w:vAlign w:val="center"/>
          </w:tcPr>
          <w:p w14:paraId="6B607EBB">
            <w:pPr>
              <w:spacing w:line="240" w:lineRule="auto"/>
              <w:jc w:val="center"/>
              <w:rPr>
                <w:rFonts w:hint="default" w:ascii="Times New Roman" w:hAnsi="Times New Roman" w:eastAsia="宋体" w:cs="Times New Roman"/>
                <w:sz w:val="21"/>
                <w:szCs w:val="21"/>
                <w:lang w:val="en-US" w:eastAsia="zh-CN"/>
              </w:rPr>
            </w:pPr>
          </w:p>
        </w:tc>
        <w:tc>
          <w:tcPr>
            <w:tcW w:w="1552" w:type="dxa"/>
            <w:tcBorders>
              <w:right w:val="single" w:color="auto" w:sz="4" w:space="0"/>
            </w:tcBorders>
            <w:vAlign w:val="center"/>
          </w:tcPr>
          <w:p w14:paraId="35F584CC">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szCs w:val="21"/>
                <w:lang w:val="en-US" w:eastAsia="zh-CN"/>
              </w:rPr>
              <w:t>石甲洞村</w:t>
            </w:r>
          </w:p>
        </w:tc>
        <w:tc>
          <w:tcPr>
            <w:tcW w:w="1085" w:type="dxa"/>
            <w:tcBorders>
              <w:left w:val="single" w:color="auto" w:sz="4" w:space="0"/>
            </w:tcBorders>
            <w:vAlign w:val="center"/>
          </w:tcPr>
          <w:p w14:paraId="10D4B028">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szCs w:val="21"/>
                <w:lang w:val="en-US" w:eastAsia="zh-CN"/>
              </w:rPr>
              <w:t>南</w:t>
            </w:r>
          </w:p>
        </w:tc>
        <w:tc>
          <w:tcPr>
            <w:tcW w:w="2019" w:type="dxa"/>
            <w:vAlign w:val="center"/>
          </w:tcPr>
          <w:p w14:paraId="3EF3342E">
            <w:pPr>
              <w:adjustRightInd w:val="0"/>
              <w:snapToGrid w:val="0"/>
              <w:spacing w:line="259" w:lineRule="auto"/>
              <w:ind w:right="46" w:rightChars="0"/>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szCs w:val="21"/>
                <w:lang w:val="en-US" w:eastAsia="zh-CN"/>
              </w:rPr>
              <w:t>160m</w:t>
            </w:r>
          </w:p>
        </w:tc>
        <w:tc>
          <w:tcPr>
            <w:tcW w:w="1354" w:type="dxa"/>
            <w:vMerge w:val="continue"/>
            <w:vAlign w:val="center"/>
          </w:tcPr>
          <w:p w14:paraId="139E5F21">
            <w:pPr>
              <w:spacing w:line="240" w:lineRule="auto"/>
              <w:jc w:val="center"/>
              <w:rPr>
                <w:rFonts w:hint="default" w:ascii="Times New Roman" w:hAnsi="Times New Roman" w:cs="Times New Roman" w:eastAsiaTheme="minorEastAsia"/>
                <w:kern w:val="2"/>
                <w:sz w:val="21"/>
                <w:szCs w:val="22"/>
                <w:lang w:val="en-US" w:eastAsia="zh-CN" w:bidi="ar-SA"/>
              </w:rPr>
            </w:pPr>
          </w:p>
        </w:tc>
        <w:tc>
          <w:tcPr>
            <w:tcW w:w="1753" w:type="dxa"/>
            <w:vMerge w:val="continue"/>
            <w:vAlign w:val="center"/>
          </w:tcPr>
          <w:p w14:paraId="4BC55F60">
            <w:pPr>
              <w:spacing w:line="240" w:lineRule="auto"/>
              <w:jc w:val="center"/>
              <w:rPr>
                <w:rFonts w:hint="default" w:ascii="Times New Roman" w:hAnsi="Times New Roman" w:cs="Times New Roman" w:eastAsiaTheme="minorEastAsia"/>
                <w:kern w:val="2"/>
                <w:sz w:val="21"/>
                <w:szCs w:val="22"/>
                <w:lang w:val="en-US" w:eastAsia="zh-CN" w:bidi="ar-SA"/>
              </w:rPr>
            </w:pPr>
          </w:p>
        </w:tc>
      </w:tr>
      <w:tr w14:paraId="34B50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3" w:hRule="atLeast"/>
          <w:jc w:val="center"/>
        </w:trPr>
        <w:tc>
          <w:tcPr>
            <w:tcW w:w="9401" w:type="dxa"/>
            <w:gridSpan w:val="8"/>
          </w:tcPr>
          <w:p w14:paraId="5B677DC6">
            <w:pPr>
              <w:pStyle w:val="13"/>
              <w:tabs>
                <w:tab w:val="right" w:pos="8300"/>
              </w:tabs>
              <w:spacing w:line="360" w:lineRule="auto"/>
              <w:jc w:val="center"/>
            </w:pPr>
            <w:bookmarkStart w:id="28" w:name="_Hlk534829572"/>
            <w:r>
              <w:drawing>
                <wp:inline distT="0" distB="0" distL="0" distR="0">
                  <wp:extent cx="5629275" cy="3741420"/>
                  <wp:effectExtent l="0" t="0" r="952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629275" cy="3741420"/>
                          </a:xfrm>
                          <a:prstGeom prst="rect">
                            <a:avLst/>
                          </a:prstGeom>
                        </pic:spPr>
                      </pic:pic>
                    </a:graphicData>
                  </a:graphic>
                </wp:inline>
              </w:drawing>
            </w:r>
          </w:p>
          <w:p w14:paraId="23C1BF88">
            <w:pPr>
              <w:pStyle w:val="13"/>
              <w:tabs>
                <w:tab w:val="right" w:pos="8300"/>
              </w:tabs>
              <w:spacing w:line="360" w:lineRule="auto"/>
              <w:jc w:val="center"/>
              <w:rPr>
                <w:vertAlign w:val="baseline"/>
              </w:rPr>
            </w:pPr>
            <w:r>
              <w:drawing>
                <wp:inline distT="0" distB="0" distL="114300" distR="114300">
                  <wp:extent cx="5824855" cy="3982085"/>
                  <wp:effectExtent l="0" t="0" r="4445" b="18415"/>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14"/>
                          <a:stretch>
                            <a:fillRect/>
                          </a:stretch>
                        </pic:blipFill>
                        <pic:spPr>
                          <a:xfrm>
                            <a:off x="0" y="0"/>
                            <a:ext cx="5824855" cy="3982085"/>
                          </a:xfrm>
                          <a:prstGeom prst="rect">
                            <a:avLst/>
                          </a:prstGeom>
                          <a:noFill/>
                          <a:ln>
                            <a:noFill/>
                          </a:ln>
                        </pic:spPr>
                      </pic:pic>
                    </a:graphicData>
                  </a:graphic>
                </wp:inline>
              </w:drawing>
            </w:r>
          </w:p>
        </w:tc>
      </w:tr>
      <w:tr w14:paraId="736F1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3" w:hRule="atLeast"/>
          <w:jc w:val="center"/>
        </w:trPr>
        <w:tc>
          <w:tcPr>
            <w:tcW w:w="9401" w:type="dxa"/>
            <w:gridSpan w:val="8"/>
          </w:tcPr>
          <w:p w14:paraId="6853D4EC">
            <w:pPr>
              <w:pStyle w:val="13"/>
              <w:tabs>
                <w:tab w:val="right" w:pos="8300"/>
              </w:tabs>
              <w:spacing w:line="360" w:lineRule="auto"/>
              <w:jc w:val="center"/>
              <w:rPr>
                <w:vertAlign w:val="baseline"/>
              </w:rPr>
            </w:pPr>
            <w:r>
              <w:drawing>
                <wp:inline distT="0" distB="0" distL="114300" distR="114300">
                  <wp:extent cx="5829300" cy="3807460"/>
                  <wp:effectExtent l="0" t="0" r="0" b="2540"/>
                  <wp:docPr id="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pic:cNvPicPr>
                            <a:picLocks noChangeAspect="1"/>
                          </pic:cNvPicPr>
                        </pic:nvPicPr>
                        <pic:blipFill>
                          <a:blip r:embed="rId15"/>
                          <a:stretch>
                            <a:fillRect/>
                          </a:stretch>
                        </pic:blipFill>
                        <pic:spPr>
                          <a:xfrm>
                            <a:off x="0" y="0"/>
                            <a:ext cx="5829300" cy="3807460"/>
                          </a:xfrm>
                          <a:prstGeom prst="rect">
                            <a:avLst/>
                          </a:prstGeom>
                          <a:noFill/>
                          <a:ln>
                            <a:noFill/>
                          </a:ln>
                        </pic:spPr>
                      </pic:pic>
                    </a:graphicData>
                  </a:graphic>
                </wp:inline>
              </w:drawing>
            </w:r>
          </w:p>
        </w:tc>
      </w:tr>
      <w:tr w14:paraId="7BBD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401" w:type="dxa"/>
            <w:gridSpan w:val="8"/>
          </w:tcPr>
          <w:p w14:paraId="29D5B9F4">
            <w:pPr>
              <w:pStyle w:val="13"/>
              <w:tabs>
                <w:tab w:val="right" w:pos="8300"/>
              </w:tabs>
              <w:spacing w:line="360" w:lineRule="auto"/>
              <w:jc w:val="center"/>
              <w:rPr>
                <w:vertAlign w:val="baseline"/>
              </w:rPr>
            </w:pPr>
            <w:r>
              <w:drawing>
                <wp:inline distT="0" distB="0" distL="114300" distR="114300">
                  <wp:extent cx="5829300" cy="3881755"/>
                  <wp:effectExtent l="0" t="0" r="0" b="4445"/>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
                          <pic:cNvPicPr>
                            <a:picLocks noChangeAspect="1"/>
                          </pic:cNvPicPr>
                        </pic:nvPicPr>
                        <pic:blipFill>
                          <a:blip r:embed="rId16"/>
                          <a:stretch>
                            <a:fillRect/>
                          </a:stretch>
                        </pic:blipFill>
                        <pic:spPr>
                          <a:xfrm>
                            <a:off x="0" y="0"/>
                            <a:ext cx="5829300" cy="3881755"/>
                          </a:xfrm>
                          <a:prstGeom prst="rect">
                            <a:avLst/>
                          </a:prstGeom>
                          <a:noFill/>
                          <a:ln>
                            <a:noFill/>
                          </a:ln>
                        </pic:spPr>
                      </pic:pic>
                    </a:graphicData>
                  </a:graphic>
                </wp:inline>
              </w:drawing>
            </w:r>
          </w:p>
        </w:tc>
      </w:tr>
    </w:tbl>
    <w:p w14:paraId="7F13D927">
      <w:pPr>
        <w:pStyle w:val="13"/>
        <w:tabs>
          <w:tab w:val="right" w:pos="8300"/>
        </w:tabs>
        <w:jc w:val="center"/>
        <w:rPr>
          <w:rFonts w:ascii="Times New Roman" w:hAnsi="Times New Roman" w:cs="Times New Roman"/>
          <w:b/>
          <w:bCs/>
          <w:sz w:val="21"/>
          <w:szCs w:val="21"/>
          <w:highlight w:val="none"/>
        </w:rPr>
      </w:pPr>
      <w:r>
        <w:rPr>
          <w:rFonts w:ascii="Times New Roman" w:hAnsi="Times New Roman" w:cs="Times New Roman"/>
          <w:b/>
          <w:bCs/>
          <w:sz w:val="21"/>
          <w:szCs w:val="21"/>
          <w:highlight w:val="none"/>
        </w:rPr>
        <w:t xml:space="preserve">图 </w:t>
      </w:r>
      <w:bookmarkEnd w:id="28"/>
      <w:r>
        <w:rPr>
          <w:rFonts w:ascii="Times New Roman" w:hAnsi="Times New Roman" w:cs="Times New Roman"/>
          <w:b/>
          <w:bCs/>
          <w:sz w:val="21"/>
          <w:szCs w:val="21"/>
          <w:highlight w:val="none"/>
        </w:rPr>
        <w:t>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p w14:paraId="4E66E1F2">
      <w:pPr>
        <w:pStyle w:val="3"/>
        <w:rPr>
          <w:rFonts w:eastAsia="宋体"/>
        </w:rPr>
      </w:pPr>
      <w:bookmarkStart w:id="29" w:name="_Toc30993"/>
      <w:r>
        <w:rPr>
          <w:rFonts w:eastAsia="宋体"/>
        </w:rPr>
        <w:t>3.2建设内容</w:t>
      </w:r>
      <w:bookmarkEnd w:id="29"/>
    </w:p>
    <w:p w14:paraId="64D1294A">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cs="Times New Roman"/>
          <w:sz w:val="24"/>
          <w:szCs w:val="24"/>
          <w:lang w:eastAsia="zh-CN"/>
        </w:rPr>
        <w:t>武义凯鑫厨具有限公司新增年产10万个金属制蛋糕模具项目</w:t>
      </w:r>
    </w:p>
    <w:p w14:paraId="007E6EC2">
      <w:pPr>
        <w:spacing w:line="360" w:lineRule="auto"/>
        <w:ind w:firstLine="480"/>
        <w:rPr>
          <w:rFonts w:ascii="Times New Roman" w:hAnsi="Times New Roman" w:cs="Times New Roman"/>
          <w:sz w:val="24"/>
          <w:szCs w:val="24"/>
        </w:rPr>
      </w:pPr>
      <w:r>
        <w:rPr>
          <w:rFonts w:ascii="Times New Roman" w:hAnsi="Times New Roman" w:cs="Times New Roman"/>
          <w:sz w:val="24"/>
          <w:szCs w:val="24"/>
        </w:rPr>
        <w:t>（2）项目性质：</w:t>
      </w:r>
      <w:r>
        <w:rPr>
          <w:rFonts w:hint="eastAsia" w:ascii="Times New Roman" w:hAnsi="Times New Roman" w:cs="Times New Roman"/>
          <w:sz w:val="24"/>
          <w:szCs w:val="24"/>
          <w:highlight w:val="none"/>
          <w:lang w:val="en-US" w:eastAsia="zh-CN"/>
        </w:rPr>
        <w:t>扩建</w:t>
      </w:r>
    </w:p>
    <w:p w14:paraId="3267A107">
      <w:pPr>
        <w:spacing w:line="360" w:lineRule="auto"/>
        <w:ind w:firstLine="480"/>
        <w:rPr>
          <w:rFonts w:hint="default" w:ascii="Times New Roman" w:hAnsi="Times New Roman" w:eastAsiaTheme="minorEastAsia"/>
          <w:sz w:val="24"/>
          <w:lang w:val="en-US" w:eastAsia="zh-CN"/>
        </w:rPr>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浙江省金华市武义县白洋街道百花山工业区</w:t>
      </w:r>
    </w:p>
    <w:p w14:paraId="6DA871E7">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14:paraId="7AD9EF21">
      <w:pPr>
        <w:spacing w:line="360" w:lineRule="auto"/>
        <w:ind w:firstLine="48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项目实际总投资590万元，环保实际投资70万元，占总投资11.8%。项目现有员工40人，采用单班制8小时/班，年生产300天，厂区内不设食堂、宿舍。</w:t>
      </w:r>
    </w:p>
    <w:p w14:paraId="3495FB71">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14:paraId="091A6A00">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1"/>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
        <w:gridCol w:w="978"/>
        <w:gridCol w:w="559"/>
        <w:gridCol w:w="2262"/>
        <w:gridCol w:w="2822"/>
        <w:gridCol w:w="1108"/>
      </w:tblGrid>
      <w:tr w14:paraId="76258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727" w:type="dxa"/>
            <w:gridSpan w:val="2"/>
            <w:vAlign w:val="center"/>
          </w:tcPr>
          <w:p w14:paraId="47778DE1">
            <w:pPr>
              <w:spacing w:line="360" w:lineRule="auto"/>
              <w:jc w:val="center"/>
              <w:rPr>
                <w:rFonts w:hint="default" w:ascii="Times New Roman" w:hAnsi="Times New Roman" w:eastAsia="宋体" w:cs="Times New Roman"/>
                <w:sz w:val="21"/>
                <w:szCs w:val="21"/>
              </w:rPr>
            </w:pPr>
            <w:bookmarkStart w:id="30" w:name="_Hlk14792919"/>
            <w:r>
              <w:rPr>
                <w:rFonts w:hint="default" w:ascii="Times New Roman" w:hAnsi="Times New Roman" w:eastAsia="宋体" w:cs="Times New Roman"/>
                <w:b/>
                <w:bCs/>
                <w:snapToGrid w:val="0"/>
                <w:spacing w:val="-10"/>
                <w:kern w:val="24"/>
                <w:sz w:val="21"/>
                <w:szCs w:val="21"/>
              </w:rPr>
              <w:t>项目工程</w:t>
            </w:r>
          </w:p>
        </w:tc>
        <w:tc>
          <w:tcPr>
            <w:tcW w:w="3117" w:type="dxa"/>
            <w:gridSpan w:val="2"/>
            <w:vAlign w:val="center"/>
          </w:tcPr>
          <w:p w14:paraId="006B236B">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118" w:type="dxa"/>
            <w:vAlign w:val="center"/>
          </w:tcPr>
          <w:p w14:paraId="16D31431">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224" w:type="dxa"/>
            <w:vAlign w:val="center"/>
          </w:tcPr>
          <w:p w14:paraId="470008DC">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14:paraId="62BAC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7" w:type="dxa"/>
            <w:gridSpan w:val="2"/>
            <w:vAlign w:val="center"/>
          </w:tcPr>
          <w:p w14:paraId="2D1ACBAB">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117" w:type="dxa"/>
            <w:gridSpan w:val="2"/>
            <w:vAlign w:val="center"/>
          </w:tcPr>
          <w:p w14:paraId="33A371F1">
            <w:pPr>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年产80万个金属制蛋糕模具</w:t>
            </w:r>
          </w:p>
        </w:tc>
        <w:tc>
          <w:tcPr>
            <w:tcW w:w="3118" w:type="dxa"/>
            <w:vAlign w:val="center"/>
          </w:tcPr>
          <w:p w14:paraId="4961D915">
            <w:pPr>
              <w:jc w:val="left"/>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年产80万个金属制蛋糕模具</w:t>
            </w:r>
          </w:p>
        </w:tc>
        <w:tc>
          <w:tcPr>
            <w:tcW w:w="1224" w:type="dxa"/>
            <w:vAlign w:val="center"/>
          </w:tcPr>
          <w:p w14:paraId="235C5CDE">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snapToGrid w:val="0"/>
                <w:color w:val="auto"/>
                <w:spacing w:val="-10"/>
                <w:kern w:val="24"/>
                <w:szCs w:val="21"/>
                <w:lang w:val="en-US" w:eastAsia="zh-CN"/>
              </w:rPr>
              <w:t>一致</w:t>
            </w:r>
          </w:p>
        </w:tc>
      </w:tr>
      <w:tr w14:paraId="09D4E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647" w:type="dxa"/>
            <w:vMerge w:val="restart"/>
            <w:vAlign w:val="center"/>
          </w:tcPr>
          <w:p w14:paraId="02C3D921">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80" w:type="dxa"/>
            <w:vMerge w:val="restart"/>
            <w:vAlign w:val="center"/>
          </w:tcPr>
          <w:p w14:paraId="70A9AC9D">
            <w:pPr>
              <w:spacing w:line="240" w:lineRule="auto"/>
              <w:jc w:val="center"/>
              <w:rPr>
                <w:rFonts w:hint="default" w:ascii="Times New Roman" w:hAnsi="Times New Roman" w:cs="Times New Roman" w:eastAsiaTheme="minorEastAsia"/>
                <w:kern w:val="2"/>
                <w:sz w:val="21"/>
                <w:szCs w:val="22"/>
                <w:lang w:val="en-US" w:eastAsia="zh-CN" w:bidi="ar-SA"/>
              </w:rPr>
            </w:pPr>
            <w:r>
              <w:rPr>
                <w:rFonts w:hint="default" w:ascii="Times New Roman" w:hAnsi="Times New Roman" w:cs="Times New Roman" w:eastAsiaTheme="minorEastAsia"/>
                <w:kern w:val="2"/>
                <w:sz w:val="21"/>
                <w:szCs w:val="22"/>
                <w:lang w:val="en-US" w:eastAsia="zh-CN" w:bidi="ar-SA"/>
              </w:rPr>
              <w:t>生产厂房</w:t>
            </w:r>
          </w:p>
        </w:tc>
        <w:tc>
          <w:tcPr>
            <w:tcW w:w="618" w:type="dxa"/>
            <w:vAlign w:val="center"/>
          </w:tcPr>
          <w:p w14:paraId="331B0E60">
            <w:pPr>
              <w:jc w:val="center"/>
              <w:rPr>
                <w:rFonts w:hint="default" w:ascii="Times New Roman" w:hAnsi="Times New Roman" w:cs="Times New Roman" w:eastAsiaTheme="minorEastAsia"/>
                <w:kern w:val="2"/>
                <w:sz w:val="21"/>
                <w:szCs w:val="22"/>
                <w:highlight w:val="none"/>
                <w:lang w:val="en-US" w:eastAsia="zh-CN" w:bidi="ar-SA"/>
              </w:rPr>
            </w:pPr>
            <w:r>
              <w:rPr>
                <w:rFonts w:hint="default" w:ascii="Times New Roman" w:hAnsi="Times New Roman" w:cs="Times New Roman"/>
                <w:color w:val="auto"/>
                <w:szCs w:val="21"/>
                <w:lang w:val="en-US" w:eastAsia="zh-CN"/>
              </w:rPr>
              <w:t>1F</w:t>
            </w:r>
          </w:p>
        </w:tc>
        <w:tc>
          <w:tcPr>
            <w:tcW w:w="2499" w:type="dxa"/>
            <w:vAlign w:val="center"/>
          </w:tcPr>
          <w:p w14:paraId="30280736">
            <w:pPr>
              <w:keepNext w:val="0"/>
              <w:keepLines w:val="0"/>
              <w:widowControl/>
              <w:suppressLineNumbers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有剪板区、冲压区、仓库、清洗磷化烘干线；</w:t>
            </w:r>
          </w:p>
        </w:tc>
        <w:tc>
          <w:tcPr>
            <w:tcW w:w="3118" w:type="dxa"/>
            <w:vAlign w:val="center"/>
          </w:tcPr>
          <w:p w14:paraId="7D61DFC9">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有剪板区、冲压区、仓库、清洗磷化烘干线；</w:t>
            </w:r>
          </w:p>
        </w:tc>
        <w:tc>
          <w:tcPr>
            <w:tcW w:w="1224" w:type="dxa"/>
            <w:vMerge w:val="restart"/>
            <w:vAlign w:val="center"/>
          </w:tcPr>
          <w:p w14:paraId="5725B9C1">
            <w:pPr>
              <w:spacing w:line="240" w:lineRule="auto"/>
              <w:jc w:val="center"/>
              <w:rPr>
                <w:rFonts w:hint="default" w:ascii="Times New Roman" w:hAnsi="Times New Roman" w:eastAsia="宋体" w:cs="Times New Roman"/>
                <w:snapToGrid w:val="0"/>
                <w:color w:val="auto"/>
                <w:spacing w:val="-10"/>
                <w:kern w:val="24"/>
                <w:sz w:val="21"/>
                <w:szCs w:val="21"/>
                <w:highlight w:val="none"/>
                <w:lang w:val="en-US" w:eastAsia="zh-CN"/>
              </w:rPr>
            </w:pPr>
            <w:r>
              <w:rPr>
                <w:rFonts w:hint="eastAsia" w:ascii="Times New Roman" w:hAnsi="Times New Roman" w:eastAsia="宋体" w:cs="Times New Roman"/>
                <w:snapToGrid w:val="0"/>
                <w:color w:val="auto"/>
                <w:spacing w:val="-10"/>
                <w:kern w:val="24"/>
                <w:sz w:val="21"/>
                <w:szCs w:val="21"/>
                <w:highlight w:val="none"/>
                <w:lang w:val="en-US" w:eastAsia="zh-CN"/>
              </w:rPr>
              <w:t>一致</w:t>
            </w:r>
          </w:p>
        </w:tc>
      </w:tr>
      <w:tr w14:paraId="07F43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647" w:type="dxa"/>
            <w:vMerge w:val="continue"/>
            <w:vAlign w:val="center"/>
          </w:tcPr>
          <w:p w14:paraId="11BB81CA">
            <w:pPr>
              <w:spacing w:line="240" w:lineRule="auto"/>
              <w:jc w:val="left"/>
            </w:pPr>
          </w:p>
        </w:tc>
        <w:tc>
          <w:tcPr>
            <w:tcW w:w="1080" w:type="dxa"/>
            <w:vMerge w:val="continue"/>
            <w:vAlign w:val="center"/>
          </w:tcPr>
          <w:p w14:paraId="23976095">
            <w:pPr>
              <w:spacing w:line="240" w:lineRule="auto"/>
              <w:jc w:val="center"/>
            </w:pPr>
          </w:p>
        </w:tc>
        <w:tc>
          <w:tcPr>
            <w:tcW w:w="618" w:type="dxa"/>
            <w:vAlign w:val="center"/>
          </w:tcPr>
          <w:p w14:paraId="2CAD3A6B">
            <w:pPr>
              <w:jc w:val="center"/>
            </w:pPr>
            <w:r>
              <w:rPr>
                <w:rFonts w:hint="eastAsia" w:ascii="Times New Roman" w:hAnsi="Times New Roman" w:cs="Times New Roman"/>
                <w:color w:val="auto"/>
                <w:szCs w:val="21"/>
                <w:lang w:val="en-US" w:eastAsia="zh-CN"/>
              </w:rPr>
              <w:t>2F</w:t>
            </w:r>
          </w:p>
        </w:tc>
        <w:tc>
          <w:tcPr>
            <w:tcW w:w="2499" w:type="dxa"/>
            <w:vAlign w:val="center"/>
          </w:tcPr>
          <w:p w14:paraId="39BB68BA">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有危废间、固废间、包装区、喷漆区；</w:t>
            </w:r>
          </w:p>
        </w:tc>
        <w:tc>
          <w:tcPr>
            <w:tcW w:w="3118" w:type="dxa"/>
            <w:vAlign w:val="center"/>
          </w:tcPr>
          <w:p w14:paraId="751D0C21">
            <w:pPr>
              <w:keepNext w:val="0"/>
              <w:keepLines w:val="0"/>
              <w:widowControl/>
              <w:suppressLineNumbers w:val="0"/>
              <w:jc w:val="left"/>
            </w:pPr>
            <w:r>
              <w:rPr>
                <w:rFonts w:hint="eastAsia" w:ascii="Times New Roman" w:hAnsi="Times New Roman" w:eastAsia="宋体" w:cs="Times New Roman"/>
                <w:color w:val="auto"/>
                <w:kern w:val="2"/>
                <w:sz w:val="21"/>
                <w:szCs w:val="21"/>
                <w:highlight w:val="none"/>
                <w:lang w:val="en-US" w:eastAsia="zh-CN" w:bidi="ar-SA"/>
              </w:rPr>
              <w:t>有危废间、固废间、包装区、喷漆区；</w:t>
            </w:r>
          </w:p>
        </w:tc>
        <w:tc>
          <w:tcPr>
            <w:tcW w:w="1224" w:type="dxa"/>
            <w:vMerge w:val="continue"/>
            <w:vAlign w:val="center"/>
          </w:tcPr>
          <w:p w14:paraId="2857C20A">
            <w:pPr>
              <w:spacing w:line="240" w:lineRule="auto"/>
              <w:jc w:val="left"/>
            </w:pPr>
          </w:p>
        </w:tc>
      </w:tr>
      <w:tr w14:paraId="351B9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647" w:type="dxa"/>
            <w:vMerge w:val="continue"/>
            <w:vAlign w:val="center"/>
          </w:tcPr>
          <w:p w14:paraId="1DC9BD97">
            <w:pPr>
              <w:spacing w:line="240" w:lineRule="auto"/>
              <w:jc w:val="left"/>
            </w:pPr>
          </w:p>
        </w:tc>
        <w:tc>
          <w:tcPr>
            <w:tcW w:w="1080" w:type="dxa"/>
            <w:vMerge w:val="continue"/>
            <w:vAlign w:val="center"/>
          </w:tcPr>
          <w:p w14:paraId="0460BCFE">
            <w:pPr>
              <w:spacing w:line="240" w:lineRule="auto"/>
              <w:jc w:val="center"/>
            </w:pPr>
          </w:p>
        </w:tc>
        <w:tc>
          <w:tcPr>
            <w:tcW w:w="618" w:type="dxa"/>
            <w:vAlign w:val="center"/>
          </w:tcPr>
          <w:p w14:paraId="4CB9F424">
            <w:pPr>
              <w:jc w:val="center"/>
            </w:pPr>
            <w:r>
              <w:rPr>
                <w:rFonts w:hint="eastAsia" w:ascii="Times New Roman" w:hAnsi="Times New Roman" w:cs="Times New Roman"/>
                <w:color w:val="auto"/>
                <w:szCs w:val="21"/>
                <w:lang w:val="en-US" w:eastAsia="zh-CN"/>
              </w:rPr>
              <w:t>3F</w:t>
            </w:r>
          </w:p>
        </w:tc>
        <w:tc>
          <w:tcPr>
            <w:tcW w:w="2499" w:type="dxa"/>
            <w:vAlign w:val="center"/>
          </w:tcPr>
          <w:p w14:paraId="06E1850D">
            <w:pPr>
              <w:pStyle w:val="13"/>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喷漆区；</w:t>
            </w:r>
          </w:p>
        </w:tc>
        <w:tc>
          <w:tcPr>
            <w:tcW w:w="3118" w:type="dxa"/>
            <w:vAlign w:val="center"/>
          </w:tcPr>
          <w:p w14:paraId="3488F4A7">
            <w:pPr>
              <w:pStyle w:val="13"/>
              <w:spacing w:line="240" w:lineRule="auto"/>
            </w:pPr>
            <w:r>
              <w:rPr>
                <w:rFonts w:hint="eastAsia" w:ascii="Times New Roman" w:hAnsi="Times New Roman" w:eastAsia="宋体" w:cs="Times New Roman"/>
                <w:color w:val="auto"/>
                <w:sz w:val="21"/>
                <w:szCs w:val="21"/>
                <w:highlight w:val="none"/>
                <w:lang w:val="en-US" w:eastAsia="zh-CN"/>
              </w:rPr>
              <w:t>自动化喷漆区；</w:t>
            </w:r>
          </w:p>
        </w:tc>
        <w:tc>
          <w:tcPr>
            <w:tcW w:w="1224" w:type="dxa"/>
            <w:vMerge w:val="continue"/>
            <w:vAlign w:val="center"/>
          </w:tcPr>
          <w:p w14:paraId="60739A31">
            <w:pPr>
              <w:spacing w:line="240" w:lineRule="auto"/>
              <w:jc w:val="left"/>
            </w:pPr>
          </w:p>
        </w:tc>
      </w:tr>
      <w:tr w14:paraId="7D1D4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0023F54D">
            <w:pPr>
              <w:jc w:val="left"/>
            </w:pPr>
          </w:p>
        </w:tc>
        <w:tc>
          <w:tcPr>
            <w:tcW w:w="1080" w:type="dxa"/>
            <w:vAlign w:val="center"/>
          </w:tcPr>
          <w:p w14:paraId="0D022D05">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办公楼</w:t>
            </w:r>
          </w:p>
        </w:tc>
        <w:tc>
          <w:tcPr>
            <w:tcW w:w="3117" w:type="dxa"/>
            <w:gridSpan w:val="2"/>
            <w:vAlign w:val="center"/>
          </w:tcPr>
          <w:p w14:paraId="24AAD65B">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厂房二层；不设食堂及宿舍</w:t>
            </w:r>
          </w:p>
        </w:tc>
        <w:tc>
          <w:tcPr>
            <w:tcW w:w="3118" w:type="dxa"/>
            <w:vAlign w:val="center"/>
          </w:tcPr>
          <w:p w14:paraId="44099AD1">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厂房二层；不设食堂及宿舍</w:t>
            </w:r>
          </w:p>
        </w:tc>
        <w:tc>
          <w:tcPr>
            <w:tcW w:w="1224" w:type="dxa"/>
            <w:vMerge w:val="continue"/>
            <w:vAlign w:val="center"/>
          </w:tcPr>
          <w:p w14:paraId="4AFCB99D">
            <w:pPr>
              <w:jc w:val="left"/>
              <w:rPr>
                <w:rFonts w:hint="default" w:ascii="Times New Roman" w:hAnsi="Times New Roman" w:eastAsia="宋体" w:cs="Times New Roman"/>
                <w:color w:val="auto"/>
                <w:sz w:val="21"/>
                <w:szCs w:val="21"/>
                <w:lang w:val="en-US" w:eastAsia="zh-CN"/>
              </w:rPr>
            </w:pPr>
          </w:p>
        </w:tc>
      </w:tr>
      <w:tr w14:paraId="0B19A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14:paraId="10C562B0">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80" w:type="dxa"/>
            <w:vAlign w:val="center"/>
          </w:tcPr>
          <w:p w14:paraId="2E4852A1">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117" w:type="dxa"/>
            <w:gridSpan w:val="2"/>
            <w:vAlign w:val="center"/>
          </w:tcPr>
          <w:p w14:paraId="53F36860">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由市政自来水管网供给</w:t>
            </w:r>
          </w:p>
        </w:tc>
        <w:tc>
          <w:tcPr>
            <w:tcW w:w="3118" w:type="dxa"/>
            <w:vAlign w:val="center"/>
          </w:tcPr>
          <w:p w14:paraId="2A8C0800">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由市政自来水管网供给</w:t>
            </w:r>
          </w:p>
        </w:tc>
        <w:tc>
          <w:tcPr>
            <w:tcW w:w="1224" w:type="dxa"/>
            <w:vAlign w:val="center"/>
          </w:tcPr>
          <w:p w14:paraId="46C288F7">
            <w:pPr>
              <w:spacing w:line="240" w:lineRule="auto"/>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Cs w:val="21"/>
              </w:rPr>
              <w:t>一致</w:t>
            </w:r>
          </w:p>
        </w:tc>
      </w:tr>
      <w:tr w14:paraId="20B1D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784F01FE">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14:paraId="59200DF4">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117" w:type="dxa"/>
            <w:gridSpan w:val="2"/>
            <w:vAlign w:val="center"/>
          </w:tcPr>
          <w:p w14:paraId="3D555224">
            <w:pPr>
              <w:keepNext w:val="0"/>
              <w:keepLines w:val="0"/>
              <w:widowControl/>
              <w:suppressLineNumbers w:val="0"/>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采用雨污分流制，厂内雨水经过管道汇集后直接排入厂区内雨水管网，最终排入附近内河；生活污水经厂区化粪池处理与经</w:t>
            </w:r>
            <w:r>
              <w:rPr>
                <w:rFonts w:hint="eastAsia" w:ascii="Calibri" w:hAnsi="Calibri" w:cs="Calibri"/>
                <w:kern w:val="2"/>
                <w:sz w:val="21"/>
                <w:szCs w:val="22"/>
                <w:lang w:val="en-US" w:eastAsia="zh-CN" w:bidi="ar-SA"/>
              </w:rPr>
              <w:t>“</w:t>
            </w:r>
            <w:r>
              <w:rPr>
                <w:rFonts w:hint="default" w:ascii="Calibri" w:hAnsi="Calibri" w:cs="Calibri" w:eastAsiaTheme="minorEastAsia"/>
                <w:kern w:val="2"/>
                <w:sz w:val="21"/>
                <w:szCs w:val="22"/>
                <w:lang w:val="en-US" w:eastAsia="zh-CN" w:bidi="ar-SA"/>
              </w:rPr>
              <w:t>预处理+隔油+</w:t>
            </w:r>
            <w:r>
              <w:rPr>
                <w:rFonts w:hint="default" w:ascii="Calibri" w:hAnsi="Calibri" w:cs="Calibri" w:eastAsiaTheme="minorEastAsia"/>
                <w:kern w:val="2"/>
                <w:sz w:val="21"/>
                <w:szCs w:val="22"/>
                <w:highlight w:val="none"/>
                <w:lang w:val="en-US" w:eastAsia="zh-CN" w:bidi="ar-SA"/>
              </w:rPr>
              <w:t>芬顿氧化</w:t>
            </w:r>
            <w:r>
              <w:rPr>
                <w:rFonts w:hint="default" w:ascii="Calibri" w:hAnsi="Calibri" w:cs="Calibri" w:eastAsiaTheme="minorEastAsia"/>
                <w:kern w:val="2"/>
                <w:sz w:val="21"/>
                <w:szCs w:val="22"/>
                <w:lang w:val="en-US" w:eastAsia="zh-CN" w:bidi="ar-SA"/>
              </w:rPr>
              <w:t>+絮凝沉淀</w:t>
            </w:r>
            <w:r>
              <w:rPr>
                <w:rFonts w:hint="eastAsia" w:ascii="Calibri" w:hAnsi="Calibri" w:cs="Calibri"/>
                <w:kern w:val="2"/>
                <w:sz w:val="21"/>
                <w:szCs w:val="22"/>
                <w:lang w:val="en-US" w:eastAsia="zh-CN" w:bidi="ar-SA"/>
              </w:rPr>
              <w:t>”</w:t>
            </w:r>
            <w:r>
              <w:rPr>
                <w:rFonts w:hint="default" w:ascii="Calibri" w:hAnsi="Calibri" w:cs="Calibri" w:eastAsiaTheme="minorEastAsia"/>
                <w:kern w:val="2"/>
                <w:sz w:val="21"/>
                <w:szCs w:val="22"/>
                <w:lang w:val="en-US" w:eastAsia="zh-CN" w:bidi="ar-SA"/>
              </w:rPr>
              <w:t xml:space="preserve">处理的生产废水处理达标 </w:t>
            </w:r>
          </w:p>
          <w:p w14:paraId="56FCC885">
            <w:pPr>
              <w:keepNext w:val="0"/>
              <w:keepLines w:val="0"/>
              <w:widowControl/>
              <w:suppressLineNumbers w:val="0"/>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后一同纳管，送污水处理厂处理；全厂设置一个污水口和一个雨水口，雨水口安装电导仪</w:t>
            </w:r>
          </w:p>
        </w:tc>
        <w:tc>
          <w:tcPr>
            <w:tcW w:w="3118" w:type="dxa"/>
            <w:vAlign w:val="center"/>
          </w:tcPr>
          <w:p w14:paraId="0F47A754">
            <w:pPr>
              <w:keepNext w:val="0"/>
              <w:keepLines w:val="0"/>
              <w:widowControl/>
              <w:suppressLineNumbers w:val="0"/>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 xml:space="preserve">采用雨污分流制，厂内雨水经过管道汇集后直接排入厂区内雨 </w:t>
            </w:r>
          </w:p>
          <w:p w14:paraId="3321BD25">
            <w:pPr>
              <w:keepNext w:val="0"/>
              <w:keepLines w:val="0"/>
              <w:widowControl/>
              <w:suppressLineNumbers w:val="0"/>
              <w:spacing w:line="240" w:lineRule="auto"/>
              <w:jc w:val="left"/>
              <w:rPr>
                <w:rFonts w:hint="default" w:ascii="Calibri" w:hAnsi="Calibri" w:cs="Calibri"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 xml:space="preserve">水管网，最终排入附近内河；生活污水经厂区化粪池处理与经 </w:t>
            </w:r>
          </w:p>
          <w:p w14:paraId="0EC36D3E">
            <w:pPr>
              <w:keepNext w:val="0"/>
              <w:keepLines w:val="0"/>
              <w:widowControl/>
              <w:suppressLineNumbers w:val="0"/>
              <w:spacing w:line="240" w:lineRule="auto"/>
              <w:jc w:val="left"/>
              <w:rPr>
                <w:rFonts w:hint="default" w:ascii="Calibri" w:hAnsi="Calibri" w:cs="Calibri" w:eastAsiaTheme="minorEastAsia"/>
                <w:kern w:val="2"/>
                <w:sz w:val="21"/>
                <w:szCs w:val="22"/>
                <w:lang w:val="en-US" w:eastAsia="zh-CN" w:bidi="ar-SA"/>
              </w:rPr>
            </w:pPr>
            <w:r>
              <w:rPr>
                <w:rFonts w:hint="eastAsia" w:ascii="Calibri" w:hAnsi="Calibri" w:cs="Calibri"/>
                <w:kern w:val="2"/>
                <w:sz w:val="21"/>
                <w:szCs w:val="22"/>
                <w:lang w:val="en-US" w:eastAsia="zh-CN" w:bidi="ar-SA"/>
              </w:rPr>
              <w:t>“</w:t>
            </w:r>
            <w:r>
              <w:rPr>
                <w:rFonts w:hint="default" w:ascii="Calibri" w:hAnsi="Calibri" w:cs="Calibri" w:eastAsiaTheme="minorEastAsia"/>
                <w:kern w:val="2"/>
                <w:sz w:val="21"/>
                <w:szCs w:val="22"/>
                <w:lang w:val="en-US" w:eastAsia="zh-CN" w:bidi="ar-SA"/>
              </w:rPr>
              <w:t>预处理+隔油+</w:t>
            </w:r>
            <w:r>
              <w:rPr>
                <w:rFonts w:hint="default" w:ascii="Calibri" w:hAnsi="Calibri" w:cs="Calibri" w:eastAsiaTheme="minorEastAsia"/>
                <w:kern w:val="2"/>
                <w:sz w:val="21"/>
                <w:szCs w:val="22"/>
                <w:highlight w:val="none"/>
                <w:lang w:val="en-US" w:eastAsia="zh-CN" w:bidi="ar-SA"/>
              </w:rPr>
              <w:t>芬顿氧化</w:t>
            </w:r>
            <w:r>
              <w:rPr>
                <w:rFonts w:hint="default" w:ascii="Calibri" w:hAnsi="Calibri" w:cs="Calibri" w:eastAsiaTheme="minorEastAsia"/>
                <w:kern w:val="2"/>
                <w:sz w:val="21"/>
                <w:szCs w:val="22"/>
                <w:lang w:val="en-US" w:eastAsia="zh-CN" w:bidi="ar-SA"/>
              </w:rPr>
              <w:t>+絮凝沉淀</w:t>
            </w:r>
            <w:r>
              <w:rPr>
                <w:rFonts w:hint="eastAsia" w:ascii="Calibri" w:hAnsi="Calibri" w:cs="Calibri"/>
                <w:kern w:val="2"/>
                <w:sz w:val="21"/>
                <w:szCs w:val="22"/>
                <w:lang w:val="en-US" w:eastAsia="zh-CN" w:bidi="ar-SA"/>
              </w:rPr>
              <w:t>”</w:t>
            </w:r>
            <w:r>
              <w:rPr>
                <w:rFonts w:hint="default" w:ascii="Calibri" w:hAnsi="Calibri" w:cs="Calibri" w:eastAsiaTheme="minorEastAsia"/>
                <w:kern w:val="2"/>
                <w:sz w:val="21"/>
                <w:szCs w:val="22"/>
                <w:lang w:val="en-US" w:eastAsia="zh-CN" w:bidi="ar-SA"/>
              </w:rPr>
              <w:t xml:space="preserve">处理的生产废水处理达标 </w:t>
            </w:r>
          </w:p>
          <w:p w14:paraId="76357700">
            <w:pPr>
              <w:keepNext w:val="0"/>
              <w:keepLines w:val="0"/>
              <w:widowControl/>
              <w:suppressLineNumbers w:val="0"/>
              <w:spacing w:line="240" w:lineRule="auto"/>
              <w:jc w:val="left"/>
              <w:rPr>
                <w:rFonts w:hint="default" w:ascii="Times New Roman" w:hAnsi="Times New Roman" w:cs="Times New Roman" w:eastAsiaTheme="minorEastAsia"/>
                <w:kern w:val="2"/>
                <w:sz w:val="21"/>
                <w:szCs w:val="22"/>
                <w:lang w:val="en-US" w:eastAsia="zh-CN" w:bidi="ar-SA"/>
              </w:rPr>
            </w:pPr>
            <w:r>
              <w:rPr>
                <w:rFonts w:hint="default" w:ascii="Calibri" w:hAnsi="Calibri" w:cs="Calibri" w:eastAsiaTheme="minorEastAsia"/>
                <w:kern w:val="2"/>
                <w:sz w:val="21"/>
                <w:szCs w:val="22"/>
                <w:lang w:val="en-US" w:eastAsia="zh-CN" w:bidi="ar-SA"/>
              </w:rPr>
              <w:t>后一同纳管，送污水处理厂处理；全厂设置一个污水口和一个雨水口，雨水口安装电导仪</w:t>
            </w:r>
          </w:p>
        </w:tc>
        <w:tc>
          <w:tcPr>
            <w:tcW w:w="1224" w:type="dxa"/>
            <w:vAlign w:val="center"/>
          </w:tcPr>
          <w:p w14:paraId="2B06EDA1">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highlight w:val="none"/>
                <w:lang w:val="en-US" w:eastAsia="zh-CN"/>
              </w:rPr>
              <w:t>一致</w:t>
            </w:r>
          </w:p>
        </w:tc>
      </w:tr>
      <w:tr w14:paraId="3E804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23D5F22E">
            <w:pPr>
              <w:pStyle w:val="123"/>
              <w:spacing w:line="240" w:lineRule="auto"/>
              <w:ind w:firstLine="0"/>
              <w:jc w:val="center"/>
              <w:rPr>
                <w:rFonts w:hint="default" w:ascii="Times New Roman" w:hAnsi="Times New Roman" w:eastAsia="宋体" w:cs="Times New Roman"/>
                <w:sz w:val="21"/>
                <w:szCs w:val="21"/>
              </w:rPr>
            </w:pPr>
          </w:p>
        </w:tc>
        <w:tc>
          <w:tcPr>
            <w:tcW w:w="1080" w:type="dxa"/>
            <w:vAlign w:val="center"/>
          </w:tcPr>
          <w:p w14:paraId="5B1B3D4E">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117" w:type="dxa"/>
            <w:gridSpan w:val="2"/>
            <w:vAlign w:val="center"/>
          </w:tcPr>
          <w:p w14:paraId="2B02C0D7">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eastAsia" w:ascii="宋体" w:hAnsi="宋体" w:eastAsia="宋体" w:cs="宋体"/>
                <w:color w:val="000000"/>
                <w:kern w:val="0"/>
                <w:sz w:val="21"/>
                <w:szCs w:val="21"/>
                <w:lang w:val="en-US" w:eastAsia="zh-CN" w:bidi="ar"/>
              </w:rPr>
              <w:t>由当地供电系统供应</w:t>
            </w:r>
          </w:p>
        </w:tc>
        <w:tc>
          <w:tcPr>
            <w:tcW w:w="3118" w:type="dxa"/>
            <w:vAlign w:val="center"/>
          </w:tcPr>
          <w:p w14:paraId="084453D8">
            <w:pPr>
              <w:keepNext w:val="0"/>
              <w:keepLines w:val="0"/>
              <w:widowControl/>
              <w:suppressLineNumbers w:val="0"/>
              <w:spacing w:line="240" w:lineRule="auto"/>
              <w:jc w:val="left"/>
              <w:rPr>
                <w:rFonts w:hint="default" w:ascii="Times New Roman" w:hAnsi="Times New Roman" w:cs="Times New Roman" w:eastAsiaTheme="minorEastAsia"/>
                <w:kern w:val="2"/>
                <w:sz w:val="21"/>
                <w:szCs w:val="22"/>
                <w:highlight w:val="none"/>
                <w:lang w:val="en-US" w:eastAsia="zh-CN" w:bidi="ar-SA"/>
              </w:rPr>
            </w:pPr>
            <w:r>
              <w:rPr>
                <w:rFonts w:hint="eastAsia" w:ascii="宋体" w:hAnsi="宋体" w:eastAsia="宋体" w:cs="宋体"/>
                <w:color w:val="000000"/>
                <w:kern w:val="0"/>
                <w:sz w:val="21"/>
                <w:szCs w:val="21"/>
                <w:lang w:val="en-US" w:eastAsia="zh-CN" w:bidi="ar"/>
              </w:rPr>
              <w:t>由当地供电系统供应</w:t>
            </w:r>
          </w:p>
        </w:tc>
        <w:tc>
          <w:tcPr>
            <w:tcW w:w="1224" w:type="dxa"/>
            <w:vAlign w:val="center"/>
          </w:tcPr>
          <w:p w14:paraId="59313F30">
            <w:pPr>
              <w:widowControl/>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14:paraId="0A3BD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restart"/>
            <w:vAlign w:val="center"/>
          </w:tcPr>
          <w:p w14:paraId="01862D88">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14:paraId="3FCBBCD1">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80" w:type="dxa"/>
            <w:vAlign w:val="center"/>
          </w:tcPr>
          <w:p w14:paraId="3BFD971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117" w:type="dxa"/>
            <w:gridSpan w:val="2"/>
            <w:vAlign w:val="center"/>
          </w:tcPr>
          <w:p w14:paraId="189FA4D8">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生活污水经厂区化粪池处理与经</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 xml:space="preserve">预处理+隔油+芬顿氧化+絮 </w:t>
            </w:r>
          </w:p>
          <w:p w14:paraId="232FB64D">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凝沉淀</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处理的生产废水处理达标后一同纳管，送武义县城市污水处理厂处理达标排放</w:t>
            </w:r>
          </w:p>
        </w:tc>
        <w:tc>
          <w:tcPr>
            <w:tcW w:w="3118" w:type="dxa"/>
            <w:vAlign w:val="center"/>
          </w:tcPr>
          <w:p w14:paraId="0C754776">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生活污水经厂区化粪池处理与经</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预处理+隔油</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shd w:val="clear"/>
                <w:lang w:val="en-US" w:eastAsia="zh-CN" w:bidi="ar-SA"/>
              </w:rPr>
              <w:t>芬顿氧化</w:t>
            </w:r>
            <w:r>
              <w:rPr>
                <w:rFonts w:hint="default" w:ascii="Times New Roman" w:hAnsi="Times New Roman" w:eastAsia="宋体" w:cs="Times New Roman"/>
                <w:kern w:val="0"/>
                <w:sz w:val="21"/>
                <w:szCs w:val="21"/>
                <w:shd w:val="clear"/>
                <w:lang w:val="en-US" w:eastAsia="zh-CN" w:bidi="ar-SA"/>
              </w:rPr>
              <w:t>+</w:t>
            </w:r>
            <w:r>
              <w:rPr>
                <w:rFonts w:hint="default" w:ascii="Times New Roman" w:hAnsi="Times New Roman" w:eastAsia="宋体" w:cs="Times New Roman"/>
                <w:kern w:val="0"/>
                <w:sz w:val="21"/>
                <w:szCs w:val="21"/>
                <w:lang w:val="en-US" w:eastAsia="zh-CN" w:bidi="ar-SA"/>
              </w:rPr>
              <w:t xml:space="preserve">絮 </w:t>
            </w:r>
          </w:p>
          <w:p w14:paraId="76BBD383">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凝沉淀</w:t>
            </w:r>
            <w:r>
              <w:rPr>
                <w:rFonts w:hint="eastAsia"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处理的生产废水处理达到《污水综合排放标准》（GB 8978-1996）三级标准（其中氨氮排放执行《工业企业废水氮、磷污染物间接排放限值》（DB 33/887-2013）中标准限值）后纳管，经武义县城市污水处理厂集中处理达标后</w:t>
            </w:r>
            <w:r>
              <w:rPr>
                <w:rFonts w:hint="eastAsia" w:ascii="Times New Roman" w:hAnsi="Times New Roman" w:eastAsia="宋体" w:cs="Times New Roman"/>
                <w:kern w:val="0"/>
                <w:sz w:val="21"/>
                <w:szCs w:val="21"/>
                <w:lang w:val="en-US" w:eastAsia="zh-CN" w:bidi="ar-SA"/>
              </w:rPr>
              <w:t>排放</w:t>
            </w:r>
          </w:p>
        </w:tc>
        <w:tc>
          <w:tcPr>
            <w:tcW w:w="1224" w:type="dxa"/>
            <w:vAlign w:val="center"/>
          </w:tcPr>
          <w:p w14:paraId="11DA9457">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一致</w:t>
            </w:r>
          </w:p>
        </w:tc>
      </w:tr>
      <w:tr w14:paraId="3E4FF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6CE40D3C">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restart"/>
            <w:vAlign w:val="center"/>
          </w:tcPr>
          <w:p w14:paraId="1B10E3A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117" w:type="dxa"/>
            <w:gridSpan w:val="2"/>
            <w:vMerge w:val="restart"/>
            <w:vAlign w:val="center"/>
          </w:tcPr>
          <w:p w14:paraId="6AF4A11A">
            <w:pPr>
              <w:spacing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highlight w:val="none"/>
                <w:lang w:val="en-US" w:eastAsia="zh-CN" w:bidi="ar-SA"/>
              </w:rPr>
              <w:t>①油性漆喷漆废气、烘干废气、天然气燃烧废气经过水喷淋+干式过滤+活性炭吸附+脱附+催化燃烧装置处理后，经过15m高排气筒（DA001）高空排放</w:t>
            </w:r>
          </w:p>
        </w:tc>
        <w:tc>
          <w:tcPr>
            <w:tcW w:w="3118" w:type="dxa"/>
            <w:vAlign w:val="center"/>
          </w:tcPr>
          <w:p w14:paraId="446C2275">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①</w:t>
            </w:r>
            <w:r>
              <w:rPr>
                <w:rFonts w:hint="eastAsia" w:ascii="Times New Roman" w:hAnsi="Times New Roman" w:eastAsia="宋体" w:cs="Times New Roman"/>
                <w:kern w:val="0"/>
                <w:sz w:val="21"/>
                <w:szCs w:val="21"/>
                <w:highlight w:val="none"/>
                <w:lang w:val="en-US" w:eastAsia="zh-CN" w:bidi="ar-SA"/>
              </w:rPr>
              <w:t>2F、3F</w:t>
            </w:r>
            <w:r>
              <w:rPr>
                <w:rFonts w:hint="default" w:ascii="Times New Roman" w:hAnsi="Times New Roman" w:eastAsia="宋体" w:cs="Times New Roman"/>
                <w:kern w:val="0"/>
                <w:sz w:val="21"/>
                <w:szCs w:val="21"/>
                <w:highlight w:val="none"/>
                <w:lang w:val="en-US" w:eastAsia="zh-CN" w:bidi="ar-SA"/>
              </w:rPr>
              <w:t>油性漆</w:t>
            </w:r>
            <w:r>
              <w:rPr>
                <w:rFonts w:hint="eastAsia" w:ascii="Times New Roman" w:hAnsi="Times New Roman" w:eastAsia="宋体" w:cs="Times New Roman"/>
                <w:kern w:val="0"/>
                <w:sz w:val="21"/>
                <w:szCs w:val="21"/>
                <w:highlight w:val="none"/>
                <w:lang w:val="en-US" w:eastAsia="zh-CN" w:bidi="ar-SA"/>
              </w:rPr>
              <w:t>调漆、喷漆废气收集后</w:t>
            </w:r>
            <w:r>
              <w:rPr>
                <w:rFonts w:hint="default" w:ascii="Times New Roman" w:hAnsi="Times New Roman" w:eastAsia="宋体" w:cs="Times New Roman"/>
                <w:kern w:val="0"/>
                <w:sz w:val="21"/>
                <w:szCs w:val="21"/>
                <w:highlight w:val="none"/>
                <w:lang w:val="en-US" w:eastAsia="zh-CN" w:bidi="ar-SA"/>
              </w:rPr>
              <w:t>经过</w:t>
            </w:r>
            <w:r>
              <w:rPr>
                <w:rFonts w:hint="eastAsia" w:ascii="Times New Roman" w:hAnsi="Times New Roman" w:eastAsia="宋体" w:cs="Times New Roman"/>
                <w:kern w:val="0"/>
                <w:sz w:val="21"/>
                <w:szCs w:val="21"/>
                <w:highlight w:val="none"/>
                <w:lang w:val="en-US" w:eastAsia="zh-CN" w:bidi="ar-SA"/>
              </w:rPr>
              <w:t>“</w:t>
            </w:r>
            <w:r>
              <w:rPr>
                <w:rFonts w:hint="default" w:ascii="Times New Roman" w:hAnsi="Times New Roman" w:eastAsia="宋体" w:cs="Times New Roman"/>
                <w:kern w:val="0"/>
                <w:sz w:val="21"/>
                <w:szCs w:val="21"/>
                <w:highlight w:val="none"/>
                <w:lang w:val="en-US" w:eastAsia="zh-CN" w:bidi="ar-SA"/>
              </w:rPr>
              <w:t>水喷淋+干式过滤+活性炭吸附+脱附+催化燃烧装置</w:t>
            </w:r>
            <w:r>
              <w:rPr>
                <w:rFonts w:hint="eastAsia" w:ascii="Times New Roman" w:hAnsi="Times New Roman" w:eastAsia="宋体" w:cs="Times New Roman"/>
                <w:kern w:val="0"/>
                <w:sz w:val="21"/>
                <w:szCs w:val="21"/>
                <w:highlight w:val="none"/>
                <w:lang w:val="en-US" w:eastAsia="zh-CN" w:bidi="ar-SA"/>
              </w:rPr>
              <w:t>”</w:t>
            </w:r>
            <w:r>
              <w:rPr>
                <w:rFonts w:hint="default" w:ascii="Times New Roman" w:hAnsi="Times New Roman" w:eastAsia="宋体" w:cs="Times New Roman"/>
                <w:kern w:val="0"/>
                <w:sz w:val="21"/>
                <w:szCs w:val="21"/>
                <w:highlight w:val="none"/>
                <w:lang w:val="en-US" w:eastAsia="zh-CN" w:bidi="ar-SA"/>
              </w:rPr>
              <w:t>处理后，经过</w:t>
            </w:r>
            <w:r>
              <w:rPr>
                <w:rFonts w:hint="eastAsia" w:ascii="Times New Roman" w:hAnsi="Times New Roman" w:eastAsia="宋体" w:cs="Times New Roman"/>
                <w:kern w:val="0"/>
                <w:sz w:val="21"/>
                <w:szCs w:val="21"/>
                <w:highlight w:val="none"/>
                <w:lang w:val="en-US" w:eastAsia="zh-CN" w:bidi="ar-SA"/>
              </w:rPr>
              <w:t>20</w:t>
            </w:r>
            <w:r>
              <w:rPr>
                <w:rFonts w:hint="default" w:ascii="Times New Roman" w:hAnsi="Times New Roman" w:eastAsia="宋体" w:cs="Times New Roman"/>
                <w:kern w:val="0"/>
                <w:sz w:val="21"/>
                <w:szCs w:val="21"/>
                <w:highlight w:val="none"/>
                <w:lang w:val="en-US" w:eastAsia="zh-CN" w:bidi="ar-SA"/>
              </w:rPr>
              <w:t>m高排气筒（DA001）高空排放；</w:t>
            </w:r>
          </w:p>
        </w:tc>
        <w:tc>
          <w:tcPr>
            <w:tcW w:w="1224" w:type="dxa"/>
            <w:vMerge w:val="restart"/>
            <w:vAlign w:val="center"/>
          </w:tcPr>
          <w:p w14:paraId="6D78EEA4">
            <w:pPr>
              <w:spacing w:line="240" w:lineRule="auto"/>
              <w:jc w:val="center"/>
              <w:rPr>
                <w:rFonts w:hint="default" w:ascii="Times New Roman" w:hAnsi="Times New Roman" w:eastAsia="宋体" w:cs="Times New Roman"/>
                <w:b/>
                <w:bCs/>
                <w:snapToGrid w:val="0"/>
                <w:color w:val="auto"/>
                <w:spacing w:val="-10"/>
                <w:kern w:val="24"/>
                <w:sz w:val="21"/>
                <w:szCs w:val="21"/>
                <w:highlight w:val="none"/>
                <w:lang w:val="en-US" w:eastAsia="zh-CN"/>
              </w:rPr>
            </w:pPr>
            <w:r>
              <w:rPr>
                <w:rFonts w:hint="eastAsia" w:ascii="Times New Roman" w:hAnsi="Times New Roman" w:eastAsia="宋体" w:cs="Times New Roman"/>
                <w:b w:val="0"/>
                <w:bCs w:val="0"/>
                <w:snapToGrid w:val="0"/>
                <w:color w:val="auto"/>
                <w:spacing w:val="-10"/>
                <w:kern w:val="24"/>
                <w:sz w:val="21"/>
                <w:szCs w:val="21"/>
                <w:highlight w:val="none"/>
                <w:lang w:val="en-US" w:eastAsia="zh-CN"/>
              </w:rPr>
              <w:t>油性漆调漆、喷漆废气和烘干固化废气、天然气燃烧废气经两套处理设施处理后排放，其余基本一致</w:t>
            </w:r>
          </w:p>
        </w:tc>
      </w:tr>
      <w:tr w14:paraId="3E1A9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7897D8AC">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Merge w:val="continue"/>
            <w:vAlign w:val="center"/>
          </w:tcPr>
          <w:p w14:paraId="0D7D31DD">
            <w:pPr>
              <w:jc w:val="center"/>
              <w:rPr>
                <w:rFonts w:hint="default" w:ascii="Times New Roman" w:hAnsi="Times New Roman" w:eastAsia="宋体" w:cs="Times New Roman"/>
                <w:sz w:val="21"/>
                <w:szCs w:val="21"/>
              </w:rPr>
            </w:pPr>
          </w:p>
        </w:tc>
        <w:tc>
          <w:tcPr>
            <w:tcW w:w="3117" w:type="dxa"/>
            <w:gridSpan w:val="2"/>
            <w:vMerge w:val="continue"/>
            <w:vAlign w:val="center"/>
          </w:tcPr>
          <w:p w14:paraId="30E0EE6F">
            <w:pPr>
              <w:spacing w:line="240" w:lineRule="auto"/>
              <w:rPr>
                <w:rFonts w:hint="default" w:ascii="Times New Roman" w:hAnsi="Times New Roman" w:eastAsia="宋体" w:cs="Times New Roman"/>
                <w:kern w:val="0"/>
                <w:sz w:val="21"/>
                <w:szCs w:val="21"/>
                <w:highlight w:val="none"/>
                <w:lang w:val="en-US" w:eastAsia="zh-CN" w:bidi="ar-SA"/>
              </w:rPr>
            </w:pPr>
          </w:p>
        </w:tc>
        <w:tc>
          <w:tcPr>
            <w:tcW w:w="3118" w:type="dxa"/>
            <w:vAlign w:val="center"/>
          </w:tcPr>
          <w:p w14:paraId="15AE3503">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②</w:t>
            </w:r>
            <w:r>
              <w:rPr>
                <w:rFonts w:hint="eastAsia" w:ascii="Times New Roman" w:hAnsi="Times New Roman" w:eastAsia="宋体" w:cs="Times New Roman"/>
                <w:kern w:val="0"/>
                <w:sz w:val="21"/>
                <w:szCs w:val="21"/>
                <w:highlight w:val="none"/>
                <w:lang w:val="en-US" w:eastAsia="zh-CN" w:bidi="ar-SA"/>
              </w:rPr>
              <w:t>2F、3F烘干固化、天然气燃烧废气收集后经“</w:t>
            </w:r>
            <w:r>
              <w:rPr>
                <w:rFonts w:hint="default" w:ascii="Times New Roman" w:hAnsi="Times New Roman" w:eastAsia="宋体" w:cs="Times New Roman"/>
                <w:kern w:val="0"/>
                <w:sz w:val="21"/>
                <w:szCs w:val="21"/>
                <w:highlight w:val="none"/>
                <w:lang w:val="en-US" w:eastAsia="zh-CN" w:bidi="ar-SA"/>
              </w:rPr>
              <w:t>水喷淋+活性炭吸附+脱附+催化燃烧装置</w:t>
            </w:r>
            <w:r>
              <w:rPr>
                <w:rFonts w:hint="eastAsia" w:ascii="Times New Roman" w:hAnsi="Times New Roman" w:eastAsia="宋体" w:cs="Times New Roman"/>
                <w:kern w:val="0"/>
                <w:sz w:val="21"/>
                <w:szCs w:val="21"/>
                <w:highlight w:val="none"/>
                <w:lang w:val="en-US" w:eastAsia="zh-CN" w:bidi="ar-SA"/>
              </w:rPr>
              <w:t>”</w:t>
            </w:r>
            <w:r>
              <w:rPr>
                <w:rFonts w:hint="default" w:ascii="Times New Roman" w:hAnsi="Times New Roman" w:eastAsia="宋体" w:cs="Times New Roman"/>
                <w:kern w:val="0"/>
                <w:sz w:val="21"/>
                <w:szCs w:val="21"/>
                <w:highlight w:val="none"/>
                <w:lang w:val="en-US" w:eastAsia="zh-CN" w:bidi="ar-SA"/>
              </w:rPr>
              <w:t>处理后，经过</w:t>
            </w:r>
            <w:r>
              <w:rPr>
                <w:rFonts w:hint="eastAsia" w:ascii="Times New Roman" w:hAnsi="Times New Roman" w:eastAsia="宋体" w:cs="Times New Roman"/>
                <w:kern w:val="0"/>
                <w:sz w:val="21"/>
                <w:szCs w:val="21"/>
                <w:highlight w:val="none"/>
                <w:lang w:val="en-US" w:eastAsia="zh-CN" w:bidi="ar-SA"/>
              </w:rPr>
              <w:t>20</w:t>
            </w:r>
            <w:r>
              <w:rPr>
                <w:rFonts w:hint="default" w:ascii="Times New Roman" w:hAnsi="Times New Roman" w:eastAsia="宋体" w:cs="Times New Roman"/>
                <w:kern w:val="0"/>
                <w:sz w:val="21"/>
                <w:szCs w:val="21"/>
                <w:highlight w:val="none"/>
                <w:lang w:val="en-US" w:eastAsia="zh-CN" w:bidi="ar-SA"/>
              </w:rPr>
              <w:t>m高排气筒（DA00</w:t>
            </w:r>
            <w:r>
              <w:rPr>
                <w:rFonts w:hint="eastAsia" w:ascii="Times New Roman" w:hAnsi="Times New Roman" w:eastAsia="宋体" w:cs="Times New Roman"/>
                <w:kern w:val="0"/>
                <w:sz w:val="21"/>
                <w:szCs w:val="21"/>
                <w:highlight w:val="none"/>
                <w:lang w:val="en-US" w:eastAsia="zh-CN" w:bidi="ar-SA"/>
              </w:rPr>
              <w:t>3</w:t>
            </w:r>
            <w:r>
              <w:rPr>
                <w:rFonts w:hint="default" w:ascii="Times New Roman" w:hAnsi="Times New Roman" w:eastAsia="宋体" w:cs="Times New Roman"/>
                <w:kern w:val="0"/>
                <w:sz w:val="21"/>
                <w:szCs w:val="21"/>
                <w:highlight w:val="none"/>
                <w:lang w:val="en-US" w:eastAsia="zh-CN" w:bidi="ar-SA"/>
              </w:rPr>
              <w:t>）高空排放</w:t>
            </w:r>
          </w:p>
        </w:tc>
        <w:tc>
          <w:tcPr>
            <w:tcW w:w="1224" w:type="dxa"/>
            <w:vMerge w:val="continue"/>
            <w:vAlign w:val="center"/>
          </w:tcPr>
          <w:p w14:paraId="5E062A9A">
            <w:pPr>
              <w:spacing w:line="240" w:lineRule="auto"/>
              <w:jc w:val="center"/>
              <w:rPr>
                <w:rFonts w:hint="eastAsia" w:ascii="Times New Roman" w:hAnsi="Times New Roman" w:eastAsia="宋体" w:cs="Times New Roman"/>
                <w:b w:val="0"/>
                <w:bCs w:val="0"/>
                <w:snapToGrid w:val="0"/>
                <w:color w:val="auto"/>
                <w:spacing w:val="-10"/>
                <w:kern w:val="24"/>
                <w:sz w:val="21"/>
                <w:szCs w:val="21"/>
                <w:highlight w:val="none"/>
                <w:lang w:val="en-US" w:eastAsia="zh-CN"/>
              </w:rPr>
            </w:pPr>
          </w:p>
        </w:tc>
      </w:tr>
      <w:tr w14:paraId="5861D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46F49C41">
            <w:pPr>
              <w:spacing w:line="240" w:lineRule="auto"/>
            </w:pPr>
          </w:p>
        </w:tc>
        <w:tc>
          <w:tcPr>
            <w:tcW w:w="1080" w:type="dxa"/>
            <w:vMerge w:val="continue"/>
            <w:vAlign w:val="center"/>
          </w:tcPr>
          <w:p w14:paraId="6EE80FAD">
            <w:pPr>
              <w:spacing w:line="240" w:lineRule="auto"/>
            </w:pPr>
          </w:p>
        </w:tc>
        <w:tc>
          <w:tcPr>
            <w:tcW w:w="3117" w:type="dxa"/>
            <w:gridSpan w:val="2"/>
            <w:vAlign w:val="center"/>
          </w:tcPr>
          <w:p w14:paraId="0D4821E6">
            <w:pPr>
              <w:spacing w:line="240" w:lineRule="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②天然气燃烧废气（清洗烘干）经收集后，经过</w:t>
            </w:r>
            <w:r>
              <w:rPr>
                <w:rFonts w:hint="eastAsia" w:ascii="Times New Roman" w:hAnsi="Times New Roman" w:eastAsia="宋体" w:cs="Times New Roman"/>
                <w:kern w:val="0"/>
                <w:sz w:val="21"/>
                <w:szCs w:val="21"/>
                <w:lang w:val="en-US" w:eastAsia="zh-CN" w:bidi="ar-SA"/>
              </w:rPr>
              <w:t>1</w:t>
            </w:r>
            <w:r>
              <w:rPr>
                <w:rFonts w:hint="default" w:ascii="Times New Roman" w:hAnsi="Times New Roman" w:eastAsia="宋体" w:cs="Times New Roman"/>
                <w:kern w:val="0"/>
                <w:sz w:val="21"/>
                <w:szCs w:val="21"/>
                <w:lang w:val="en-US" w:eastAsia="zh-CN" w:bidi="ar-SA"/>
              </w:rPr>
              <w:t>5m高排气筒（DA002）高空排放</w:t>
            </w:r>
          </w:p>
        </w:tc>
        <w:tc>
          <w:tcPr>
            <w:tcW w:w="3118" w:type="dxa"/>
            <w:vAlign w:val="center"/>
          </w:tcPr>
          <w:p w14:paraId="6BBA00DB">
            <w:pPr>
              <w:spacing w:line="240" w:lineRule="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 xml:space="preserve">③天然气燃烧废气（清洗烘干） </w:t>
            </w:r>
          </w:p>
          <w:p w14:paraId="4A54178B">
            <w:pPr>
              <w:spacing w:line="240" w:lineRule="auto"/>
              <w:rPr>
                <w:rFonts w:hint="eastAsia"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经收集后，经过</w:t>
            </w:r>
            <w:r>
              <w:rPr>
                <w:rFonts w:hint="eastAsia" w:ascii="Times New Roman" w:hAnsi="Times New Roman" w:eastAsia="宋体" w:cs="Times New Roman"/>
                <w:kern w:val="0"/>
                <w:sz w:val="21"/>
                <w:szCs w:val="21"/>
                <w:highlight w:val="none"/>
                <w:lang w:val="en-US" w:eastAsia="zh-CN" w:bidi="ar-SA"/>
              </w:rPr>
              <w:t>20</w:t>
            </w:r>
            <w:r>
              <w:rPr>
                <w:rFonts w:hint="default" w:ascii="Times New Roman" w:hAnsi="Times New Roman" w:eastAsia="宋体" w:cs="Times New Roman"/>
                <w:kern w:val="0"/>
                <w:sz w:val="21"/>
                <w:szCs w:val="21"/>
                <w:highlight w:val="none"/>
                <w:lang w:val="en-US" w:eastAsia="zh-CN" w:bidi="ar-SA"/>
              </w:rPr>
              <w:t>m高排气筒（DA002）高空排放</w:t>
            </w:r>
          </w:p>
        </w:tc>
        <w:tc>
          <w:tcPr>
            <w:tcW w:w="1224" w:type="dxa"/>
            <w:vAlign w:val="center"/>
          </w:tcPr>
          <w:p w14:paraId="524F2F04">
            <w:pPr>
              <w:spacing w:line="240" w:lineRule="auto"/>
              <w:jc w:val="center"/>
              <w:rPr>
                <w:rFonts w:hint="default" w:ascii="Times New Roman" w:hAnsi="Times New Roman" w:eastAsia="宋体" w:cs="Times New Roman"/>
                <w:kern w:val="0"/>
                <w:sz w:val="21"/>
                <w:szCs w:val="21"/>
                <w:lang w:val="en-US" w:eastAsia="zh-CN" w:bidi="ar-SA"/>
              </w:rPr>
            </w:pPr>
            <w:r>
              <w:rPr>
                <w:rFonts w:hint="eastAsia"/>
                <w:lang w:val="en-US" w:eastAsia="zh-CN"/>
              </w:rPr>
              <w:t>一致</w:t>
            </w:r>
          </w:p>
        </w:tc>
      </w:tr>
      <w:tr w14:paraId="0B321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50D25D53">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14:paraId="0E6790ED">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117" w:type="dxa"/>
            <w:gridSpan w:val="2"/>
            <w:vAlign w:val="center"/>
          </w:tcPr>
          <w:p w14:paraId="5C485004">
            <w:pPr>
              <w:keepNext w:val="0"/>
              <w:keepLines w:val="0"/>
              <w:widowControl/>
              <w:suppressLineNumbers w:val="0"/>
              <w:jc w:val="left"/>
              <w:rPr>
                <w:rFonts w:hint="default" w:ascii="Times New Roman" w:hAnsi="Times New Roman" w:eastAsia="宋体" w:cs="Times New Roman"/>
                <w:bCs/>
                <w:sz w:val="21"/>
                <w:szCs w:val="21"/>
                <w:lang w:val="en-US"/>
              </w:rPr>
            </w:pPr>
            <w:r>
              <w:rPr>
                <w:rFonts w:hint="default" w:ascii="Times New Roman" w:hAnsi="Times New Roman" w:eastAsia="宋体" w:cs="Times New Roman"/>
                <w:bCs/>
                <w:sz w:val="21"/>
                <w:szCs w:val="21"/>
                <w:lang w:val="en-US" w:eastAsia="zh-CN"/>
              </w:rPr>
              <w:t>采用低噪声设备，合理车间布局，采取减振措施，加强设备维护和管理等</w:t>
            </w:r>
          </w:p>
        </w:tc>
        <w:tc>
          <w:tcPr>
            <w:tcW w:w="3118" w:type="dxa"/>
            <w:vAlign w:val="center"/>
          </w:tcPr>
          <w:p w14:paraId="62DE31FE">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p>
        </w:tc>
        <w:tc>
          <w:tcPr>
            <w:tcW w:w="1224" w:type="dxa"/>
            <w:vAlign w:val="center"/>
          </w:tcPr>
          <w:p w14:paraId="281C34A8">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tr w14:paraId="0484A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Merge w:val="continue"/>
            <w:vAlign w:val="center"/>
          </w:tcPr>
          <w:p w14:paraId="5C75A083">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80" w:type="dxa"/>
            <w:vAlign w:val="center"/>
          </w:tcPr>
          <w:p w14:paraId="24D682B4">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117" w:type="dxa"/>
            <w:gridSpan w:val="2"/>
            <w:vAlign w:val="center"/>
          </w:tcPr>
          <w:p w14:paraId="6B399CB1">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w:t>
            </w:r>
            <w:r>
              <w:rPr>
                <w:rFonts w:hint="eastAsia" w:ascii="Times New Roman" w:hAnsi="Times New Roman" w:eastAsia="宋体" w:cs="Times New Roman"/>
                <w:bCs/>
                <w:sz w:val="21"/>
                <w:szCs w:val="21"/>
                <w:lang w:val="en-US" w:eastAsia="zh-CN" w:bidi="zh-CN"/>
              </w:rPr>
              <w:t>2F（35m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 xml:space="preserve">收集后在厂区内暂存，委托有资质单位进行安全运输、处置； </w:t>
            </w:r>
          </w:p>
          <w:p w14:paraId="4A0042B1">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位于厂房</w:t>
            </w:r>
            <w:r>
              <w:rPr>
                <w:rFonts w:hint="eastAsia" w:ascii="Times New Roman" w:hAnsi="Times New Roman" w:eastAsia="宋体" w:cs="Times New Roman"/>
                <w:bCs/>
                <w:sz w:val="21"/>
                <w:szCs w:val="21"/>
                <w:lang w:val="en-US" w:eastAsia="zh-CN" w:bidi="zh-CN"/>
              </w:rPr>
              <w:t>1F，收集后由专业回收公司综合利用</w:t>
            </w:r>
            <w:r>
              <w:rPr>
                <w:rFonts w:hint="default" w:ascii="Times New Roman" w:hAnsi="Times New Roman" w:eastAsia="宋体" w:cs="Times New Roman"/>
                <w:bCs/>
                <w:sz w:val="21"/>
                <w:szCs w:val="21"/>
                <w:lang w:val="en-US" w:eastAsia="zh-CN" w:bidi="zh-CN"/>
              </w:rPr>
              <w:t xml:space="preserve">； </w:t>
            </w:r>
          </w:p>
          <w:p w14:paraId="048F7296">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3118" w:type="dxa"/>
            <w:vAlign w:val="center"/>
          </w:tcPr>
          <w:p w14:paraId="3E521D8F">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危险废物：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位于位于厂房</w:t>
            </w:r>
            <w:r>
              <w:rPr>
                <w:rFonts w:hint="eastAsia" w:ascii="Times New Roman" w:hAnsi="Times New Roman" w:eastAsia="宋体" w:cs="Times New Roman"/>
                <w:bCs/>
                <w:sz w:val="21"/>
                <w:szCs w:val="21"/>
                <w:lang w:val="en-US" w:eastAsia="zh-CN" w:bidi="zh-CN"/>
              </w:rPr>
              <w:t>2F（35m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lang w:val="en-US" w:eastAsia="zh-CN" w:bidi="zh-CN"/>
              </w:rPr>
              <w:t>），</w:t>
            </w:r>
            <w:r>
              <w:rPr>
                <w:rFonts w:hint="default" w:ascii="Times New Roman" w:hAnsi="Times New Roman" w:eastAsia="宋体" w:cs="Times New Roman"/>
                <w:bCs/>
                <w:sz w:val="21"/>
                <w:szCs w:val="21"/>
                <w:lang w:val="en-US" w:eastAsia="zh-CN" w:bidi="zh-CN"/>
              </w:rPr>
              <w:t>收集后在厂区内暂存，委托</w:t>
            </w:r>
            <w:r>
              <w:rPr>
                <w:rFonts w:hint="eastAsia" w:ascii="Times New Roman" w:hAnsi="Times New Roman" w:eastAsia="宋体" w:cs="Times New Roman"/>
                <w:bCs/>
                <w:sz w:val="21"/>
                <w:szCs w:val="21"/>
                <w:highlight w:val="none"/>
                <w:lang w:val="en-US" w:eastAsia="zh-CN" w:bidi="zh-CN"/>
              </w:rPr>
              <w:t>武义方驰环保咨询服务有限公司</w:t>
            </w:r>
            <w:r>
              <w:rPr>
                <w:rFonts w:hint="default" w:ascii="Times New Roman" w:hAnsi="Times New Roman" w:eastAsia="宋体" w:cs="Times New Roman"/>
                <w:bCs/>
                <w:sz w:val="21"/>
                <w:szCs w:val="21"/>
                <w:lang w:val="en-US" w:eastAsia="zh-CN" w:bidi="zh-CN"/>
              </w:rPr>
              <w:t xml:space="preserve">进行安全处置； </w:t>
            </w:r>
          </w:p>
          <w:p w14:paraId="4EC33ADE">
            <w:pPr>
              <w:rPr>
                <w:rFonts w:hint="default" w:ascii="Times New Roman" w:hAnsi="Times New Roman" w:eastAsia="宋体" w:cs="Times New Roman"/>
                <w:bCs/>
                <w:sz w:val="21"/>
                <w:szCs w:val="21"/>
                <w:lang w:val="en-US" w:eastAsia="zh-CN" w:bidi="zh-CN"/>
              </w:rPr>
            </w:pPr>
            <w:r>
              <w:rPr>
                <w:rFonts w:hint="default" w:ascii="Times New Roman" w:hAnsi="Times New Roman" w:eastAsia="宋体" w:cs="Times New Roman"/>
                <w:bCs/>
                <w:sz w:val="21"/>
                <w:szCs w:val="21"/>
                <w:lang w:val="en-US" w:eastAsia="zh-CN" w:bidi="zh-CN"/>
              </w:rPr>
              <w:t>一般工业废物：</w:t>
            </w:r>
            <w:r>
              <w:rPr>
                <w:rFonts w:hint="eastAsia" w:ascii="Times New Roman" w:hAnsi="Times New Roman" w:eastAsia="宋体" w:cs="Times New Roman"/>
                <w:bCs/>
                <w:sz w:val="21"/>
                <w:szCs w:val="21"/>
                <w:lang w:val="en-US" w:eastAsia="zh-CN" w:bidi="zh-CN"/>
              </w:rPr>
              <w:t>仓库</w:t>
            </w:r>
            <w:r>
              <w:rPr>
                <w:rFonts w:hint="default" w:ascii="Times New Roman" w:hAnsi="Times New Roman" w:eastAsia="宋体" w:cs="Times New Roman"/>
                <w:bCs/>
                <w:sz w:val="21"/>
                <w:szCs w:val="21"/>
                <w:lang w:val="en-US" w:eastAsia="zh-CN" w:bidi="zh-CN"/>
              </w:rPr>
              <w:t>位</w:t>
            </w:r>
            <w:r>
              <w:rPr>
                <w:rFonts w:hint="default" w:ascii="Times New Roman" w:hAnsi="Times New Roman" w:eastAsia="宋体" w:cs="Times New Roman"/>
                <w:bCs/>
                <w:sz w:val="21"/>
                <w:szCs w:val="21"/>
                <w:highlight w:val="none"/>
                <w:lang w:val="en-US" w:eastAsia="zh-CN" w:bidi="zh-CN"/>
              </w:rPr>
              <w:t>于厂房</w:t>
            </w:r>
            <w:r>
              <w:rPr>
                <w:rFonts w:hint="eastAsia" w:ascii="Times New Roman" w:hAnsi="Times New Roman" w:eastAsia="宋体" w:cs="Times New Roman"/>
                <w:bCs/>
                <w:sz w:val="21"/>
                <w:szCs w:val="21"/>
                <w:lang w:val="en-US" w:eastAsia="zh-CN" w:bidi="zh-CN"/>
              </w:rPr>
              <w:t>1F</w:t>
            </w:r>
            <w:r>
              <w:rPr>
                <w:rFonts w:hint="eastAsia" w:ascii="Times New Roman" w:hAnsi="Times New Roman" w:eastAsia="宋体" w:cs="Times New Roman"/>
                <w:bCs/>
                <w:sz w:val="21"/>
                <w:szCs w:val="21"/>
                <w:highlight w:val="none"/>
                <w:lang w:val="en-US" w:eastAsia="zh-CN" w:bidi="zh-CN"/>
              </w:rPr>
              <w:t>西北侧（</w:t>
            </w:r>
            <w:r>
              <w:rPr>
                <w:rFonts w:hint="eastAsia" w:ascii="Times New Roman" w:hAnsi="Times New Roman" w:eastAsia="宋体" w:cs="Times New Roman"/>
                <w:bCs/>
                <w:sz w:val="21"/>
                <w:szCs w:val="21"/>
                <w:lang w:val="en-US" w:eastAsia="zh-CN" w:bidi="zh-CN"/>
              </w:rPr>
              <w:t>35m</w:t>
            </w:r>
            <w:r>
              <w:rPr>
                <w:rFonts w:hint="eastAsia" w:ascii="Times New Roman" w:hAnsi="Times New Roman" w:eastAsia="宋体" w:cs="Times New Roman"/>
                <w:bCs/>
                <w:sz w:val="21"/>
                <w:szCs w:val="21"/>
                <w:vertAlign w:val="superscript"/>
                <w:lang w:val="en-US" w:eastAsia="zh-CN" w:bidi="zh-CN"/>
              </w:rPr>
              <w:t>2</w:t>
            </w:r>
            <w:r>
              <w:rPr>
                <w:rFonts w:hint="eastAsia" w:ascii="Times New Roman" w:hAnsi="Times New Roman" w:eastAsia="宋体" w:cs="Times New Roman"/>
                <w:bCs/>
                <w:sz w:val="21"/>
                <w:szCs w:val="21"/>
                <w:highlight w:val="none"/>
                <w:lang w:val="en-US" w:eastAsia="zh-CN" w:bidi="zh-CN"/>
              </w:rPr>
              <w:t>）</w:t>
            </w:r>
            <w:r>
              <w:rPr>
                <w:rFonts w:hint="eastAsia" w:ascii="Times New Roman" w:hAnsi="Times New Roman" w:eastAsia="宋体" w:cs="Times New Roman"/>
                <w:bCs/>
                <w:sz w:val="21"/>
                <w:szCs w:val="21"/>
                <w:lang w:val="en-US" w:eastAsia="zh-CN" w:bidi="zh-CN"/>
              </w:rPr>
              <w:t>，收集后由专业回收公司综合利用</w:t>
            </w:r>
            <w:r>
              <w:rPr>
                <w:rFonts w:hint="default" w:ascii="Times New Roman" w:hAnsi="Times New Roman" w:eastAsia="宋体" w:cs="Times New Roman"/>
                <w:bCs/>
                <w:sz w:val="21"/>
                <w:szCs w:val="21"/>
                <w:lang w:val="en-US" w:eastAsia="zh-CN" w:bidi="zh-CN"/>
              </w:rPr>
              <w:t xml:space="preserve">； </w:t>
            </w:r>
          </w:p>
          <w:p w14:paraId="01D96C7A">
            <w:pP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bidi="zh-CN"/>
              </w:rPr>
              <w:t>生活垃圾：收集后由当地环卫部门清运处置</w:t>
            </w:r>
            <w:r>
              <w:rPr>
                <w:rFonts w:hint="eastAsia" w:ascii="Times New Roman" w:hAnsi="Times New Roman" w:eastAsia="宋体" w:cs="Times New Roman"/>
                <w:bCs/>
                <w:sz w:val="21"/>
                <w:szCs w:val="21"/>
                <w:lang w:val="en-US" w:eastAsia="zh-CN" w:bidi="zh-CN"/>
              </w:rPr>
              <w:t>。</w:t>
            </w:r>
          </w:p>
        </w:tc>
        <w:tc>
          <w:tcPr>
            <w:tcW w:w="1224" w:type="dxa"/>
            <w:vAlign w:val="center"/>
          </w:tcPr>
          <w:p w14:paraId="1762ADB7">
            <w:pPr>
              <w:spacing w:line="36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default" w:ascii="Times New Roman" w:hAnsi="Times New Roman" w:eastAsia="宋体" w:cs="Times New Roman"/>
                <w:snapToGrid w:val="0"/>
                <w:color w:val="auto"/>
                <w:spacing w:val="-10"/>
                <w:kern w:val="24"/>
                <w:sz w:val="21"/>
                <w:szCs w:val="21"/>
                <w:lang w:val="en-US" w:eastAsia="zh-CN"/>
              </w:rPr>
              <w:t>一致</w:t>
            </w:r>
          </w:p>
        </w:tc>
      </w:tr>
      <w:bookmarkEnd w:id="30"/>
    </w:tbl>
    <w:p w14:paraId="4BD59869">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根据企业提供资料及现场核查，现有实际产能为年产80万个金属蛋糕模具，2F、3F烘干固化、天然气燃烧废气收集后经</w:t>
      </w:r>
      <w:r>
        <w:rPr>
          <w:rFonts w:hint="eastAsia" w:ascii="Times New Roman" w:hAnsi="Times New Roman" w:cs="Times New Roman"/>
          <w:sz w:val="24"/>
          <w:szCs w:val="24"/>
          <w:highlight w:val="none"/>
          <w:lang w:val="en-US" w:eastAsia="zh-CN"/>
        </w:rPr>
        <w:t>第二套“</w:t>
      </w:r>
      <w:r>
        <w:rPr>
          <w:rFonts w:hint="default" w:ascii="Times New Roman" w:hAnsi="Times New Roman" w:cs="Times New Roman"/>
          <w:sz w:val="24"/>
          <w:szCs w:val="24"/>
          <w:highlight w:val="none"/>
          <w:lang w:val="en-US" w:eastAsia="zh-CN"/>
        </w:rPr>
        <w:t>水喷淋+活性炭吸附+脱附+催化燃烧装置</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处理后，经过20m高排气筒（DA003）高空排放，</w:t>
      </w:r>
      <w:r>
        <w:rPr>
          <w:rFonts w:hint="eastAsia" w:ascii="Times New Roman" w:hAnsi="Times New Roman" w:cs="Times New Roman"/>
          <w:sz w:val="24"/>
          <w:szCs w:val="24"/>
          <w:highlight w:val="none"/>
          <w:lang w:val="en-US" w:eastAsia="zh-CN"/>
        </w:rPr>
        <w:t>废气处理设施优化</w:t>
      </w:r>
      <w:r>
        <w:rPr>
          <w:rFonts w:hint="default" w:ascii="Times New Roman" w:hAnsi="Times New Roman" w:cs="Times New Roman"/>
          <w:sz w:val="24"/>
          <w:szCs w:val="24"/>
          <w:highlight w:val="none"/>
          <w:lang w:val="en-US" w:eastAsia="zh-CN"/>
        </w:rPr>
        <w:t>调整未导致环境防护距离范围变化且未新增敏感点，除以上变化外，其他建设内容与环评要求基本一致。</w:t>
      </w:r>
    </w:p>
    <w:p w14:paraId="2180B67E">
      <w:pPr>
        <w:pStyle w:val="13"/>
        <w:rPr>
          <w:rFonts w:hint="default" w:ascii="Times New Roman" w:hAnsi="Times New Roman" w:cs="Times New Roman"/>
          <w:sz w:val="24"/>
          <w:szCs w:val="24"/>
          <w:highlight w:val="none"/>
          <w:lang w:val="en-US" w:eastAsia="zh-CN"/>
        </w:rPr>
      </w:pPr>
    </w:p>
    <w:p w14:paraId="6419BD6B">
      <w:pPr>
        <w:pStyle w:val="14"/>
        <w:rPr>
          <w:rFonts w:hint="default"/>
          <w:lang w:val="en-US" w:eastAsia="zh-CN"/>
        </w:rPr>
      </w:pPr>
    </w:p>
    <w:p w14:paraId="11E5A473">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14:paraId="3DB10BF1">
      <w:pPr>
        <w:pStyle w:val="48"/>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2"/>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853"/>
        <w:gridCol w:w="2114"/>
        <w:gridCol w:w="1695"/>
        <w:gridCol w:w="1935"/>
      </w:tblGrid>
      <w:tr w14:paraId="668E3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14:paraId="633BEA49">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047" w:type="dxa"/>
            <w:tcBorders>
              <w:tl2br w:val="nil"/>
              <w:tr2bl w:val="nil"/>
            </w:tcBorders>
            <w:vAlign w:val="center"/>
          </w:tcPr>
          <w:p w14:paraId="13ECC0B8">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335" w:type="dxa"/>
            <w:tcBorders>
              <w:tl2br w:val="nil"/>
              <w:tr2bl w:val="nil"/>
            </w:tcBorders>
            <w:vAlign w:val="center"/>
          </w:tcPr>
          <w:p w14:paraId="40E40989">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1872" w:type="dxa"/>
            <w:tcBorders>
              <w:tl2br w:val="nil"/>
              <w:tr2bl w:val="nil"/>
            </w:tcBorders>
            <w:vAlign w:val="center"/>
          </w:tcPr>
          <w:p w14:paraId="35D9430C">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2137" w:type="dxa"/>
            <w:tcBorders>
              <w:tl2br w:val="nil"/>
              <w:tr2bl w:val="nil"/>
            </w:tcBorders>
            <w:vAlign w:val="center"/>
          </w:tcPr>
          <w:p w14:paraId="4B98BE81">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14:paraId="459B3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l2br w:val="nil"/>
              <w:tr2bl w:val="nil"/>
            </w:tcBorders>
            <w:vAlign w:val="center"/>
          </w:tcPr>
          <w:p w14:paraId="37D82235">
            <w:pPr>
              <w:pStyle w:val="111"/>
              <w:numPr>
                <w:ilvl w:val="0"/>
                <w:numId w:val="0"/>
              </w:numPr>
              <w:ind w:left="210" w:leftChars="0"/>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2047" w:type="dxa"/>
            <w:tcBorders>
              <w:tl2br w:val="nil"/>
              <w:tr2bl w:val="nil"/>
            </w:tcBorders>
            <w:vAlign w:val="center"/>
          </w:tcPr>
          <w:p w14:paraId="7A12920D">
            <w:pPr>
              <w:ind w:right="48" w:rightChars="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金属蛋糕模具</w:t>
            </w:r>
          </w:p>
        </w:tc>
        <w:tc>
          <w:tcPr>
            <w:tcW w:w="2335" w:type="dxa"/>
            <w:tcBorders>
              <w:tl2br w:val="nil"/>
              <w:tr2bl w:val="nil"/>
            </w:tcBorders>
            <w:vAlign w:val="center"/>
          </w:tcPr>
          <w:p w14:paraId="7544CE16">
            <w:pPr>
              <w:ind w:right="48" w:right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80万个</w:t>
            </w:r>
          </w:p>
        </w:tc>
        <w:tc>
          <w:tcPr>
            <w:tcW w:w="1872" w:type="dxa"/>
            <w:tcBorders>
              <w:tl2br w:val="nil"/>
              <w:tr2bl w:val="nil"/>
            </w:tcBorders>
            <w:vAlign w:val="center"/>
          </w:tcPr>
          <w:p w14:paraId="039D39B0">
            <w:pPr>
              <w:ind w:right="48" w:right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80万个</w:t>
            </w:r>
          </w:p>
        </w:tc>
        <w:tc>
          <w:tcPr>
            <w:tcW w:w="2137" w:type="dxa"/>
            <w:tcBorders>
              <w:tl2br w:val="nil"/>
              <w:tr2bl w:val="nil"/>
            </w:tcBorders>
            <w:vAlign w:val="center"/>
          </w:tcPr>
          <w:p w14:paraId="64EC5D2F">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bl>
    <w:p w14:paraId="3A262E2C">
      <w:pPr>
        <w:spacing w:line="360" w:lineRule="auto"/>
        <w:ind w:firstLine="480" w:firstLineChars="200"/>
      </w:pPr>
      <w:r>
        <w:rPr>
          <w:rFonts w:hint="eastAsia"/>
          <w:sz w:val="24"/>
          <w:szCs w:val="24"/>
          <w:lang w:val="en-US" w:eastAsia="zh-CN"/>
        </w:rPr>
        <w:t>根据企业提供资料及现场核查，企业实际产能为年产80万个金属蛋糕模具，满足本次验收产能要求，符合本次竣工验收条件要求。</w:t>
      </w:r>
    </w:p>
    <w:p w14:paraId="1123FC47">
      <w:pPr>
        <w:pStyle w:val="13"/>
        <w:outlineLvl w:val="0"/>
        <w:rPr>
          <w:rFonts w:hint="default" w:ascii="Times New Roman" w:hAnsi="Times New Roman" w:eastAsiaTheme="majorEastAsia" w:cstheme="majorBidi"/>
          <w:b/>
          <w:bCs w:val="0"/>
          <w:i w:val="0"/>
          <w:iCs w:val="0"/>
          <w:kern w:val="44"/>
          <w:sz w:val="32"/>
          <w:szCs w:val="32"/>
          <w:highlight w:val="none"/>
          <w:lang w:val="en-US" w:eastAsia="zh-CN" w:bidi="ar-SA"/>
        </w:rPr>
      </w:pPr>
      <w:bookmarkStart w:id="31" w:name="_GoBack"/>
      <w:bookmarkEnd w:id="31"/>
    </w:p>
    <w:sectPr>
      <w:headerReference r:id="rId7" w:type="default"/>
      <w:footerReference r:id="rId8" w:type="default"/>
      <w:pgSz w:w="11906" w:h="16838"/>
      <w:pgMar w:top="1440" w:right="1808" w:bottom="1440" w:left="1803"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0C605">
    <w:pPr>
      <w:pStyle w:val="19"/>
      <w:jc w:val="center"/>
      <w:rPr>
        <w:rFonts w:ascii="Times New Roman" w:hAnsi="Times New Roman" w:cs="Times New Roman"/>
      </w:rPr>
    </w:pPr>
  </w:p>
  <w:p w14:paraId="6E8D161F">
    <w:pPr>
      <w:pStyle w:val="19"/>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14:paraId="2F27A611">
        <w:pPr>
          <w:pStyle w:val="1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14:paraId="2658D83E">
    <w:pPr>
      <w:pStyle w:val="19"/>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C44C">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69EB2">
                          <w:pPr>
                            <w:pStyle w:val="19"/>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14:paraId="03C69EB2">
                    <w:pPr>
                      <w:pStyle w:val="19"/>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E4F8">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5AC4">
    <w:pPr>
      <w:pStyle w:val="20"/>
      <w:rPr>
        <w:rFonts w:hint="eastAsia" w:eastAsiaTheme="minorEastAsia"/>
        <w:lang w:eastAsia="zh-CN"/>
      </w:rPr>
    </w:pPr>
    <w:r>
      <w:rPr>
        <w:rFonts w:hint="eastAsia"/>
        <w:lang w:eastAsia="zh-CN"/>
      </w:rPr>
      <w:t>武义凯鑫厨具有限公司新增年产10万个金属制蛋糕模具项目</w:t>
    </w:r>
  </w:p>
  <w:p w14:paraId="4EAF6091">
    <w:pPr>
      <w:pStyle w:val="20"/>
    </w:pPr>
    <w:r>
      <w:rPr>
        <w:rFonts w:hint="eastAsia"/>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AB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 w:name="KSO_WPS_MARK_KEY" w:val="ccda5567-dedb-43a0-a393-6f0916fd136d"/>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25C"/>
    <w:rsid w:val="01D77756"/>
    <w:rsid w:val="02330D72"/>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59F3D1A"/>
    <w:rsid w:val="06585E79"/>
    <w:rsid w:val="067B4063"/>
    <w:rsid w:val="06E0107D"/>
    <w:rsid w:val="07100953"/>
    <w:rsid w:val="073A689E"/>
    <w:rsid w:val="0767441E"/>
    <w:rsid w:val="07840E49"/>
    <w:rsid w:val="0789674E"/>
    <w:rsid w:val="07944DAE"/>
    <w:rsid w:val="084676A7"/>
    <w:rsid w:val="085E6217"/>
    <w:rsid w:val="08824CDD"/>
    <w:rsid w:val="08852948"/>
    <w:rsid w:val="089A08E7"/>
    <w:rsid w:val="08AF5C22"/>
    <w:rsid w:val="08C2618B"/>
    <w:rsid w:val="096802A0"/>
    <w:rsid w:val="09A02495"/>
    <w:rsid w:val="09F70C3A"/>
    <w:rsid w:val="0A650C83"/>
    <w:rsid w:val="0A6758AB"/>
    <w:rsid w:val="0ADD2B47"/>
    <w:rsid w:val="0AEF236F"/>
    <w:rsid w:val="0B1547D1"/>
    <w:rsid w:val="0B80127A"/>
    <w:rsid w:val="0B8B1247"/>
    <w:rsid w:val="0BF82B2B"/>
    <w:rsid w:val="0C9320C3"/>
    <w:rsid w:val="0CAC4948"/>
    <w:rsid w:val="0CB01097"/>
    <w:rsid w:val="0CC04897"/>
    <w:rsid w:val="0D0F5858"/>
    <w:rsid w:val="0D5A2050"/>
    <w:rsid w:val="0D6136C2"/>
    <w:rsid w:val="0D8F333E"/>
    <w:rsid w:val="0DC146D0"/>
    <w:rsid w:val="0E247538"/>
    <w:rsid w:val="0E2D3854"/>
    <w:rsid w:val="0E9D4E90"/>
    <w:rsid w:val="0F191488"/>
    <w:rsid w:val="0F6239E3"/>
    <w:rsid w:val="0FA75CED"/>
    <w:rsid w:val="1002237D"/>
    <w:rsid w:val="10046B7B"/>
    <w:rsid w:val="102A63FC"/>
    <w:rsid w:val="1032785A"/>
    <w:rsid w:val="105E2DCF"/>
    <w:rsid w:val="106C2E87"/>
    <w:rsid w:val="10DD4E33"/>
    <w:rsid w:val="11235435"/>
    <w:rsid w:val="115A302A"/>
    <w:rsid w:val="115A78B9"/>
    <w:rsid w:val="11734152"/>
    <w:rsid w:val="117369C6"/>
    <w:rsid w:val="11A976A8"/>
    <w:rsid w:val="120572AA"/>
    <w:rsid w:val="127F3835"/>
    <w:rsid w:val="12D82A7F"/>
    <w:rsid w:val="12F70852"/>
    <w:rsid w:val="1332191F"/>
    <w:rsid w:val="13557CF8"/>
    <w:rsid w:val="13816A4E"/>
    <w:rsid w:val="13A25056"/>
    <w:rsid w:val="13E15DC0"/>
    <w:rsid w:val="142A5FDC"/>
    <w:rsid w:val="147D1E66"/>
    <w:rsid w:val="149641DD"/>
    <w:rsid w:val="14C721CE"/>
    <w:rsid w:val="14E77BEC"/>
    <w:rsid w:val="14F90946"/>
    <w:rsid w:val="151678B7"/>
    <w:rsid w:val="15830E8D"/>
    <w:rsid w:val="15C42D41"/>
    <w:rsid w:val="16D927DD"/>
    <w:rsid w:val="16DA4BC8"/>
    <w:rsid w:val="171B3855"/>
    <w:rsid w:val="17566BCD"/>
    <w:rsid w:val="176A78D9"/>
    <w:rsid w:val="17EA02BE"/>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BE0303"/>
    <w:rsid w:val="1ACE4623"/>
    <w:rsid w:val="1B520DB0"/>
    <w:rsid w:val="1B8825E9"/>
    <w:rsid w:val="1B8E527A"/>
    <w:rsid w:val="1B940E1F"/>
    <w:rsid w:val="1BE54015"/>
    <w:rsid w:val="1C475483"/>
    <w:rsid w:val="1C5F77F7"/>
    <w:rsid w:val="1C713F93"/>
    <w:rsid w:val="1C8F393E"/>
    <w:rsid w:val="1CE26164"/>
    <w:rsid w:val="1D165A2D"/>
    <w:rsid w:val="1D4420FD"/>
    <w:rsid w:val="1D9751A0"/>
    <w:rsid w:val="1D9C4EF4"/>
    <w:rsid w:val="1DA66F34"/>
    <w:rsid w:val="1DF15646"/>
    <w:rsid w:val="1DFB07D0"/>
    <w:rsid w:val="1E535DA0"/>
    <w:rsid w:val="1EBE483A"/>
    <w:rsid w:val="1EDD4E34"/>
    <w:rsid w:val="1F22412F"/>
    <w:rsid w:val="1F26030B"/>
    <w:rsid w:val="1F36366C"/>
    <w:rsid w:val="1F375A44"/>
    <w:rsid w:val="1F4C2EB2"/>
    <w:rsid w:val="1F92657B"/>
    <w:rsid w:val="1FBC1843"/>
    <w:rsid w:val="1FE23C1B"/>
    <w:rsid w:val="20330D9A"/>
    <w:rsid w:val="20477A8D"/>
    <w:rsid w:val="20586DDA"/>
    <w:rsid w:val="20634019"/>
    <w:rsid w:val="20AE2CED"/>
    <w:rsid w:val="20BC1406"/>
    <w:rsid w:val="20CC3062"/>
    <w:rsid w:val="20D364EF"/>
    <w:rsid w:val="210A1175"/>
    <w:rsid w:val="216D5AE0"/>
    <w:rsid w:val="21796EAA"/>
    <w:rsid w:val="217E26F0"/>
    <w:rsid w:val="21C463C3"/>
    <w:rsid w:val="21C4677D"/>
    <w:rsid w:val="22315588"/>
    <w:rsid w:val="225C2514"/>
    <w:rsid w:val="22631C71"/>
    <w:rsid w:val="2284054C"/>
    <w:rsid w:val="22CF00D7"/>
    <w:rsid w:val="22E66A16"/>
    <w:rsid w:val="231460DF"/>
    <w:rsid w:val="23240BAA"/>
    <w:rsid w:val="23CF6990"/>
    <w:rsid w:val="23E1327C"/>
    <w:rsid w:val="24384B1E"/>
    <w:rsid w:val="249B7324"/>
    <w:rsid w:val="24DD5B8E"/>
    <w:rsid w:val="24EA02AB"/>
    <w:rsid w:val="24F93EC4"/>
    <w:rsid w:val="258B59AA"/>
    <w:rsid w:val="25F211C5"/>
    <w:rsid w:val="26093064"/>
    <w:rsid w:val="26141EF0"/>
    <w:rsid w:val="26494E9F"/>
    <w:rsid w:val="266B71CA"/>
    <w:rsid w:val="26A61E1D"/>
    <w:rsid w:val="270A586B"/>
    <w:rsid w:val="270D4B12"/>
    <w:rsid w:val="273075E9"/>
    <w:rsid w:val="27735192"/>
    <w:rsid w:val="27DF1A02"/>
    <w:rsid w:val="284B72B3"/>
    <w:rsid w:val="28530929"/>
    <w:rsid w:val="28A40F5A"/>
    <w:rsid w:val="28E413A9"/>
    <w:rsid w:val="294A461D"/>
    <w:rsid w:val="297F22C9"/>
    <w:rsid w:val="2A633A91"/>
    <w:rsid w:val="2A6F5228"/>
    <w:rsid w:val="2AC3031B"/>
    <w:rsid w:val="2B310ADE"/>
    <w:rsid w:val="2B434183"/>
    <w:rsid w:val="2B740262"/>
    <w:rsid w:val="2B843E43"/>
    <w:rsid w:val="2B8A2EBE"/>
    <w:rsid w:val="2BB44F08"/>
    <w:rsid w:val="2C1C51EE"/>
    <w:rsid w:val="2C3F2ED9"/>
    <w:rsid w:val="2C532BDA"/>
    <w:rsid w:val="2C6D3825"/>
    <w:rsid w:val="2C7A1F15"/>
    <w:rsid w:val="2C9E6165"/>
    <w:rsid w:val="2CC34823"/>
    <w:rsid w:val="2CC4441B"/>
    <w:rsid w:val="2D496D6C"/>
    <w:rsid w:val="2D807458"/>
    <w:rsid w:val="2D99461C"/>
    <w:rsid w:val="2DC0604D"/>
    <w:rsid w:val="2DFD2857"/>
    <w:rsid w:val="2E1C1D98"/>
    <w:rsid w:val="2E220AB6"/>
    <w:rsid w:val="2E2E2E1B"/>
    <w:rsid w:val="2E4715EC"/>
    <w:rsid w:val="2E9071FD"/>
    <w:rsid w:val="2EBD5129"/>
    <w:rsid w:val="2F6F6E1B"/>
    <w:rsid w:val="2F741EB5"/>
    <w:rsid w:val="2FC140F6"/>
    <w:rsid w:val="3034687E"/>
    <w:rsid w:val="306C74DB"/>
    <w:rsid w:val="30A6701D"/>
    <w:rsid w:val="31722FE0"/>
    <w:rsid w:val="31F44517"/>
    <w:rsid w:val="323F3BB2"/>
    <w:rsid w:val="325B1BA4"/>
    <w:rsid w:val="32C02906"/>
    <w:rsid w:val="32FF13C6"/>
    <w:rsid w:val="332B4CEF"/>
    <w:rsid w:val="335F1E64"/>
    <w:rsid w:val="3366590B"/>
    <w:rsid w:val="33D76E16"/>
    <w:rsid w:val="33E92385"/>
    <w:rsid w:val="34556DF8"/>
    <w:rsid w:val="34BB2DE3"/>
    <w:rsid w:val="34BD2D0D"/>
    <w:rsid w:val="34F60CF4"/>
    <w:rsid w:val="34F97947"/>
    <w:rsid w:val="35271A88"/>
    <w:rsid w:val="353026EC"/>
    <w:rsid w:val="35470759"/>
    <w:rsid w:val="35505F08"/>
    <w:rsid w:val="35D15757"/>
    <w:rsid w:val="3641735B"/>
    <w:rsid w:val="364315C9"/>
    <w:rsid w:val="367D1A8A"/>
    <w:rsid w:val="36984C0C"/>
    <w:rsid w:val="36B82D51"/>
    <w:rsid w:val="36E36908"/>
    <w:rsid w:val="3752327D"/>
    <w:rsid w:val="3777156B"/>
    <w:rsid w:val="381D5C73"/>
    <w:rsid w:val="38491CD3"/>
    <w:rsid w:val="386F0A67"/>
    <w:rsid w:val="38882E57"/>
    <w:rsid w:val="388A34DF"/>
    <w:rsid w:val="38DA5C4F"/>
    <w:rsid w:val="38EB3BFB"/>
    <w:rsid w:val="39473D32"/>
    <w:rsid w:val="397B6D55"/>
    <w:rsid w:val="398E5251"/>
    <w:rsid w:val="39A14F85"/>
    <w:rsid w:val="3AC77189"/>
    <w:rsid w:val="3B1B7AF4"/>
    <w:rsid w:val="3B5A363D"/>
    <w:rsid w:val="3B602C1D"/>
    <w:rsid w:val="3BF761EC"/>
    <w:rsid w:val="3C0D4642"/>
    <w:rsid w:val="3C85086F"/>
    <w:rsid w:val="3C8A2C4C"/>
    <w:rsid w:val="3CC82D3F"/>
    <w:rsid w:val="3D241A3D"/>
    <w:rsid w:val="3D456A74"/>
    <w:rsid w:val="3D5B3BA3"/>
    <w:rsid w:val="3D626685"/>
    <w:rsid w:val="3D676141"/>
    <w:rsid w:val="3DD15DCE"/>
    <w:rsid w:val="3E15268D"/>
    <w:rsid w:val="3E533253"/>
    <w:rsid w:val="3E725142"/>
    <w:rsid w:val="3ED71449"/>
    <w:rsid w:val="3EF20F51"/>
    <w:rsid w:val="3F5908C8"/>
    <w:rsid w:val="3F9435DE"/>
    <w:rsid w:val="3F9B0E28"/>
    <w:rsid w:val="3FEB6924"/>
    <w:rsid w:val="412F42AE"/>
    <w:rsid w:val="41A403BF"/>
    <w:rsid w:val="41B44926"/>
    <w:rsid w:val="41CA2B9F"/>
    <w:rsid w:val="41F41349"/>
    <w:rsid w:val="421C7C01"/>
    <w:rsid w:val="42254279"/>
    <w:rsid w:val="42716C9F"/>
    <w:rsid w:val="4297091B"/>
    <w:rsid w:val="43560452"/>
    <w:rsid w:val="436E436E"/>
    <w:rsid w:val="43C4718C"/>
    <w:rsid w:val="43EF11CE"/>
    <w:rsid w:val="43F27A32"/>
    <w:rsid w:val="448B4CB8"/>
    <w:rsid w:val="44FC16C2"/>
    <w:rsid w:val="45140D01"/>
    <w:rsid w:val="45230F44"/>
    <w:rsid w:val="45242531"/>
    <w:rsid w:val="45283FCD"/>
    <w:rsid w:val="45BF6C2D"/>
    <w:rsid w:val="45E45B8C"/>
    <w:rsid w:val="460A487E"/>
    <w:rsid w:val="46414AF7"/>
    <w:rsid w:val="46463FF3"/>
    <w:rsid w:val="46780ADA"/>
    <w:rsid w:val="46B92953"/>
    <w:rsid w:val="471F580B"/>
    <w:rsid w:val="47684EF0"/>
    <w:rsid w:val="476B3C00"/>
    <w:rsid w:val="47B67760"/>
    <w:rsid w:val="480F4FB9"/>
    <w:rsid w:val="4839249D"/>
    <w:rsid w:val="487A33DC"/>
    <w:rsid w:val="48BF0BC4"/>
    <w:rsid w:val="48BF4A4F"/>
    <w:rsid w:val="493518F0"/>
    <w:rsid w:val="49ED618C"/>
    <w:rsid w:val="49FC29AC"/>
    <w:rsid w:val="49FD4853"/>
    <w:rsid w:val="4A0A4941"/>
    <w:rsid w:val="4ADA2AD9"/>
    <w:rsid w:val="4B0143E1"/>
    <w:rsid w:val="4B2022B9"/>
    <w:rsid w:val="4B9C1904"/>
    <w:rsid w:val="4BAA5B68"/>
    <w:rsid w:val="4BBE00C5"/>
    <w:rsid w:val="4BC64EA2"/>
    <w:rsid w:val="4C2F00AF"/>
    <w:rsid w:val="4C457C34"/>
    <w:rsid w:val="4C66547F"/>
    <w:rsid w:val="4C673E0C"/>
    <w:rsid w:val="4CB84667"/>
    <w:rsid w:val="4CBA3A11"/>
    <w:rsid w:val="4D07114B"/>
    <w:rsid w:val="4D1625D7"/>
    <w:rsid w:val="4DDA72DE"/>
    <w:rsid w:val="4DDE2B58"/>
    <w:rsid w:val="4DEA70E8"/>
    <w:rsid w:val="4DF146DD"/>
    <w:rsid w:val="4ED476A0"/>
    <w:rsid w:val="4F0E70D6"/>
    <w:rsid w:val="4F1E3BEB"/>
    <w:rsid w:val="4F700672"/>
    <w:rsid w:val="4F8B592A"/>
    <w:rsid w:val="50126ED7"/>
    <w:rsid w:val="50544319"/>
    <w:rsid w:val="50C6487D"/>
    <w:rsid w:val="5123601C"/>
    <w:rsid w:val="5133250E"/>
    <w:rsid w:val="51456BA8"/>
    <w:rsid w:val="51497F84"/>
    <w:rsid w:val="516E62A7"/>
    <w:rsid w:val="516F13BA"/>
    <w:rsid w:val="517563B4"/>
    <w:rsid w:val="51D35EC9"/>
    <w:rsid w:val="52B64BB0"/>
    <w:rsid w:val="52CA0C50"/>
    <w:rsid w:val="52E32859"/>
    <w:rsid w:val="52EA30A1"/>
    <w:rsid w:val="5339296C"/>
    <w:rsid w:val="5372025D"/>
    <w:rsid w:val="5378626D"/>
    <w:rsid w:val="53916831"/>
    <w:rsid w:val="53C964C7"/>
    <w:rsid w:val="543D5629"/>
    <w:rsid w:val="54660E4D"/>
    <w:rsid w:val="549C21E7"/>
    <w:rsid w:val="54E76694"/>
    <w:rsid w:val="55117558"/>
    <w:rsid w:val="55222306"/>
    <w:rsid w:val="558477DD"/>
    <w:rsid w:val="55AC5A25"/>
    <w:rsid w:val="55C451AB"/>
    <w:rsid w:val="55D02A22"/>
    <w:rsid w:val="564C59CC"/>
    <w:rsid w:val="5661367A"/>
    <w:rsid w:val="568E507F"/>
    <w:rsid w:val="56917640"/>
    <w:rsid w:val="570F122C"/>
    <w:rsid w:val="57777B7B"/>
    <w:rsid w:val="578F06BB"/>
    <w:rsid w:val="57A06E0E"/>
    <w:rsid w:val="57AB3E27"/>
    <w:rsid w:val="57EC7962"/>
    <w:rsid w:val="580503C9"/>
    <w:rsid w:val="580C3AB9"/>
    <w:rsid w:val="58C20BB3"/>
    <w:rsid w:val="590C6E73"/>
    <w:rsid w:val="59181E06"/>
    <w:rsid w:val="592F1D82"/>
    <w:rsid w:val="59873E4B"/>
    <w:rsid w:val="59B66C38"/>
    <w:rsid w:val="59CC08A2"/>
    <w:rsid w:val="5A201A9E"/>
    <w:rsid w:val="5A425BE3"/>
    <w:rsid w:val="5A6776CD"/>
    <w:rsid w:val="5A884265"/>
    <w:rsid w:val="5A9F7590"/>
    <w:rsid w:val="5AC36B81"/>
    <w:rsid w:val="5AFC2B07"/>
    <w:rsid w:val="5AFF5FCD"/>
    <w:rsid w:val="5B9B5880"/>
    <w:rsid w:val="5C2B76EA"/>
    <w:rsid w:val="5C2F7D76"/>
    <w:rsid w:val="5C9B3876"/>
    <w:rsid w:val="5CA50208"/>
    <w:rsid w:val="5D3612A4"/>
    <w:rsid w:val="5D562AEE"/>
    <w:rsid w:val="5E5F530C"/>
    <w:rsid w:val="5E881790"/>
    <w:rsid w:val="5EC35F5B"/>
    <w:rsid w:val="5ECD6940"/>
    <w:rsid w:val="5ECF24C1"/>
    <w:rsid w:val="5EDC3E8A"/>
    <w:rsid w:val="5F1C0A86"/>
    <w:rsid w:val="5F225B08"/>
    <w:rsid w:val="5F3A7547"/>
    <w:rsid w:val="5F4C0C3F"/>
    <w:rsid w:val="5F6D66D4"/>
    <w:rsid w:val="5F7F691E"/>
    <w:rsid w:val="5FAE55E6"/>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50234F"/>
    <w:rsid w:val="63610531"/>
    <w:rsid w:val="637F27F8"/>
    <w:rsid w:val="638369E2"/>
    <w:rsid w:val="63A80498"/>
    <w:rsid w:val="641D51C2"/>
    <w:rsid w:val="647B6D57"/>
    <w:rsid w:val="64D313C9"/>
    <w:rsid w:val="64F73558"/>
    <w:rsid w:val="650475B5"/>
    <w:rsid w:val="65071EE0"/>
    <w:rsid w:val="654D4BC2"/>
    <w:rsid w:val="657E01DC"/>
    <w:rsid w:val="65FA2417"/>
    <w:rsid w:val="65FC6E0D"/>
    <w:rsid w:val="661F3DF0"/>
    <w:rsid w:val="66246C4D"/>
    <w:rsid w:val="662E6A8A"/>
    <w:rsid w:val="66323ADF"/>
    <w:rsid w:val="66723681"/>
    <w:rsid w:val="66E40F2D"/>
    <w:rsid w:val="66E43F31"/>
    <w:rsid w:val="673724D9"/>
    <w:rsid w:val="67C808A2"/>
    <w:rsid w:val="67CE51E5"/>
    <w:rsid w:val="67DD2D7C"/>
    <w:rsid w:val="67EC7FC8"/>
    <w:rsid w:val="683C425A"/>
    <w:rsid w:val="68707745"/>
    <w:rsid w:val="68E36B91"/>
    <w:rsid w:val="69232A11"/>
    <w:rsid w:val="69352407"/>
    <w:rsid w:val="69605A13"/>
    <w:rsid w:val="69812FAE"/>
    <w:rsid w:val="69933ADC"/>
    <w:rsid w:val="69D34437"/>
    <w:rsid w:val="6A092274"/>
    <w:rsid w:val="6A41354D"/>
    <w:rsid w:val="6A4D243B"/>
    <w:rsid w:val="6B2036AC"/>
    <w:rsid w:val="6BCC3AF8"/>
    <w:rsid w:val="6C5D623A"/>
    <w:rsid w:val="6C5F6456"/>
    <w:rsid w:val="6CAA1122"/>
    <w:rsid w:val="6CD10152"/>
    <w:rsid w:val="6CFA4DBB"/>
    <w:rsid w:val="6D1E1E6D"/>
    <w:rsid w:val="6D333A0C"/>
    <w:rsid w:val="6D5E2D67"/>
    <w:rsid w:val="6D8F3983"/>
    <w:rsid w:val="6DF90F1A"/>
    <w:rsid w:val="6E121E06"/>
    <w:rsid w:val="6E24368E"/>
    <w:rsid w:val="6E4E0530"/>
    <w:rsid w:val="6E7855AD"/>
    <w:rsid w:val="6E8E1863"/>
    <w:rsid w:val="6F62184F"/>
    <w:rsid w:val="6F843BD5"/>
    <w:rsid w:val="700D6329"/>
    <w:rsid w:val="70A91DA1"/>
    <w:rsid w:val="71164676"/>
    <w:rsid w:val="714E7FB6"/>
    <w:rsid w:val="71901C60"/>
    <w:rsid w:val="72161365"/>
    <w:rsid w:val="721C0443"/>
    <w:rsid w:val="725A5829"/>
    <w:rsid w:val="72646574"/>
    <w:rsid w:val="729B3E79"/>
    <w:rsid w:val="72AA5244"/>
    <w:rsid w:val="72CB5587"/>
    <w:rsid w:val="72CD7951"/>
    <w:rsid w:val="72D0654B"/>
    <w:rsid w:val="731F0608"/>
    <w:rsid w:val="73AA6208"/>
    <w:rsid w:val="73F92E92"/>
    <w:rsid w:val="747E7F0F"/>
    <w:rsid w:val="748910CC"/>
    <w:rsid w:val="74DC20AD"/>
    <w:rsid w:val="74ED196A"/>
    <w:rsid w:val="74EE3C45"/>
    <w:rsid w:val="7509173A"/>
    <w:rsid w:val="7523145D"/>
    <w:rsid w:val="761F67D0"/>
    <w:rsid w:val="76327073"/>
    <w:rsid w:val="769211D6"/>
    <w:rsid w:val="76BF021D"/>
    <w:rsid w:val="76F61031"/>
    <w:rsid w:val="77B57C2A"/>
    <w:rsid w:val="77BA155E"/>
    <w:rsid w:val="77C635FA"/>
    <w:rsid w:val="7801342B"/>
    <w:rsid w:val="783B7550"/>
    <w:rsid w:val="785030F6"/>
    <w:rsid w:val="785221EC"/>
    <w:rsid w:val="78B4702B"/>
    <w:rsid w:val="78F362FD"/>
    <w:rsid w:val="79044748"/>
    <w:rsid w:val="790560D9"/>
    <w:rsid w:val="79585C99"/>
    <w:rsid w:val="796C4670"/>
    <w:rsid w:val="79B67BCA"/>
    <w:rsid w:val="7A52326B"/>
    <w:rsid w:val="7A630481"/>
    <w:rsid w:val="7A6C26D0"/>
    <w:rsid w:val="7AAF0CA6"/>
    <w:rsid w:val="7AE20AD8"/>
    <w:rsid w:val="7AE570BB"/>
    <w:rsid w:val="7B4050A9"/>
    <w:rsid w:val="7B5522A9"/>
    <w:rsid w:val="7B8D1755"/>
    <w:rsid w:val="7BE25C93"/>
    <w:rsid w:val="7C1508DF"/>
    <w:rsid w:val="7C4D1E27"/>
    <w:rsid w:val="7C903CAD"/>
    <w:rsid w:val="7CFB7625"/>
    <w:rsid w:val="7D3F76AE"/>
    <w:rsid w:val="7DC27A61"/>
    <w:rsid w:val="7E3B7932"/>
    <w:rsid w:val="7E5A13E5"/>
    <w:rsid w:val="7E612A31"/>
    <w:rsid w:val="7E9E7142"/>
    <w:rsid w:val="7EA247DF"/>
    <w:rsid w:val="7EC9775F"/>
    <w:rsid w:val="7EEE2C4F"/>
    <w:rsid w:val="7F071451"/>
    <w:rsid w:val="7F125264"/>
    <w:rsid w:val="7F205639"/>
    <w:rsid w:val="7F59780C"/>
    <w:rsid w:val="7F5E259D"/>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6"/>
    <w:autoRedefine/>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8"/>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3">
    <w:name w:val="Default Paragraph Font"/>
    <w:autoRedefine/>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link w:val="50"/>
    <w:autoRedefine/>
    <w:qFormat/>
    <w:uiPriority w:val="99"/>
    <w:pPr>
      <w:spacing w:beforeLines="50" w:afterLines="50"/>
      <w:jc w:val="center"/>
    </w:pPr>
    <w:rPr>
      <w:rFonts w:ascii="Arial" w:hAnsi="Arial" w:eastAsia="宋体" w:cs="Times New Roman"/>
      <w:spacing w:val="10"/>
      <w:szCs w:val="20"/>
    </w:rPr>
  </w:style>
  <w:style w:type="paragraph" w:styleId="7">
    <w:name w:val="Document Map"/>
    <w:basedOn w:val="1"/>
    <w:link w:val="44"/>
    <w:autoRedefine/>
    <w:unhideWhenUsed/>
    <w:qFormat/>
    <w:uiPriority w:val="99"/>
    <w:rPr>
      <w:rFonts w:ascii="宋体" w:eastAsia="宋体"/>
      <w:sz w:val="18"/>
      <w:szCs w:val="18"/>
    </w:rPr>
  </w:style>
  <w:style w:type="paragraph" w:styleId="8">
    <w:name w:val="annotation text"/>
    <w:basedOn w:val="1"/>
    <w:link w:val="62"/>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9">
    <w:name w:val="Body Text"/>
    <w:basedOn w:val="1"/>
    <w:link w:val="86"/>
    <w:autoRedefine/>
    <w:qFormat/>
    <w:uiPriority w:val="0"/>
    <w:rPr>
      <w:szCs w:val="24"/>
    </w:rPr>
  </w:style>
  <w:style w:type="paragraph" w:styleId="10">
    <w:name w:val="Body Text Indent"/>
    <w:basedOn w:val="1"/>
    <w:link w:val="74"/>
    <w:autoRedefine/>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1">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2">
    <w:name w:val="toc 3"/>
    <w:basedOn w:val="1"/>
    <w:next w:val="1"/>
    <w:autoRedefine/>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3">
    <w:name w:val="Plain Text"/>
    <w:basedOn w:val="1"/>
    <w:next w:val="14"/>
    <w:link w:val="88"/>
    <w:autoRedefine/>
    <w:qFormat/>
    <w:uiPriority w:val="99"/>
    <w:pPr>
      <w:widowControl/>
      <w:spacing w:beforeAutospacing="1" w:afterAutospacing="1"/>
      <w:jc w:val="left"/>
    </w:pPr>
    <w:rPr>
      <w:rFonts w:ascii="ˎ̥" w:hAnsi="ˎ̥"/>
      <w:sz w:val="18"/>
      <w:szCs w:val="18"/>
    </w:rPr>
  </w:style>
  <w:style w:type="paragraph" w:styleId="14">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5">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6">
    <w:name w:val="Date"/>
    <w:basedOn w:val="1"/>
    <w:next w:val="1"/>
    <w:link w:val="63"/>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7">
    <w:name w:val="Body Text Indent 2"/>
    <w:basedOn w:val="1"/>
    <w:link w:val="98"/>
    <w:unhideWhenUsed/>
    <w:qFormat/>
    <w:uiPriority w:val="99"/>
    <w:pPr>
      <w:spacing w:after="120" w:line="480" w:lineRule="auto"/>
      <w:ind w:left="420" w:leftChars="200"/>
    </w:pPr>
  </w:style>
  <w:style w:type="paragraph" w:styleId="18">
    <w:name w:val="Balloon Text"/>
    <w:basedOn w:val="1"/>
    <w:link w:val="49"/>
    <w:unhideWhenUsed/>
    <w:qFormat/>
    <w:uiPriority w:val="99"/>
    <w:rPr>
      <w:sz w:val="18"/>
      <w:szCs w:val="18"/>
    </w:rPr>
  </w:style>
  <w:style w:type="paragraph" w:styleId="19">
    <w:name w:val="footer"/>
    <w:basedOn w:val="1"/>
    <w:link w:val="42"/>
    <w:autoRedefine/>
    <w:unhideWhenUsed/>
    <w:qFormat/>
    <w:uiPriority w:val="99"/>
    <w:pPr>
      <w:tabs>
        <w:tab w:val="center" w:pos="4153"/>
        <w:tab w:val="right" w:pos="8306"/>
      </w:tabs>
      <w:snapToGrid w:val="0"/>
      <w:jc w:val="left"/>
    </w:pPr>
    <w:rPr>
      <w:sz w:val="18"/>
      <w:szCs w:val="18"/>
    </w:rPr>
  </w:style>
  <w:style w:type="paragraph" w:styleId="20">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2">
    <w:name w:val="Subtitle"/>
    <w:basedOn w:val="1"/>
    <w:next w:val="1"/>
    <w:link w:val="64"/>
    <w:autoRedefine/>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3">
    <w:name w:val="List"/>
    <w:basedOn w:val="1"/>
    <w:autoRedefine/>
    <w:unhideWhenUsed/>
    <w:qFormat/>
    <w:uiPriority w:val="0"/>
    <w:pPr>
      <w:ind w:left="200" w:hanging="200" w:hangingChars="200"/>
      <w:contextualSpacing/>
    </w:pPr>
  </w:style>
  <w:style w:type="paragraph" w:styleId="24">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5">
    <w:name w:val="toc 2"/>
    <w:basedOn w:val="1"/>
    <w:next w:val="1"/>
    <w:autoRedefine/>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6">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link w:val="59"/>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29">
    <w:name w:val="annotation subject"/>
    <w:basedOn w:val="8"/>
    <w:next w:val="8"/>
    <w:link w:val="73"/>
    <w:autoRedefine/>
    <w:qFormat/>
    <w:uiPriority w:val="99"/>
    <w:pPr>
      <w:spacing w:beforeLines="0" w:afterLines="0" w:line="240" w:lineRule="auto"/>
      <w:ind w:firstLine="0" w:firstLineChars="0"/>
    </w:pPr>
    <w:rPr>
      <w:rFonts w:ascii="Calibri" w:hAnsi="Calibri"/>
      <w:b/>
      <w:bCs/>
      <w:sz w:val="21"/>
      <w:szCs w:val="22"/>
    </w:rPr>
  </w:style>
  <w:style w:type="paragraph" w:styleId="30">
    <w:name w:val="Body Text First Indent 2"/>
    <w:basedOn w:val="10"/>
    <w:next w:val="1"/>
    <w:autoRedefine/>
    <w:qFormat/>
    <w:uiPriority w:val="0"/>
    <w:pPr>
      <w:spacing w:after="120"/>
      <w:ind w:left="420" w:leftChars="200" w:firstLine="420"/>
    </w:p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rFonts w:cs="Times New Roman"/>
      <w:b/>
      <w:bCs/>
    </w:rPr>
  </w:style>
  <w:style w:type="character" w:styleId="35">
    <w:name w:val="page number"/>
    <w:basedOn w:val="33"/>
    <w:autoRedefine/>
    <w:qFormat/>
    <w:uiPriority w:val="99"/>
    <w:rPr>
      <w:rFonts w:cs="Times New Roman"/>
    </w:rPr>
  </w:style>
  <w:style w:type="character" w:styleId="36">
    <w:name w:val="Emphasis"/>
    <w:autoRedefine/>
    <w:qFormat/>
    <w:uiPriority w:val="20"/>
    <w:rPr>
      <w:color w:val="CC0000"/>
    </w:rPr>
  </w:style>
  <w:style w:type="character" w:styleId="37">
    <w:name w:val="Hyperlink"/>
    <w:basedOn w:val="33"/>
    <w:autoRedefine/>
    <w:unhideWhenUsed/>
    <w:qFormat/>
    <w:uiPriority w:val="99"/>
    <w:rPr>
      <w:color w:val="0000FF"/>
      <w:u w:val="single"/>
    </w:rPr>
  </w:style>
  <w:style w:type="character" w:styleId="38">
    <w:name w:val="annotation reference"/>
    <w:autoRedefine/>
    <w:qFormat/>
    <w:uiPriority w:val="99"/>
    <w:rPr>
      <w:sz w:val="21"/>
      <w:szCs w:val="21"/>
    </w:rPr>
  </w:style>
  <w:style w:type="paragraph" w:customStyle="1" w:styleId="39">
    <w:name w:val="正文首行缩进2个字 Char"/>
    <w:basedOn w:val="1"/>
    <w:qFormat/>
    <w:uiPriority w:val="0"/>
    <w:pPr>
      <w:ind w:firstLine="480" w:firstLineChars="200"/>
    </w:pPr>
    <w:rPr>
      <w:rFonts w:eastAsia="楷体"/>
      <w:sz w:val="24"/>
      <w:szCs w:val="24"/>
    </w:rPr>
  </w:style>
  <w:style w:type="paragraph" w:customStyle="1" w:styleId="40">
    <w:name w:val="表格文字"/>
    <w:basedOn w:val="10"/>
    <w:autoRedefine/>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1">
    <w:name w:val="页眉 字符"/>
    <w:basedOn w:val="33"/>
    <w:link w:val="20"/>
    <w:autoRedefine/>
    <w:qFormat/>
    <w:uiPriority w:val="99"/>
    <w:rPr>
      <w:sz w:val="18"/>
      <w:szCs w:val="18"/>
    </w:rPr>
  </w:style>
  <w:style w:type="character" w:customStyle="1" w:styleId="42">
    <w:name w:val="页脚 字符"/>
    <w:basedOn w:val="33"/>
    <w:link w:val="19"/>
    <w:autoRedefine/>
    <w:qFormat/>
    <w:uiPriority w:val="99"/>
    <w:rPr>
      <w:sz w:val="18"/>
      <w:szCs w:val="18"/>
    </w:rPr>
  </w:style>
  <w:style w:type="character" w:customStyle="1" w:styleId="43">
    <w:name w:val="标题 1 字符"/>
    <w:basedOn w:val="33"/>
    <w:link w:val="2"/>
    <w:autoRedefine/>
    <w:qFormat/>
    <w:uiPriority w:val="99"/>
    <w:rPr>
      <w:rFonts w:ascii="Times New Roman" w:hAnsi="Times New Roman"/>
      <w:b/>
      <w:bCs/>
      <w:kern w:val="44"/>
      <w:sz w:val="44"/>
      <w:szCs w:val="44"/>
    </w:rPr>
  </w:style>
  <w:style w:type="character" w:customStyle="1" w:styleId="44">
    <w:name w:val="文档结构图 字符"/>
    <w:basedOn w:val="33"/>
    <w:link w:val="7"/>
    <w:autoRedefine/>
    <w:qFormat/>
    <w:uiPriority w:val="99"/>
    <w:rPr>
      <w:rFonts w:ascii="宋体" w:eastAsia="宋体"/>
      <w:sz w:val="18"/>
      <w:szCs w:val="18"/>
    </w:rPr>
  </w:style>
  <w:style w:type="paragraph" w:customStyle="1" w:styleId="45">
    <w:name w:val="列表段落1"/>
    <w:basedOn w:val="1"/>
    <w:autoRedefine/>
    <w:qFormat/>
    <w:uiPriority w:val="34"/>
    <w:pPr>
      <w:ind w:firstLine="420" w:firstLineChars="200"/>
    </w:pPr>
  </w:style>
  <w:style w:type="character" w:customStyle="1" w:styleId="46">
    <w:name w:val="标题 2 字符"/>
    <w:basedOn w:val="33"/>
    <w:link w:val="3"/>
    <w:autoRedefine/>
    <w:qFormat/>
    <w:uiPriority w:val="99"/>
    <w:rPr>
      <w:rFonts w:ascii="Times New Roman" w:hAnsi="Times New Roman" w:eastAsiaTheme="majorEastAsia" w:cstheme="majorBidi"/>
      <w:b/>
      <w:bCs/>
      <w:sz w:val="32"/>
      <w:szCs w:val="32"/>
    </w:rPr>
  </w:style>
  <w:style w:type="character" w:customStyle="1" w:styleId="47">
    <w:name w:val="图片 Char"/>
    <w:basedOn w:val="33"/>
    <w:link w:val="48"/>
    <w:autoRedefine/>
    <w:qFormat/>
    <w:uiPriority w:val="0"/>
    <w:rPr>
      <w:sz w:val="24"/>
      <w:szCs w:val="24"/>
    </w:rPr>
  </w:style>
  <w:style w:type="paragraph" w:customStyle="1" w:styleId="48">
    <w:name w:val="图片"/>
    <w:basedOn w:val="1"/>
    <w:link w:val="47"/>
    <w:autoRedefine/>
    <w:qFormat/>
    <w:uiPriority w:val="0"/>
    <w:pPr>
      <w:spacing w:beforeLines="50" w:afterLines="50"/>
      <w:ind w:firstLine="480" w:firstLineChars="200"/>
      <w:jc w:val="left"/>
    </w:pPr>
    <w:rPr>
      <w:sz w:val="24"/>
      <w:szCs w:val="24"/>
    </w:rPr>
  </w:style>
  <w:style w:type="character" w:customStyle="1" w:styleId="49">
    <w:name w:val="批注框文本 字符"/>
    <w:basedOn w:val="33"/>
    <w:link w:val="18"/>
    <w:autoRedefine/>
    <w:qFormat/>
    <w:uiPriority w:val="99"/>
    <w:rPr>
      <w:sz w:val="18"/>
      <w:szCs w:val="18"/>
    </w:rPr>
  </w:style>
  <w:style w:type="character" w:customStyle="1" w:styleId="50">
    <w:name w:val="正文缩进 字符"/>
    <w:link w:val="6"/>
    <w:autoRedefine/>
    <w:qFormat/>
    <w:uiPriority w:val="99"/>
    <w:rPr>
      <w:rFonts w:ascii="Arial" w:hAnsi="Arial" w:eastAsia="宋体" w:cs="Times New Roman"/>
      <w:spacing w:val="10"/>
      <w:szCs w:val="20"/>
    </w:rPr>
  </w:style>
  <w:style w:type="paragraph" w:customStyle="1" w:styleId="51">
    <w:name w:val="表格标题"/>
    <w:basedOn w:val="1"/>
    <w:link w:val="52"/>
    <w:autoRedefine/>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autoRedefine/>
    <w:qFormat/>
    <w:uiPriority w:val="0"/>
    <w:rPr>
      <w:rFonts w:ascii="Times New Roman" w:hAnsi="Times New Roman" w:eastAsia="仿宋_GB2312" w:cs="Times New Roman"/>
      <w:sz w:val="24"/>
      <w:szCs w:val="20"/>
    </w:rPr>
  </w:style>
  <w:style w:type="character" w:customStyle="1" w:styleId="53">
    <w:name w:val="文本 Char"/>
    <w:link w:val="54"/>
    <w:autoRedefine/>
    <w:qFormat/>
    <w:uiPriority w:val="0"/>
    <w:rPr>
      <w:sz w:val="24"/>
    </w:rPr>
  </w:style>
  <w:style w:type="paragraph" w:customStyle="1" w:styleId="54">
    <w:name w:val="文本"/>
    <w:basedOn w:val="1"/>
    <w:link w:val="53"/>
    <w:autoRedefine/>
    <w:qFormat/>
    <w:uiPriority w:val="0"/>
    <w:pPr>
      <w:spacing w:line="360" w:lineRule="auto"/>
      <w:ind w:firstLine="480" w:firstLineChars="200"/>
      <w:jc w:val="left"/>
    </w:pPr>
    <w:rPr>
      <w:sz w:val="24"/>
    </w:rPr>
  </w:style>
  <w:style w:type="paragraph" w:customStyle="1" w:styleId="55">
    <w:name w:val="表格正文"/>
    <w:basedOn w:val="1"/>
    <w:link w:val="56"/>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autoRedefine/>
    <w:qFormat/>
    <w:uiPriority w:val="99"/>
    <w:rPr>
      <w:rFonts w:ascii="Times New Roman" w:hAnsi="Times New Roman" w:eastAsia="宋体" w:cs="Times New Roman"/>
      <w:sz w:val="24"/>
      <w:szCs w:val="24"/>
    </w:rPr>
  </w:style>
  <w:style w:type="paragraph" w:customStyle="1" w:styleId="57">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3"/>
    <w:link w:val="4"/>
    <w:autoRedefine/>
    <w:qFormat/>
    <w:uiPriority w:val="0"/>
    <w:rPr>
      <w:rFonts w:ascii="Times New Roman" w:hAnsi="Times New Roman"/>
      <w:b/>
      <w:bCs/>
      <w:sz w:val="28"/>
      <w:szCs w:val="32"/>
    </w:rPr>
  </w:style>
  <w:style w:type="character" w:customStyle="1" w:styleId="59">
    <w:name w:val="标题 字符"/>
    <w:basedOn w:val="33"/>
    <w:link w:val="28"/>
    <w:autoRedefine/>
    <w:qFormat/>
    <w:uiPriority w:val="99"/>
    <w:rPr>
      <w:rFonts w:ascii="Cambria" w:hAnsi="Cambria" w:eastAsia="宋体" w:cs="Times New Roman"/>
      <w:b/>
      <w:bCs/>
      <w:sz w:val="32"/>
      <w:szCs w:val="32"/>
    </w:rPr>
  </w:style>
  <w:style w:type="paragraph" w:customStyle="1" w:styleId="60">
    <w:name w:val="表格式"/>
    <w:basedOn w:val="23"/>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3"/>
    <w:link w:val="8"/>
    <w:autoRedefine/>
    <w:qFormat/>
    <w:uiPriority w:val="99"/>
    <w:rPr>
      <w:rFonts w:ascii="Times New Roman" w:hAnsi="Times New Roman" w:eastAsia="宋体" w:cs="Times New Roman"/>
      <w:sz w:val="24"/>
      <w:szCs w:val="24"/>
    </w:rPr>
  </w:style>
  <w:style w:type="character" w:customStyle="1" w:styleId="63">
    <w:name w:val="日期 字符"/>
    <w:basedOn w:val="33"/>
    <w:link w:val="16"/>
    <w:autoRedefine/>
    <w:qFormat/>
    <w:uiPriority w:val="0"/>
    <w:rPr>
      <w:rFonts w:ascii="Times New Roman" w:hAnsi="Times New Roman" w:eastAsia="宋体" w:cs="Times New Roman"/>
      <w:sz w:val="24"/>
      <w:szCs w:val="24"/>
    </w:rPr>
  </w:style>
  <w:style w:type="character" w:customStyle="1" w:styleId="64">
    <w:name w:val="副标题 字符"/>
    <w:basedOn w:val="33"/>
    <w:link w:val="22"/>
    <w:autoRedefine/>
    <w:qFormat/>
    <w:uiPriority w:val="0"/>
    <w:rPr>
      <w:rFonts w:ascii="Cambria" w:hAnsi="Cambria" w:eastAsia="宋体" w:cs="Times New Roman"/>
      <w:b/>
      <w:bCs/>
      <w:kern w:val="28"/>
      <w:sz w:val="28"/>
      <w:szCs w:val="32"/>
    </w:rPr>
  </w:style>
  <w:style w:type="character" w:customStyle="1" w:styleId="65">
    <w:name w:val="表格内容 Char Char"/>
    <w:basedOn w:val="33"/>
    <w:link w:val="66"/>
    <w:autoRedefine/>
    <w:qFormat/>
    <w:uiPriority w:val="0"/>
    <w:rPr>
      <w:rFonts w:ascii="宋体"/>
      <w:szCs w:val="24"/>
    </w:rPr>
  </w:style>
  <w:style w:type="paragraph" w:customStyle="1" w:styleId="66">
    <w:name w:val="表格内容"/>
    <w:basedOn w:val="1"/>
    <w:link w:val="65"/>
    <w:autoRedefine/>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autoRedefine/>
    <w:qFormat/>
    <w:uiPriority w:val="0"/>
    <w:rPr>
      <w:rFonts w:ascii="Arial" w:hAnsi="Arial" w:cs="Arial"/>
      <w:spacing w:val="10"/>
      <w:kern w:val="2"/>
      <w:sz w:val="24"/>
    </w:rPr>
  </w:style>
  <w:style w:type="paragraph" w:customStyle="1" w:styleId="68">
    <w:name w:val="Char4"/>
    <w:basedOn w:val="1"/>
    <w:autoRedefine/>
    <w:qFormat/>
    <w:uiPriority w:val="0"/>
    <w:rPr>
      <w:rFonts w:ascii="Times New Roman" w:hAnsi="Times New Roman" w:eastAsia="宋体" w:cs="Times New Roman"/>
      <w:szCs w:val="20"/>
    </w:rPr>
  </w:style>
  <w:style w:type="paragraph" w:customStyle="1" w:styleId="69">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autoRedefine/>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autoRedefine/>
    <w:qFormat/>
    <w:uiPriority w:val="0"/>
    <w:rPr>
      <w:rFonts w:ascii="Times New Roman" w:hAnsi="Times New Roman" w:eastAsia="宋体" w:cs="Times New Roman"/>
      <w:sz w:val="27"/>
      <w:szCs w:val="27"/>
    </w:rPr>
  </w:style>
  <w:style w:type="character" w:customStyle="1" w:styleId="73">
    <w:name w:val="批注主题 字符"/>
    <w:basedOn w:val="62"/>
    <w:link w:val="29"/>
    <w:autoRedefine/>
    <w:qFormat/>
    <w:uiPriority w:val="99"/>
    <w:rPr>
      <w:rFonts w:ascii="Calibri" w:hAnsi="Calibri" w:eastAsia="宋体" w:cs="Times New Roman"/>
      <w:b/>
      <w:bCs/>
      <w:sz w:val="24"/>
      <w:szCs w:val="24"/>
    </w:rPr>
  </w:style>
  <w:style w:type="character" w:customStyle="1" w:styleId="74">
    <w:name w:val="正文文本缩进 字符"/>
    <w:basedOn w:val="33"/>
    <w:link w:val="10"/>
    <w:autoRedefine/>
    <w:qFormat/>
    <w:uiPriority w:val="99"/>
    <w:rPr>
      <w:rFonts w:ascii="Times New Roman" w:hAnsi="Times New Roman" w:eastAsia="宋体" w:cs="Times New Roman"/>
      <w:sz w:val="28"/>
      <w:szCs w:val="24"/>
    </w:rPr>
  </w:style>
  <w:style w:type="paragraph" w:customStyle="1" w:styleId="75">
    <w:name w:val="p0"/>
    <w:basedOn w:val="1"/>
    <w:autoRedefine/>
    <w:qFormat/>
    <w:uiPriority w:val="0"/>
    <w:pPr>
      <w:widowControl/>
    </w:pPr>
    <w:rPr>
      <w:rFonts w:ascii="Times New Roman" w:hAnsi="Times New Roman" w:eastAsia="宋体" w:cs="Times New Roman"/>
      <w:kern w:val="0"/>
      <w:szCs w:val="21"/>
    </w:rPr>
  </w:style>
  <w:style w:type="paragraph" w:customStyle="1" w:styleId="76">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autoRedefine/>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autoRedefine/>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3"/>
    <w:autoRedefine/>
    <w:qFormat/>
    <w:uiPriority w:val="0"/>
    <w:rPr>
      <w:szCs w:val="24"/>
    </w:rPr>
  </w:style>
  <w:style w:type="character" w:customStyle="1" w:styleId="86">
    <w:name w:val="正文文本 字符"/>
    <w:basedOn w:val="33"/>
    <w:link w:val="9"/>
    <w:autoRedefine/>
    <w:semiHidden/>
    <w:qFormat/>
    <w:uiPriority w:val="99"/>
  </w:style>
  <w:style w:type="character" w:customStyle="1" w:styleId="87">
    <w:name w:val="纯文本 Char"/>
    <w:basedOn w:val="33"/>
    <w:autoRedefine/>
    <w:qFormat/>
    <w:uiPriority w:val="0"/>
    <w:rPr>
      <w:rFonts w:ascii="ˎ̥" w:hAnsi="ˎ̥"/>
      <w:sz w:val="18"/>
      <w:szCs w:val="18"/>
    </w:rPr>
  </w:style>
  <w:style w:type="character" w:customStyle="1" w:styleId="88">
    <w:name w:val="纯文本 字符"/>
    <w:basedOn w:val="33"/>
    <w:link w:val="13"/>
    <w:autoRedefine/>
    <w:qFormat/>
    <w:uiPriority w:val="99"/>
    <w:rPr>
      <w:rFonts w:ascii="宋体" w:hAnsi="Courier New" w:eastAsia="宋体" w:cs="Courier New"/>
      <w:szCs w:val="21"/>
    </w:rPr>
  </w:style>
  <w:style w:type="paragraph" w:customStyle="1" w:styleId="89">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next w:val="6"/>
    <w:link w:val="94"/>
    <w:autoRedefine/>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3"/>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autoRedefine/>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3"/>
    <w:link w:val="17"/>
    <w:autoRedefine/>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autoRedefine/>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3"/>
    <w:autoRedefine/>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autoRedefine/>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0"/>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1"/>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3"/>
    <w:autoRedefine/>
    <w:semiHidden/>
    <w:unhideWhenUsed/>
    <w:qFormat/>
    <w:uiPriority w:val="99"/>
    <w:rPr>
      <w:color w:val="605E5C"/>
      <w:shd w:val="clear" w:color="auto" w:fill="E1DFDD"/>
    </w:rPr>
  </w:style>
  <w:style w:type="paragraph" w:customStyle="1" w:styleId="127">
    <w:name w:val="五号居中表格"/>
    <w:basedOn w:val="1"/>
    <w:autoRedefine/>
    <w:qFormat/>
    <w:uiPriority w:val="0"/>
    <w:pPr>
      <w:spacing w:line="240" w:lineRule="auto"/>
      <w:ind w:firstLine="0" w:firstLineChars="0"/>
      <w:jc w:val="center"/>
    </w:pPr>
    <w:rPr>
      <w:kern w:val="0"/>
      <w:sz w:val="21"/>
      <w:szCs w:val="20"/>
    </w:rPr>
  </w:style>
  <w:style w:type="paragraph" w:customStyle="1" w:styleId="128">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autoRedefine/>
    <w:qFormat/>
    <w:uiPriority w:val="0"/>
    <w:pPr>
      <w:adjustRightInd w:val="0"/>
      <w:spacing w:line="440" w:lineRule="atLeast"/>
      <w:ind w:firstLine="480"/>
      <w:textAlignment w:val="baseline"/>
    </w:pPr>
    <w:rPr>
      <w:rFonts w:eastAsia="仿宋_GB2312"/>
      <w:sz w:val="24"/>
    </w:rPr>
  </w:style>
  <w:style w:type="character" w:customStyle="1" w:styleId="130">
    <w:name w:val="font11"/>
    <w:basedOn w:val="33"/>
    <w:uiPriority w:val="0"/>
    <w:rPr>
      <w:rFonts w:hint="eastAsia" w:ascii="宋体" w:hAnsi="宋体" w:eastAsia="宋体" w:cs="宋体"/>
      <w:color w:val="000000"/>
      <w:sz w:val="18"/>
      <w:szCs w:val="18"/>
      <w:u w:val="none"/>
    </w:rPr>
  </w:style>
  <w:style w:type="character" w:customStyle="1" w:styleId="131">
    <w:name w:val="font21"/>
    <w:basedOn w:val="33"/>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36084</Words>
  <Characters>49711</Characters>
  <Lines>263</Lines>
  <Paragraphs>74</Paragraphs>
  <TotalTime>11</TotalTime>
  <ScaleCrop>false</ScaleCrop>
  <LinksUpToDate>false</LinksUpToDate>
  <CharactersWithSpaces>50978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2024-05-26T09:11:00Z</cp:lastPrinted>
  <dcterms:modified xsi:type="dcterms:W3CDTF">2024-09-06T07:32:31Z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6E7B2E5C8A354D17B16A394255389361_13</vt:lpwstr>
  </property>
</Properties>
</file>