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rPr>
      </w:pPr>
      <w:bookmarkStart w:id="0" w:name="_Hlk61943130"/>
      <w:bookmarkEnd w:id="0"/>
    </w:p>
    <w:p>
      <w:pPr>
        <w:jc w:val="left"/>
        <w:rPr>
          <w:rFonts w:ascii="Times New Roman" w:hAnsi="Times New Roman"/>
        </w:rPr>
      </w:pPr>
    </w:p>
    <w:p>
      <w:pPr>
        <w:jc w:val="left"/>
        <w:rPr>
          <w:rFonts w:ascii="Times New Roman" w:hAnsi="Times New Roman"/>
        </w:rPr>
      </w:pPr>
    </w:p>
    <w:p>
      <w:pPr>
        <w:jc w:val="center"/>
        <w:rPr>
          <w:rFonts w:ascii="Times New Roman" w:hAnsi="Times New Roman"/>
          <w:b/>
          <w:sz w:val="28"/>
          <w:szCs w:val="28"/>
        </w:rPr>
      </w:pPr>
    </w:p>
    <w:p>
      <w:pPr>
        <w:spacing w:line="800" w:lineRule="exact"/>
        <w:jc w:val="center"/>
        <w:rPr>
          <w:rFonts w:hint="eastAsia" w:ascii="Times New Roman" w:hAnsi="Times New Roman" w:eastAsia="仿宋_GB2312" w:cs="仿宋_GB2312"/>
          <w:b/>
          <w:sz w:val="44"/>
          <w:szCs w:val="44"/>
          <w:lang w:eastAsia="zh-CN"/>
        </w:rPr>
      </w:pPr>
      <w:bookmarkStart w:id="1" w:name="_Hlk51857744"/>
      <w:bookmarkStart w:id="2" w:name="_Hlk57385975"/>
      <w:r>
        <w:rPr>
          <w:rFonts w:hint="eastAsia" w:ascii="Times New Roman" w:hAnsi="Times New Roman" w:eastAsia="仿宋_GB2312" w:cs="仿宋_GB2312"/>
          <w:b/>
          <w:sz w:val="44"/>
          <w:szCs w:val="44"/>
          <w:lang w:eastAsia="zh-CN"/>
        </w:rPr>
        <w:t>浙江历山红工贸有限公司</w:t>
      </w:r>
    </w:p>
    <w:bookmarkEnd w:id="1"/>
    <w:p>
      <w:pPr>
        <w:spacing w:line="800" w:lineRule="exact"/>
        <w:jc w:val="center"/>
        <w:rPr>
          <w:rFonts w:hint="eastAsia" w:ascii="Times New Roman" w:hAnsi="Times New Roman" w:eastAsia="仿宋_GB2312" w:cs="仿宋_GB2312"/>
          <w:b/>
          <w:sz w:val="44"/>
          <w:szCs w:val="44"/>
          <w:lang w:eastAsia="zh-CN"/>
        </w:rPr>
      </w:pPr>
      <w:r>
        <w:rPr>
          <w:rFonts w:hint="eastAsia" w:ascii="Times New Roman" w:hAnsi="Times New Roman" w:eastAsia="仿宋_GB2312" w:cs="仿宋_GB2312"/>
          <w:b/>
          <w:sz w:val="44"/>
          <w:szCs w:val="44"/>
          <w:lang w:eastAsia="zh-CN"/>
        </w:rPr>
        <w:t>年产8000樘非标门生产线技改项目</w:t>
      </w:r>
    </w:p>
    <w:bookmarkEnd w:id="2"/>
    <w:p>
      <w:pPr>
        <w:spacing w:line="800" w:lineRule="exact"/>
        <w:jc w:val="center"/>
        <w:rPr>
          <w:rFonts w:hint="eastAsia" w:ascii="Times New Roman" w:hAnsi="Times New Roman" w:eastAsia="仿宋_GB2312" w:cs="仿宋_GB2312"/>
          <w:b/>
          <w:sz w:val="44"/>
          <w:szCs w:val="44"/>
          <w:lang w:eastAsia="zh-CN"/>
        </w:rPr>
      </w:pPr>
      <w:r>
        <w:rPr>
          <w:rFonts w:hint="eastAsia" w:ascii="Times New Roman" w:hAnsi="Times New Roman" w:eastAsia="仿宋_GB2312" w:cs="仿宋_GB2312"/>
          <w:b/>
          <w:sz w:val="44"/>
          <w:szCs w:val="44"/>
          <w:lang w:eastAsia="zh-CN"/>
        </w:rPr>
        <w:t>竣工环境保护验收监测报告</w:t>
      </w:r>
    </w:p>
    <w:p>
      <w:pPr>
        <w:pStyle w:val="13"/>
        <w:jc w:val="center"/>
        <w:rPr>
          <w:rFonts w:hint="eastAsia" w:ascii="Times New Roman" w:hAnsi="Times New Roman" w:cs="Times New Roman"/>
          <w:b/>
          <w:sz w:val="30"/>
          <w:szCs w:val="30"/>
        </w:rPr>
      </w:pPr>
    </w:p>
    <w:p>
      <w:pPr>
        <w:ind w:firstLine="2560" w:firstLineChars="850"/>
        <w:rPr>
          <w:rFonts w:hint="eastAsia" w:ascii="Times New Roman" w:hAnsi="Times New Roman" w:eastAsia="仿宋_GB2312" w:cs="仿宋_GB2312"/>
          <w:b/>
          <w:bCs/>
          <w:sz w:val="30"/>
          <w:szCs w:val="30"/>
          <w:lang w:eastAsia="zh-CN"/>
        </w:rPr>
      </w:pPr>
    </w:p>
    <w:p>
      <w:pPr>
        <w:ind w:firstLine="2560" w:firstLineChars="850"/>
        <w:rPr>
          <w:rFonts w:hint="eastAsia" w:ascii="Times New Roman" w:hAnsi="Times New Roman" w:eastAsia="仿宋_GB2312" w:cs="仿宋_GB2312"/>
          <w:b/>
          <w:bCs/>
          <w:sz w:val="30"/>
          <w:szCs w:val="30"/>
          <w:lang w:eastAsia="zh-CN"/>
        </w:rPr>
      </w:pPr>
      <w:r>
        <w:rPr>
          <w:rFonts w:hint="eastAsia" w:ascii="Times New Roman" w:hAnsi="Times New Roman" w:eastAsia="仿宋_GB2312" w:cs="仿宋_GB2312"/>
          <w:b/>
          <w:bCs/>
          <w:sz w:val="30"/>
          <w:szCs w:val="30"/>
          <w:lang w:eastAsia="zh-CN"/>
        </w:rPr>
        <w:t>高鑫（验）字20231202</w:t>
      </w:r>
    </w:p>
    <w:p>
      <w:pPr>
        <w:jc w:val="center"/>
        <w:rPr>
          <w:rFonts w:ascii="Times New Roman" w:hAnsi="Times New Roman"/>
          <w:b/>
          <w:sz w:val="28"/>
          <w:szCs w:val="28"/>
        </w:rPr>
      </w:pPr>
    </w:p>
    <w:p>
      <w:pPr>
        <w:jc w:val="center"/>
        <w:rPr>
          <w:rFonts w:ascii="Times New Roman" w:hAnsi="Times New Roman"/>
          <w:b/>
          <w:sz w:val="28"/>
          <w:szCs w:val="28"/>
        </w:rPr>
      </w:pPr>
    </w:p>
    <w:p>
      <w:pPr>
        <w:pStyle w:val="13"/>
        <w:rPr>
          <w:rFonts w:hint="eastAsia" w:eastAsiaTheme="minorEastAsia"/>
          <w:lang w:eastAsia="zh-CN"/>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浙江历山红工贸有限公司</w:t>
      </w:r>
    </w:p>
    <w:p>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w:t>
      </w:r>
      <w:r>
        <w:rPr>
          <w:rFonts w:hint="eastAsia" w:ascii="Times New Roman" w:hAnsi="Times New Roman" w:eastAsia="仿宋_GB2312" w:cs="仿宋_GB2312"/>
          <w:b/>
          <w:sz w:val="28"/>
          <w:szCs w:val="28"/>
          <w:lang w:val="en-US" w:eastAsia="zh-CN"/>
        </w:rPr>
        <w:t>4</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04</w:t>
      </w:r>
      <w:r>
        <w:rPr>
          <w:rFonts w:hint="eastAsia" w:ascii="Times New Roman" w:hAnsi="Times New Roman" w:eastAsia="仿宋_GB2312" w:cs="仿宋_GB2312"/>
          <w:b/>
          <w:sz w:val="28"/>
          <w:szCs w:val="28"/>
        </w:rPr>
        <w:t>月</w:t>
      </w:r>
    </w:p>
    <w:p>
      <w:pPr>
        <w:rPr>
          <w:rFonts w:ascii="Times New Roman" w:hAnsi="Times New Roman"/>
          <w:sz w:val="28"/>
          <w:szCs w:val="28"/>
        </w:rPr>
      </w:pPr>
    </w:p>
    <w:p>
      <w:pPr>
        <w:rPr>
          <w:rFonts w:ascii="Times New Roman" w:hAnsi="Times New Roman"/>
          <w:sz w:val="28"/>
          <w:szCs w:val="28"/>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13"/>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ascii="Times New Roman" w:hAnsi="Times New Roman"/>
          <w:sz w:val="28"/>
          <w:szCs w:val="28"/>
        </w:rPr>
        <w:drawing>
          <wp:inline distT="0" distB="0" distL="0" distR="0">
            <wp:extent cx="5274310" cy="7452995"/>
            <wp:effectExtent l="0" t="0" r="2540" b="14605"/>
            <wp:docPr id="25" name="图片 2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文本, 信件&#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7452995"/>
                    </a:xfrm>
                    <a:prstGeom prst="rect">
                      <a:avLst/>
                    </a:prstGeom>
                    <a:noFill/>
                    <a:ln>
                      <a:noFill/>
                    </a:ln>
                  </pic:spPr>
                </pic:pic>
              </a:graphicData>
            </a:graphic>
          </wp:inline>
        </w:drawing>
      </w:r>
    </w:p>
    <w:p>
      <w:pPr>
        <w:pStyle w:val="13"/>
      </w:pPr>
    </w:p>
    <w:p>
      <w:pPr>
        <w:rPr>
          <w:rFonts w:ascii="Times New Roman" w:hAnsi="Times New Roman"/>
          <w:sz w:val="28"/>
          <w:szCs w:val="28"/>
        </w:rPr>
      </w:pPr>
    </w:p>
    <w:p>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hint="eastAsia" w:ascii="Times New Roman" w:hAnsi="Times New Roman" w:eastAsia="仿宋_GB2312" w:cs="Times New Roman"/>
          <w:b/>
          <w:color w:val="000000"/>
          <w:sz w:val="28"/>
          <w:lang w:eastAsia="zh-CN"/>
        </w:rPr>
      </w:pPr>
      <w:r>
        <w:rPr>
          <w:rFonts w:ascii="Times New Roman" w:hAnsi="Times New Roman" w:eastAsia="仿宋_GB2312" w:cs="Times New Roman"/>
          <w:b/>
          <w:color w:val="000000"/>
          <w:sz w:val="28"/>
        </w:rPr>
        <w:t>项 目 负 责 人  ：</w:t>
      </w:r>
      <w:r>
        <w:rPr>
          <w:rFonts w:hint="eastAsia" w:ascii="Times New Roman" w:hAnsi="Times New Roman" w:eastAsia="仿宋_GB2312" w:cs="Times New Roman"/>
          <w:b/>
          <w:color w:val="000000"/>
          <w:sz w:val="28"/>
          <w:lang w:val="en-US" w:eastAsia="zh-CN"/>
        </w:rPr>
        <w:t>章鹏翀</w:t>
      </w:r>
    </w:p>
    <w:p>
      <w:pPr>
        <w:spacing w:line="360" w:lineRule="auto"/>
        <w:rPr>
          <w:rFonts w:hint="eastAsia" w:ascii="Times New Roman" w:hAnsi="Times New Roman" w:eastAsia="仿宋" w:cs="Times New Roman"/>
          <w:b/>
          <w:color w:val="000000"/>
          <w:sz w:val="28"/>
          <w:lang w:eastAsia="zh-CN"/>
        </w:rPr>
      </w:pPr>
      <w:r>
        <w:rPr>
          <w:rFonts w:ascii="Times New Roman" w:hAnsi="Times New Roman" w:eastAsia="仿宋" w:cs="Times New Roman"/>
          <w:b/>
          <w:color w:val="000000"/>
          <w:sz w:val="28"/>
        </w:rPr>
        <w:t>报 告 编 写 人  ：</w:t>
      </w:r>
      <w:r>
        <w:rPr>
          <w:rFonts w:hint="eastAsia" w:ascii="Times New Roman" w:hAnsi="Times New Roman" w:eastAsia="仿宋" w:cs="Times New Roman"/>
          <w:b/>
          <w:color w:val="000000"/>
          <w:sz w:val="28"/>
          <w:lang w:val="en-US" w:eastAsia="zh-CN"/>
        </w:rPr>
        <w:t>章鹏翀</w:t>
      </w: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261" w:type="dxa"/>
            <w:vAlign w:val="center"/>
          </w:tcPr>
          <w:p>
            <w:pPr>
              <w:spacing w:line="360" w:lineRule="auto"/>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浙江历山红工贸有限公司</w:t>
            </w:r>
          </w:p>
          <w:p>
            <w:pPr>
              <w:keepNext w:val="0"/>
              <w:keepLines w:val="0"/>
              <w:widowControl/>
              <w:suppressLineNumbers w:val="0"/>
              <w:jc w:val="left"/>
              <w:rPr>
                <w:rFonts w:hint="default"/>
                <w:lang w:val="en-US"/>
              </w:rPr>
            </w:pPr>
            <w:r>
              <w:rPr>
                <w:rFonts w:hint="eastAsia" w:ascii="Times New Roman" w:hAnsi="Times New Roman" w:eastAsia="仿宋_GB2312" w:cs="仿宋_GB2312"/>
                <w:sz w:val="28"/>
                <w:szCs w:val="28"/>
              </w:rPr>
              <w:t>电话：</w:t>
            </w:r>
            <w:r>
              <w:rPr>
                <w:rFonts w:hint="eastAsia" w:ascii="Times New Roman" w:hAnsi="Times New Roman" w:eastAsia="仿宋_GB2312" w:cs="仿宋_GB2312"/>
                <w:sz w:val="28"/>
                <w:szCs w:val="28"/>
                <w:lang w:val="en-US" w:eastAsia="zh-CN"/>
              </w:rPr>
              <w:t>15068099992</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w:t>
            </w:r>
            <w:r>
              <w:rPr>
                <w:rFonts w:hint="eastAsia" w:ascii="Times New Roman" w:hAnsi="Times New Roman" w:eastAsia="仿宋_GB2312" w:cs="仿宋_GB2312"/>
                <w:sz w:val="28"/>
                <w:szCs w:val="28"/>
                <w:lang w:eastAsia="zh-CN"/>
              </w:rPr>
              <w:t>321302</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浙江省金华市永康市西城街道西周路18号</w:t>
            </w:r>
          </w:p>
        </w:tc>
        <w:tc>
          <w:tcPr>
            <w:tcW w:w="4261" w:type="dxa"/>
            <w:vAlign w:val="center"/>
          </w:tcPr>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r>
              <w:rPr>
                <w:rFonts w:hint="eastAsia" w:ascii="Times New Roman" w:hAnsi="Times New Roman" w:eastAsia="仿宋_GB2312" w:cs="仿宋_GB2312"/>
                <w:sz w:val="28"/>
                <w:szCs w:val="28"/>
                <w:highlight w:val="none"/>
              </w:rPr>
              <w:t>：0579-82133117</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邮编：3210</w:t>
            </w:r>
            <w:r>
              <w:rPr>
                <w:rFonts w:hint="eastAsia" w:ascii="Times New Roman" w:hAnsi="Times New Roman" w:eastAsia="仿宋_GB2312" w:cs="仿宋_GB2312"/>
                <w:sz w:val="28"/>
                <w:szCs w:val="28"/>
                <w:lang w:val="en-US" w:eastAsia="zh-CN"/>
              </w:rPr>
              <w:t>00</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pPr>
        <w:ind w:firstLine="1559" w:firstLineChars="557"/>
        <w:rPr>
          <w:rFonts w:ascii="Times New Roman" w:hAnsi="Times New Roman" w:eastAsia="仿宋_GB2312" w:cs="仿宋_GB2312"/>
          <w:sz w:val="28"/>
          <w:szCs w:val="28"/>
        </w:rPr>
      </w:pPr>
    </w:p>
    <w:p>
      <w:pPr>
        <w:spacing w:line="360" w:lineRule="auto"/>
        <w:ind w:firstLine="420" w:firstLineChars="150"/>
        <w:rPr>
          <w:rFonts w:ascii="Times New Roman" w:hAnsi="Times New Roman" w:eastAsia="仿宋_GB2312" w:cs="仿宋_GB2312"/>
          <w:sz w:val="28"/>
          <w:szCs w:val="28"/>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hint="default" w:ascii="Times New Roman" w:hAnsi="Times New Roman" w:cs="Times New Roman"/>
          <w:i w:val="0"/>
          <w:iCs w:val="0"/>
          <w:lang w:val="zh-CN"/>
        </w:rPr>
        <w:id w:val="1207214"/>
      </w:sdtPr>
      <w:sdtEndPr>
        <w:rPr>
          <w:rFonts w:hint="default" w:ascii="Times New Roman" w:hAnsi="Times New Roman" w:cs="Times New Roman"/>
          <w:i w:val="0"/>
          <w:iCs w:val="0"/>
          <w:lang w:val="en-US"/>
        </w:rPr>
      </w:sdtEndPr>
      <w:sdtContent>
        <w:p>
          <w:pPr>
            <w:spacing w:line="360" w:lineRule="exact"/>
            <w:jc w:val="center"/>
            <w:rPr>
              <w:rFonts w:hint="default" w:ascii="Times New Roman" w:hAnsi="Times New Roman" w:cs="Times New Roman"/>
              <w:b/>
              <w:bCs/>
              <w:i w:val="0"/>
              <w:iCs w:val="0"/>
              <w:sz w:val="24"/>
              <w:szCs w:val="24"/>
            </w:rPr>
          </w:pPr>
          <w:r>
            <w:rPr>
              <w:rFonts w:hint="default" w:ascii="Times New Roman" w:hAnsi="Times New Roman" w:cs="Times New Roman"/>
              <w:b/>
              <w:bCs/>
              <w:i w:val="0"/>
              <w:iCs w:val="0"/>
              <w:sz w:val="24"/>
              <w:szCs w:val="24"/>
            </w:rPr>
            <w:t>目录</w:t>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eastAsiaTheme="minorEastAsia"/>
              <w:i w:val="0"/>
              <w:iCs w:val="0"/>
              <w:sz w:val="24"/>
              <w:szCs w:val="24"/>
            </w:rPr>
            <w:fldChar w:fldCharType="begin"/>
          </w:r>
          <w:r>
            <w:rPr>
              <w:rFonts w:hint="default" w:ascii="Times New Roman" w:hAnsi="Times New Roman" w:cs="Times New Roman" w:eastAsiaTheme="minorEastAsia"/>
              <w:i w:val="0"/>
              <w:iCs w:val="0"/>
              <w:sz w:val="24"/>
              <w:szCs w:val="24"/>
            </w:rPr>
            <w:instrText xml:space="preserve"> TOC \o "1-3" \h \z \u </w:instrText>
          </w:r>
          <w:r>
            <w:rPr>
              <w:rFonts w:hint="default" w:ascii="Times New Roman" w:hAnsi="Times New Roman" w:cs="Times New Roman" w:eastAsiaTheme="minorEastAsia"/>
              <w:i w:val="0"/>
              <w:iCs w:val="0"/>
              <w:sz w:val="24"/>
              <w:szCs w:val="24"/>
            </w:rPr>
            <w:fldChar w:fldCharType="separate"/>
          </w:r>
          <w:r>
            <w:rPr>
              <w:rFonts w:hint="default" w:ascii="Times New Roman" w:hAnsi="Times New Roman" w:cs="Times New Roman" w:eastAsiaTheme="minorEastAsia"/>
              <w:i w:val="0"/>
              <w:iCs w:val="0"/>
              <w:szCs w:val="24"/>
            </w:rPr>
            <w:fldChar w:fldCharType="begin"/>
          </w:r>
          <w:r>
            <w:rPr>
              <w:rFonts w:hint="default" w:ascii="Times New Roman" w:hAnsi="Times New Roman" w:cs="Times New Roman" w:eastAsiaTheme="minorEastAsia"/>
              <w:i w:val="0"/>
              <w:iCs w:val="0"/>
              <w:szCs w:val="24"/>
            </w:rPr>
            <w:instrText xml:space="preserve"> HYPERLINK \l _Toc16336 </w:instrText>
          </w:r>
          <w:r>
            <w:rPr>
              <w:rFonts w:hint="default" w:ascii="Times New Roman" w:hAnsi="Times New Roman" w:cs="Times New Roman" w:eastAsiaTheme="minorEastAsia"/>
              <w:i w:val="0"/>
              <w:iCs w:val="0"/>
              <w:szCs w:val="24"/>
            </w:rPr>
            <w:fldChar w:fldCharType="separate"/>
          </w:r>
          <w:r>
            <w:rPr>
              <w:rFonts w:hint="default" w:ascii="Times New Roman" w:hAnsi="Times New Roman" w:cs="Times New Roman"/>
              <w:i w:val="0"/>
              <w:iCs w:val="0"/>
            </w:rPr>
            <w:t>1项目概况</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_Toc16336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w:t>
          </w:r>
          <w:r>
            <w:rPr>
              <w:rFonts w:hint="default" w:ascii="Times New Roman" w:hAnsi="Times New Roman" w:cs="Times New Roman"/>
              <w:i w:val="0"/>
              <w:iCs w:val="0"/>
            </w:rPr>
            <w:fldChar w:fldCharType="end"/>
          </w:r>
          <w:r>
            <w:rPr>
              <w:rFonts w:hint="default" w:ascii="Times New Roman" w:hAnsi="Times New Roman" w:cs="Times New Roman" w:eastAsiaTheme="minorEastAsia"/>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_Toc27365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lang w:val="en-US"/>
            </w:rPr>
            <w:t>1.1基本情况</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_Toc27365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_Toc3998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lang w:val="en-US" w:eastAsia="zh-CN"/>
            </w:rPr>
            <w:t>1.2项目审批情况</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_Toc3998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_Toc22713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lang w:val="en-US" w:eastAsia="zh-CN"/>
            </w:rPr>
            <w:t>1.3项目建设情况</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_Toc22713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_Toc7172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lang w:val="en-US" w:eastAsia="zh-CN"/>
            </w:rPr>
            <w:t>1.4项目验收工作情况</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_Toc7172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_Toc26876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2验收依据</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_Toc26876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_Toc9592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2.1建设项目环境保护相关法律、法规和规章制度</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_Toc9592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_Toc3591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2.2建设项目竣工环境保护验收技术规范</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_Toc3591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_Toc8641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2.3建设</w:t>
          </w:r>
          <w:r>
            <w:rPr>
              <w:rFonts w:hint="default" w:ascii="Times New Roman" w:hAnsi="Times New Roman" w:eastAsia="宋体" w:cs="Times New Roman"/>
              <w:i w:val="0"/>
              <w:iCs w:val="0"/>
              <w:lang w:eastAsia="zh-CN"/>
            </w:rPr>
            <w:t>项目环境影响登记表</w:t>
          </w:r>
          <w:r>
            <w:rPr>
              <w:rFonts w:hint="default" w:ascii="Times New Roman" w:hAnsi="Times New Roman" w:eastAsia="宋体" w:cs="Times New Roman"/>
              <w:i w:val="0"/>
              <w:iCs w:val="0"/>
            </w:rPr>
            <w:t>及其审批部门审批决定</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_Toc8641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_Toc18448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2.4其他相关文件</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_Toc18448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_Toc5024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3项目建设情况</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_Toc5024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_Toc3242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3.1地理位置及平面布置</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_Toc3242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_Toc2249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3.2建设内容</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_Toc2249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_Toc12136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3.3主要原辅材</w:t>
          </w:r>
          <w:r>
            <w:rPr>
              <w:rFonts w:hint="default" w:ascii="Times New Roman" w:hAnsi="Times New Roman" w:eastAsia="宋体" w:cs="Times New Roman"/>
              <w:i w:val="0"/>
              <w:iCs w:val="0"/>
              <w:highlight w:val="none"/>
            </w:rPr>
            <w:t>料及燃料</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_Toc12136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10</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_Toc14475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3.4主要生产设备</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_Toc14475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11</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_Toc31825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highlight w:val="none"/>
            </w:rPr>
            <w:t>3.</w:t>
          </w:r>
          <w:r>
            <w:rPr>
              <w:rFonts w:hint="default" w:ascii="Times New Roman" w:hAnsi="Times New Roman" w:eastAsia="宋体" w:cs="Times New Roman"/>
              <w:i w:val="0"/>
              <w:iCs w:val="0"/>
              <w:highlight w:val="none"/>
              <w:lang w:val="en-US" w:eastAsia="zh-CN"/>
            </w:rPr>
            <w:t>5</w:t>
          </w:r>
          <w:r>
            <w:rPr>
              <w:rFonts w:hint="default" w:ascii="Times New Roman" w:hAnsi="Times New Roman" w:eastAsia="宋体" w:cs="Times New Roman"/>
              <w:i w:val="0"/>
              <w:iCs w:val="0"/>
              <w:highlight w:val="none"/>
            </w:rPr>
            <w:t>水源及水平衡</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_Toc31825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12</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_Toc20701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lang w:val="en-US" w:eastAsia="zh-CN"/>
            </w:rPr>
            <w:t>6</w:t>
          </w:r>
          <w:r>
            <w:rPr>
              <w:rFonts w:hint="default" w:ascii="Times New Roman" w:hAnsi="Times New Roman" w:eastAsia="宋体" w:cs="Times New Roman"/>
              <w:i w:val="0"/>
              <w:iCs w:val="0"/>
            </w:rPr>
            <w:t>生产工艺</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_Toc20701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13</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_Toc31567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3.7</w:t>
          </w:r>
          <w:r>
            <w:rPr>
              <w:rFonts w:hint="default" w:ascii="Times New Roman" w:hAnsi="Times New Roman" w:eastAsia="宋体" w:cs="Times New Roman"/>
              <w:i w:val="0"/>
              <w:iCs w:val="0"/>
              <w:highlight w:val="none"/>
            </w:rPr>
            <w:t>项目变动情况</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_Toc31567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_Toc11432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4环境保护设施</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_Toc11432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19</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_Toc19392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4.1污染物治理/处置设施</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_Toc19392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19</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_Toc17794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4.1.1废水</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_Toc17794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19</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_Toc16840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4.1.2废气</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_Toc16840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20</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_Toc1090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4.1.3噪声</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_Toc1090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23</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_Toc31523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4.1.4</w:t>
          </w:r>
          <w:r>
            <w:rPr>
              <w:rFonts w:hint="default" w:ascii="Times New Roman" w:hAnsi="Times New Roman" w:cs="Times New Roman"/>
              <w:i w:val="0"/>
              <w:iCs w:val="0"/>
              <w:highlight w:val="none"/>
            </w:rPr>
            <w:t>固</w:t>
          </w:r>
          <w:r>
            <w:rPr>
              <w:rFonts w:hint="default" w:ascii="Times New Roman" w:hAnsi="Times New Roman" w:cs="Times New Roman"/>
              <w:i w:val="0"/>
              <w:iCs w:val="0"/>
              <w:highlight w:val="none"/>
              <w:lang w:eastAsia="zh-CN"/>
            </w:rPr>
            <w:t>（液）</w:t>
          </w:r>
          <w:r>
            <w:rPr>
              <w:rFonts w:hint="default" w:ascii="Times New Roman" w:hAnsi="Times New Roman" w:cs="Times New Roman"/>
              <w:i w:val="0"/>
              <w:iCs w:val="0"/>
              <w:highlight w:val="none"/>
            </w:rPr>
            <w:t>体废物</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_Toc31523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23</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_Toc28421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4.2其他环境保护设施</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_Toc28421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24</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_Toc3966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4.2.1环境风险防范设施</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_Toc3966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24</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_Toc26791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4.2.2规范化排污口、监测设施及在线监测装置</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_Toc26791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_Toc24738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4.2.3其他设施</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_Toc24738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_Toc5309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4.3环保设施投资及“三同时”落实情况</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_Toc5309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_Toc28922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4.3.1 环保设施投资</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_Toc28922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_Toc19594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4.3.2 “三同时”落实情况</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_Toc19594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26</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_Toc6965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5建设项目</w:t>
          </w:r>
          <w:r>
            <w:rPr>
              <w:rFonts w:hint="default" w:ascii="Times New Roman" w:hAnsi="Times New Roman" w:cs="Times New Roman"/>
              <w:i w:val="0"/>
              <w:iCs w:val="0"/>
              <w:lang w:eastAsia="zh-CN"/>
            </w:rPr>
            <w:t>环评报告</w:t>
          </w:r>
          <w:r>
            <w:rPr>
              <w:rFonts w:hint="default" w:ascii="Times New Roman" w:hAnsi="Times New Roman" w:cs="Times New Roman"/>
              <w:i w:val="0"/>
              <w:iCs w:val="0"/>
            </w:rPr>
            <w:t>的主要结论与建议及其审批部门审批决定</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_Toc6965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27</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_Toc13456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5.1建设项目</w:t>
          </w:r>
          <w:r>
            <w:rPr>
              <w:rFonts w:hint="default" w:ascii="Times New Roman" w:hAnsi="Times New Roman" w:eastAsia="宋体" w:cs="Times New Roman"/>
              <w:i w:val="0"/>
              <w:iCs w:val="0"/>
              <w:lang w:eastAsia="zh-CN"/>
            </w:rPr>
            <w:t>环评报告</w:t>
          </w:r>
          <w:r>
            <w:rPr>
              <w:rFonts w:hint="default" w:ascii="Times New Roman" w:hAnsi="Times New Roman" w:eastAsia="宋体" w:cs="Times New Roman"/>
              <w:i w:val="0"/>
              <w:iCs w:val="0"/>
            </w:rPr>
            <w:t>的主要结论与建议</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_Toc13456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27</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_Toc7192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lang w:val="en-US" w:eastAsia="zh-CN"/>
            </w:rPr>
            <w:t>5.1.1 建设项目污染产生和防治措施</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_Toc7192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27</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_Toc16294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lang w:val="en-US" w:eastAsia="zh-CN"/>
            </w:rPr>
            <w:t>5.1.2 环评总结论</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_Toc16294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29</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_Toc10170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5.2审批部门审批决定</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_Toc10170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29</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_Toc5048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6验收执行标准</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_Toc5048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32</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_Toc19900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6.1废水验收执行标准</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_Toc19900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32</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_Toc9636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6.2废气验收执行标准</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_Toc9636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32</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_Toc19525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6.3噪声验收执行标准</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_Toc19525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34</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_Toc19655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6.4固废验收执行标准</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_Toc19655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34</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_Toc12225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6.5主要污染物排放总量控制指标</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_Toc12225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34</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_Toc21567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7验收监测内容</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_Toc21567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_Toc19895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7.1环境保护设施调试运行效果</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_Toc19895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_Toc32489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7.1.1废水验收监测内容</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_Toc32489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_Toc23346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7.1.2废气验收监测内容</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_Toc23346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_Toc23718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7.1.3厂界噪声监测</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_Toc23718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36</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_Toc9106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7.1.4</w:t>
          </w:r>
          <w:r>
            <w:rPr>
              <w:rFonts w:hint="default" w:ascii="Times New Roman" w:hAnsi="Times New Roman" w:cs="Times New Roman"/>
              <w:i w:val="0"/>
              <w:iCs w:val="0"/>
              <w:lang w:val="en-US" w:eastAsia="zh-CN"/>
            </w:rPr>
            <w:t>监测</w:t>
          </w:r>
          <w:r>
            <w:rPr>
              <w:rFonts w:hint="default" w:ascii="Times New Roman" w:hAnsi="Times New Roman" w:cs="Times New Roman"/>
              <w:i w:val="0"/>
              <w:iCs w:val="0"/>
            </w:rPr>
            <w:t>点位布置图</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_Toc9106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36</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_Toc618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8质量保证及质量控制</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_Toc618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37</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_Toc19133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8.1监测分析方法</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_Toc19133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37</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_Toc1057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8.2监测仪器</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_Toc1057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39</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_Toc7691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8.3人员能力</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_Toc7691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40</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_Toc18040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8.4水质监测分析过程中的质量保证和质量控制</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_Toc18040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40</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_Toc20836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8.5气体监测分析过程中的质量保证和质量控制</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_Toc20836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40</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_Toc12280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8.6噪声监测分析过程中的质量保证和质量控制</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_Toc12280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41</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_Toc12897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8.7采样记录及分析结果</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_Toc12897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41</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_Toc15401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9验收监测结果</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_Toc15401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42</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_Toc26998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9.1生产工况</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_Toc26998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42</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_Toc18577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rPr>
            <w:t>9.2</w:t>
          </w:r>
          <w:r>
            <w:rPr>
              <w:rFonts w:hint="default" w:ascii="Times New Roman" w:hAnsi="Times New Roman" w:cs="Times New Roman"/>
              <w:i w:val="0"/>
              <w:iCs w:val="0"/>
            </w:rPr>
            <w:t>污染物排放监测及环保设施处理效率结果</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_Toc18577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42</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_Toc24942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kern w:val="22"/>
            </w:rPr>
            <w:t>9.2.1废水监测结果及评价</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_Toc24942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42</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_Toc29376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kern w:val="22"/>
            </w:rPr>
            <w:t>9.2.2固定污染源废气检测结果及评价</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_Toc29376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47</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_Toc28606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kern w:val="22"/>
            </w:rPr>
            <w:t>9.2.</w:t>
          </w:r>
          <w:r>
            <w:rPr>
              <w:rFonts w:hint="default" w:ascii="Times New Roman" w:hAnsi="Times New Roman" w:cs="Times New Roman"/>
              <w:i w:val="0"/>
              <w:iCs w:val="0"/>
              <w:kern w:val="22"/>
              <w:lang w:val="en-US" w:eastAsia="zh-CN"/>
            </w:rPr>
            <w:t>3</w:t>
          </w:r>
          <w:r>
            <w:rPr>
              <w:rFonts w:hint="default" w:ascii="Times New Roman" w:hAnsi="Times New Roman" w:cs="Times New Roman"/>
              <w:i w:val="0"/>
              <w:iCs w:val="0"/>
              <w:kern w:val="22"/>
            </w:rPr>
            <w:t>无组织废气检测结果及评价</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_Toc28606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52</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_Toc22488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kern w:val="22"/>
            </w:rPr>
            <w:t>9.2.</w:t>
          </w:r>
          <w:r>
            <w:rPr>
              <w:rFonts w:hint="default" w:ascii="Times New Roman" w:hAnsi="Times New Roman" w:cs="Times New Roman"/>
              <w:i w:val="0"/>
              <w:iCs w:val="0"/>
              <w:kern w:val="22"/>
              <w:lang w:val="en-US" w:eastAsia="zh-CN"/>
            </w:rPr>
            <w:t>4</w:t>
          </w:r>
          <w:r>
            <w:rPr>
              <w:rFonts w:hint="default" w:ascii="Times New Roman" w:hAnsi="Times New Roman" w:cs="Times New Roman"/>
              <w:i w:val="0"/>
              <w:iCs w:val="0"/>
              <w:kern w:val="22"/>
            </w:rPr>
            <w:t>厂界噪声检测结果及评价</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_Toc22488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55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_Toc27772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kern w:val="22"/>
            </w:rPr>
            <w:t>9.2.</w:t>
          </w:r>
          <w:r>
            <w:rPr>
              <w:rFonts w:hint="default" w:ascii="Times New Roman" w:hAnsi="Times New Roman" w:cs="Times New Roman"/>
              <w:i w:val="0"/>
              <w:iCs w:val="0"/>
              <w:kern w:val="22"/>
              <w:lang w:val="en-US" w:eastAsia="zh-CN"/>
            </w:rPr>
            <w:t>5</w:t>
          </w:r>
          <w:r>
            <w:rPr>
              <w:rFonts w:hint="default" w:ascii="Times New Roman" w:hAnsi="Times New Roman" w:cs="Times New Roman"/>
              <w:i w:val="0"/>
              <w:iCs w:val="0"/>
            </w:rPr>
            <w:t>环保设施</w:t>
          </w:r>
          <w:r>
            <w:rPr>
              <w:rFonts w:hint="default" w:ascii="Times New Roman" w:hAnsi="Times New Roman" w:cs="Times New Roman"/>
              <w:i w:val="0"/>
              <w:iCs w:val="0"/>
              <w:highlight w:val="none"/>
              <w:lang w:val="en-US" w:eastAsia="zh-CN"/>
            </w:rPr>
            <w:t>处理</w:t>
          </w:r>
          <w:r>
            <w:rPr>
              <w:rFonts w:hint="default" w:ascii="Times New Roman" w:hAnsi="Times New Roman" w:cs="Times New Roman"/>
              <w:i w:val="0"/>
              <w:iCs w:val="0"/>
              <w:highlight w:val="none"/>
            </w:rPr>
            <w:t>效</w:t>
          </w:r>
          <w:r>
            <w:rPr>
              <w:rFonts w:hint="default" w:ascii="Times New Roman" w:hAnsi="Times New Roman" w:cs="Times New Roman"/>
              <w:i w:val="0"/>
              <w:iCs w:val="0"/>
            </w:rPr>
            <w:t>率监测结果</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_Toc27772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56</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_Toc18732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kern w:val="22"/>
            </w:rPr>
            <w:t>9.2.</w:t>
          </w:r>
          <w:r>
            <w:rPr>
              <w:rFonts w:hint="default" w:ascii="Times New Roman" w:hAnsi="Times New Roman" w:cs="Times New Roman"/>
              <w:i w:val="0"/>
              <w:iCs w:val="0"/>
              <w:kern w:val="22"/>
              <w:lang w:val="en-US" w:eastAsia="zh-CN"/>
            </w:rPr>
            <w:t>6</w:t>
          </w:r>
          <w:r>
            <w:rPr>
              <w:rFonts w:hint="default" w:ascii="Times New Roman" w:hAnsi="Times New Roman" w:cs="Times New Roman"/>
              <w:i w:val="0"/>
              <w:iCs w:val="0"/>
              <w:kern w:val="22"/>
            </w:rPr>
            <w:t>固</w:t>
          </w:r>
          <w:r>
            <w:rPr>
              <w:rFonts w:hint="default" w:ascii="Times New Roman" w:hAnsi="Times New Roman" w:cs="Times New Roman"/>
              <w:i w:val="0"/>
              <w:iCs w:val="0"/>
              <w:kern w:val="22"/>
              <w:highlight w:val="none"/>
              <w:lang w:eastAsia="zh-CN"/>
            </w:rPr>
            <w:t>（液）</w:t>
          </w:r>
          <w:r>
            <w:rPr>
              <w:rFonts w:hint="default" w:ascii="Times New Roman" w:hAnsi="Times New Roman" w:cs="Times New Roman"/>
              <w:i w:val="0"/>
              <w:iCs w:val="0"/>
              <w:kern w:val="22"/>
              <w:highlight w:val="none"/>
            </w:rPr>
            <w:t>体废弃物调查结果及评价</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_Toc18732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57</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_Toc7930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kern w:val="22"/>
            </w:rPr>
            <w:t>9.2.</w:t>
          </w:r>
          <w:r>
            <w:rPr>
              <w:rFonts w:hint="default" w:ascii="Times New Roman" w:hAnsi="Times New Roman" w:cs="Times New Roman"/>
              <w:i w:val="0"/>
              <w:iCs w:val="0"/>
              <w:kern w:val="22"/>
              <w:lang w:val="en-US" w:eastAsia="zh-CN"/>
            </w:rPr>
            <w:t>7</w:t>
          </w:r>
          <w:r>
            <w:rPr>
              <w:rFonts w:hint="default" w:ascii="Times New Roman" w:hAnsi="Times New Roman" w:cs="Times New Roman"/>
              <w:i w:val="0"/>
              <w:iCs w:val="0"/>
              <w:kern w:val="22"/>
            </w:rPr>
            <w:t>污染物排放总量核算</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_Toc7930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58</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_Toc26339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kern w:val="22"/>
            </w:rPr>
            <w:t>9.3工程建设对环境的影响</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_Toc26339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59</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_Toc19545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rPr>
            <w:t>10验收监测结论</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_Toc19545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60</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_Toc22737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kern w:val="22"/>
            </w:rPr>
            <w:t>10.1环保设施调试运行效果</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_Toc22737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60</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_Toc24463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kern w:val="22"/>
            </w:rPr>
            <w:t>10.1.1环保设施处理效率监测结果</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_Toc24463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60</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2"/>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_Toc24279 </w:instrText>
          </w:r>
          <w:r>
            <w:rPr>
              <w:rFonts w:hint="default" w:ascii="Times New Roman" w:hAnsi="Times New Roman" w:cs="Times New Roman"/>
              <w:i w:val="0"/>
              <w:iCs w:val="0"/>
              <w:szCs w:val="24"/>
            </w:rPr>
            <w:fldChar w:fldCharType="separate"/>
          </w:r>
          <w:r>
            <w:rPr>
              <w:rFonts w:hint="default" w:ascii="Times New Roman" w:hAnsi="Times New Roman" w:cs="Times New Roman"/>
              <w:i w:val="0"/>
              <w:iCs w:val="0"/>
              <w:kern w:val="22"/>
            </w:rPr>
            <w:t>10.1.2污染设施排放监测结果</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_Toc24279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60</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25"/>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_Toc7854 </w:instrText>
          </w:r>
          <w:r>
            <w:rPr>
              <w:rFonts w:hint="default" w:ascii="Times New Roman" w:hAnsi="Times New Roman" w:cs="Times New Roman"/>
              <w:i w:val="0"/>
              <w:iCs w:val="0"/>
              <w:szCs w:val="24"/>
            </w:rPr>
            <w:fldChar w:fldCharType="separate"/>
          </w:r>
          <w:r>
            <w:rPr>
              <w:rFonts w:hint="default" w:ascii="Times New Roman" w:hAnsi="Times New Roman" w:eastAsia="宋体" w:cs="Times New Roman"/>
              <w:i w:val="0"/>
              <w:iCs w:val="0"/>
              <w:kern w:val="22"/>
            </w:rPr>
            <w:t>10.</w:t>
          </w:r>
          <w:r>
            <w:rPr>
              <w:rFonts w:hint="default" w:ascii="Times New Roman" w:hAnsi="Times New Roman" w:eastAsia="宋体" w:cs="Times New Roman"/>
              <w:i w:val="0"/>
              <w:iCs w:val="0"/>
              <w:kern w:val="22"/>
              <w:lang w:val="en-US" w:eastAsia="zh-CN"/>
            </w:rPr>
            <w:t>2</w:t>
          </w:r>
          <w:r>
            <w:rPr>
              <w:rFonts w:hint="default" w:ascii="Times New Roman" w:hAnsi="Times New Roman" w:eastAsia="宋体" w:cs="Times New Roman"/>
              <w:i w:val="0"/>
              <w:iCs w:val="0"/>
              <w:kern w:val="22"/>
            </w:rPr>
            <w:t>建议</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_Toc7854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62</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_Toc32139 </w:instrText>
          </w:r>
          <w:r>
            <w:rPr>
              <w:rFonts w:hint="default" w:ascii="Times New Roman" w:hAnsi="Times New Roman" w:cs="Times New Roman"/>
              <w:i w:val="0"/>
              <w:iCs w:val="0"/>
              <w:szCs w:val="24"/>
            </w:rPr>
            <w:fldChar w:fldCharType="separate"/>
          </w:r>
          <w:r>
            <w:rPr>
              <w:rFonts w:hint="default" w:ascii="Times New Roman" w:hAnsi="Times New Roman" w:cs="Times New Roman" w:eastAsiaTheme="majorEastAsia"/>
              <w:bCs w:val="0"/>
              <w:i w:val="0"/>
              <w:iCs w:val="0"/>
              <w:szCs w:val="32"/>
            </w:rPr>
            <w:t>附件1 建设项目环境保护“三同时”竣工验收报告表</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_Toc32139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63</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_Toc16250 </w:instrText>
          </w:r>
          <w:r>
            <w:rPr>
              <w:rFonts w:hint="default" w:ascii="Times New Roman" w:hAnsi="Times New Roman" w:cs="Times New Roman"/>
              <w:i w:val="0"/>
              <w:iCs w:val="0"/>
              <w:szCs w:val="24"/>
            </w:rPr>
            <w:fldChar w:fldCharType="separate"/>
          </w:r>
          <w:r>
            <w:rPr>
              <w:rFonts w:hint="default" w:ascii="Times New Roman" w:hAnsi="Times New Roman" w:cs="Times New Roman" w:eastAsiaTheme="majorEastAsia"/>
              <w:bCs w:val="0"/>
              <w:i w:val="0"/>
              <w:iCs w:val="0"/>
              <w:szCs w:val="32"/>
            </w:rPr>
            <w:t>附件2 环评批复</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_Toc16250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65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_Toc28933 </w:instrText>
          </w:r>
          <w:r>
            <w:rPr>
              <w:rFonts w:hint="default" w:ascii="Times New Roman" w:hAnsi="Times New Roman" w:cs="Times New Roman"/>
              <w:i w:val="0"/>
              <w:iCs w:val="0"/>
              <w:szCs w:val="24"/>
            </w:rPr>
            <w:fldChar w:fldCharType="separate"/>
          </w:r>
          <w:r>
            <w:rPr>
              <w:rFonts w:hint="default" w:ascii="Times New Roman" w:hAnsi="Times New Roman" w:cs="Times New Roman" w:eastAsiaTheme="majorEastAsia"/>
              <w:bCs w:val="0"/>
              <w:i w:val="0"/>
              <w:iCs w:val="0"/>
              <w:szCs w:val="32"/>
            </w:rPr>
            <w:t xml:space="preserve">附件3 </w:t>
          </w:r>
          <w:r>
            <w:rPr>
              <w:rFonts w:hint="default" w:ascii="Times New Roman" w:hAnsi="Times New Roman" w:cs="Times New Roman" w:eastAsiaTheme="majorEastAsia"/>
              <w:bCs w:val="0"/>
              <w:i w:val="0"/>
              <w:iCs w:val="0"/>
              <w:szCs w:val="32"/>
              <w:lang w:val="en-US" w:eastAsia="zh-CN"/>
            </w:rPr>
            <w:t>城镇污水排入排水管网许可证</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_Toc28933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69</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_Toc32140 </w:instrText>
          </w:r>
          <w:r>
            <w:rPr>
              <w:rFonts w:hint="default" w:ascii="Times New Roman" w:hAnsi="Times New Roman" w:cs="Times New Roman"/>
              <w:i w:val="0"/>
              <w:iCs w:val="0"/>
              <w:szCs w:val="24"/>
            </w:rPr>
            <w:fldChar w:fldCharType="separate"/>
          </w:r>
          <w:r>
            <w:rPr>
              <w:rFonts w:hint="default" w:ascii="Times New Roman" w:hAnsi="Times New Roman" w:cs="Times New Roman" w:eastAsiaTheme="majorEastAsia"/>
              <w:bCs w:val="0"/>
              <w:i w:val="0"/>
              <w:iCs w:val="0"/>
              <w:szCs w:val="32"/>
            </w:rPr>
            <w:t xml:space="preserve">附件4 </w:t>
          </w:r>
          <w:r>
            <w:rPr>
              <w:rFonts w:hint="default" w:ascii="Times New Roman" w:hAnsi="Times New Roman" w:cs="Times New Roman" w:eastAsiaTheme="majorEastAsia"/>
              <w:bCs w:val="0"/>
              <w:i w:val="0"/>
              <w:iCs w:val="0"/>
              <w:szCs w:val="32"/>
              <w:lang w:val="en-US" w:eastAsia="zh-CN"/>
            </w:rPr>
            <w:t>排污登记回执</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_Toc32140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70</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_Toc7920 </w:instrText>
          </w:r>
          <w:r>
            <w:rPr>
              <w:rFonts w:hint="default" w:ascii="Times New Roman" w:hAnsi="Times New Roman" w:cs="Times New Roman"/>
              <w:i w:val="0"/>
              <w:iCs w:val="0"/>
              <w:szCs w:val="24"/>
            </w:rPr>
            <w:fldChar w:fldCharType="separate"/>
          </w:r>
          <w:r>
            <w:rPr>
              <w:rFonts w:hint="default" w:ascii="Times New Roman" w:hAnsi="Times New Roman" w:cs="Times New Roman" w:eastAsiaTheme="majorEastAsia"/>
              <w:bCs w:val="0"/>
              <w:i w:val="0"/>
              <w:iCs w:val="0"/>
              <w:szCs w:val="32"/>
            </w:rPr>
            <w:t>附件</w:t>
          </w:r>
          <w:r>
            <w:rPr>
              <w:rFonts w:hint="default" w:ascii="Times New Roman" w:hAnsi="Times New Roman" w:cs="Times New Roman" w:eastAsiaTheme="majorEastAsia"/>
              <w:bCs w:val="0"/>
              <w:i w:val="0"/>
              <w:iCs w:val="0"/>
              <w:szCs w:val="32"/>
              <w:lang w:val="en-US" w:eastAsia="zh-CN"/>
            </w:rPr>
            <w:t>5</w:t>
          </w:r>
          <w:r>
            <w:rPr>
              <w:rFonts w:hint="default" w:ascii="Times New Roman" w:hAnsi="Times New Roman" w:cs="Times New Roman" w:eastAsiaTheme="majorEastAsia"/>
              <w:bCs w:val="0"/>
              <w:i w:val="0"/>
              <w:iCs w:val="0"/>
              <w:szCs w:val="32"/>
            </w:rPr>
            <w:t xml:space="preserve"> </w:t>
          </w:r>
          <w:r>
            <w:rPr>
              <w:rFonts w:hint="default" w:ascii="Times New Roman" w:hAnsi="Times New Roman" w:cs="Times New Roman" w:eastAsiaTheme="majorEastAsia"/>
              <w:bCs w:val="0"/>
              <w:i w:val="0"/>
              <w:iCs w:val="0"/>
              <w:szCs w:val="32"/>
              <w:lang w:val="en-US" w:eastAsia="zh-CN"/>
            </w:rPr>
            <w:t>固废处置协议</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_Toc7920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71</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_Toc9866 </w:instrText>
          </w:r>
          <w:r>
            <w:rPr>
              <w:rFonts w:hint="default" w:ascii="Times New Roman" w:hAnsi="Times New Roman" w:cs="Times New Roman"/>
              <w:i w:val="0"/>
              <w:iCs w:val="0"/>
              <w:szCs w:val="24"/>
            </w:rPr>
            <w:fldChar w:fldCharType="separate"/>
          </w:r>
          <w:r>
            <w:rPr>
              <w:rFonts w:hint="default" w:ascii="Times New Roman" w:hAnsi="Times New Roman" w:cs="Times New Roman" w:eastAsiaTheme="majorEastAsia"/>
              <w:bCs w:val="0"/>
              <w:i w:val="0"/>
              <w:iCs w:val="0"/>
              <w:szCs w:val="32"/>
            </w:rPr>
            <w:t>附件</w:t>
          </w:r>
          <w:r>
            <w:rPr>
              <w:rFonts w:hint="default" w:ascii="Times New Roman" w:hAnsi="Times New Roman" w:cs="Times New Roman" w:eastAsiaTheme="majorEastAsia"/>
              <w:bCs w:val="0"/>
              <w:i w:val="0"/>
              <w:iCs w:val="0"/>
              <w:szCs w:val="32"/>
              <w:lang w:val="en-US" w:eastAsia="zh-CN"/>
            </w:rPr>
            <w:t>6</w:t>
          </w:r>
          <w:r>
            <w:rPr>
              <w:rFonts w:hint="default" w:ascii="Times New Roman" w:hAnsi="Times New Roman" w:cs="Times New Roman" w:eastAsiaTheme="majorEastAsia"/>
              <w:bCs w:val="0"/>
              <w:i w:val="0"/>
              <w:iCs w:val="0"/>
              <w:szCs w:val="32"/>
            </w:rPr>
            <w:t xml:space="preserve"> </w:t>
          </w:r>
          <w:r>
            <w:rPr>
              <w:rFonts w:hint="default" w:ascii="Times New Roman" w:hAnsi="Times New Roman" w:cs="Times New Roman" w:eastAsiaTheme="majorEastAsia"/>
              <w:bCs w:val="0"/>
              <w:i w:val="0"/>
              <w:iCs w:val="0"/>
              <w:szCs w:val="32"/>
              <w:lang w:val="en-US" w:eastAsia="zh-CN"/>
            </w:rPr>
            <w:t>危废台账</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_Toc9866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74</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_Toc19033 </w:instrText>
          </w:r>
          <w:r>
            <w:rPr>
              <w:rFonts w:hint="default" w:ascii="Times New Roman" w:hAnsi="Times New Roman" w:cs="Times New Roman"/>
              <w:i w:val="0"/>
              <w:iCs w:val="0"/>
              <w:szCs w:val="24"/>
            </w:rPr>
            <w:fldChar w:fldCharType="separate"/>
          </w:r>
          <w:r>
            <w:rPr>
              <w:rFonts w:hint="default" w:ascii="Times New Roman" w:hAnsi="Times New Roman" w:cs="Times New Roman" w:eastAsiaTheme="majorEastAsia"/>
              <w:bCs w:val="0"/>
              <w:i w:val="0"/>
              <w:iCs w:val="0"/>
              <w:szCs w:val="32"/>
            </w:rPr>
            <w:t>附件</w:t>
          </w:r>
          <w:r>
            <w:rPr>
              <w:rFonts w:hint="default" w:ascii="Times New Roman" w:hAnsi="Times New Roman" w:cs="Times New Roman" w:eastAsiaTheme="majorEastAsia"/>
              <w:bCs w:val="0"/>
              <w:i w:val="0"/>
              <w:iCs w:val="0"/>
              <w:szCs w:val="32"/>
              <w:lang w:val="en-US" w:eastAsia="zh-CN"/>
            </w:rPr>
            <w:t>7</w:t>
          </w:r>
          <w:r>
            <w:rPr>
              <w:rFonts w:hint="default" w:ascii="Times New Roman" w:hAnsi="Times New Roman" w:cs="Times New Roman" w:eastAsiaTheme="majorEastAsia"/>
              <w:bCs w:val="0"/>
              <w:i w:val="0"/>
              <w:iCs w:val="0"/>
              <w:szCs w:val="32"/>
            </w:rPr>
            <w:t xml:space="preserve"> </w:t>
          </w:r>
          <w:r>
            <w:rPr>
              <w:rFonts w:hint="default" w:ascii="Times New Roman" w:hAnsi="Times New Roman" w:cs="Times New Roman" w:eastAsiaTheme="majorEastAsia"/>
              <w:bCs w:val="0"/>
              <w:i w:val="0"/>
              <w:iCs w:val="0"/>
              <w:szCs w:val="32"/>
              <w:lang w:val="en-US" w:eastAsia="zh-CN"/>
            </w:rPr>
            <w:t>天然气月使用量</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_Toc19033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75</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_Toc30024 </w:instrText>
          </w:r>
          <w:r>
            <w:rPr>
              <w:rFonts w:hint="default" w:ascii="Times New Roman" w:hAnsi="Times New Roman" w:cs="Times New Roman"/>
              <w:i w:val="0"/>
              <w:iCs w:val="0"/>
              <w:szCs w:val="24"/>
            </w:rPr>
            <w:fldChar w:fldCharType="separate"/>
          </w:r>
          <w:r>
            <w:rPr>
              <w:rFonts w:hint="default" w:ascii="Times New Roman" w:hAnsi="Times New Roman" w:cs="Times New Roman" w:eastAsiaTheme="majorEastAsia"/>
              <w:bCs w:val="0"/>
              <w:i w:val="0"/>
              <w:iCs w:val="0"/>
              <w:szCs w:val="32"/>
            </w:rPr>
            <w:t>附件</w:t>
          </w:r>
          <w:r>
            <w:rPr>
              <w:rFonts w:hint="default" w:ascii="Times New Roman" w:hAnsi="Times New Roman" w:cs="Times New Roman" w:eastAsiaTheme="majorEastAsia"/>
              <w:bCs w:val="0"/>
              <w:i w:val="0"/>
              <w:iCs w:val="0"/>
              <w:szCs w:val="32"/>
              <w:lang w:val="en-US" w:eastAsia="zh-CN"/>
            </w:rPr>
            <w:t>8</w:t>
          </w:r>
          <w:r>
            <w:rPr>
              <w:rFonts w:hint="default" w:ascii="Times New Roman" w:hAnsi="Times New Roman" w:cs="Times New Roman" w:eastAsiaTheme="majorEastAsia"/>
              <w:bCs w:val="0"/>
              <w:i w:val="0"/>
              <w:iCs w:val="0"/>
              <w:szCs w:val="32"/>
            </w:rPr>
            <w:t xml:space="preserve"> </w:t>
          </w:r>
          <w:r>
            <w:rPr>
              <w:rFonts w:hint="default" w:ascii="Times New Roman" w:hAnsi="Times New Roman" w:cs="Times New Roman" w:eastAsiaTheme="majorEastAsia"/>
              <w:bCs w:val="0"/>
              <w:i w:val="0"/>
              <w:iCs w:val="0"/>
              <w:szCs w:val="32"/>
              <w:lang w:val="en-US" w:eastAsia="zh-CN"/>
            </w:rPr>
            <w:t>验</w:t>
          </w:r>
          <w:r>
            <w:rPr>
              <w:rFonts w:hint="default" w:ascii="Times New Roman" w:hAnsi="Times New Roman" w:cs="Times New Roman" w:eastAsiaTheme="majorEastAsia"/>
              <w:bCs w:val="0"/>
              <w:i w:val="0"/>
              <w:iCs w:val="0"/>
              <w:szCs w:val="32"/>
              <w:highlight w:val="none"/>
              <w:lang w:val="en-US" w:eastAsia="zh-CN"/>
            </w:rPr>
            <w:t>收期间生产工况</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_Toc30024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76</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_Toc7894 </w:instrText>
          </w:r>
          <w:r>
            <w:rPr>
              <w:rFonts w:hint="default" w:ascii="Times New Roman" w:hAnsi="Times New Roman" w:cs="Times New Roman"/>
              <w:i w:val="0"/>
              <w:iCs w:val="0"/>
              <w:szCs w:val="24"/>
            </w:rPr>
            <w:fldChar w:fldCharType="separate"/>
          </w:r>
          <w:r>
            <w:rPr>
              <w:rFonts w:hint="default" w:ascii="Times New Roman" w:hAnsi="Times New Roman" w:cs="Times New Roman" w:eastAsiaTheme="majorEastAsia"/>
              <w:bCs w:val="0"/>
              <w:i w:val="0"/>
              <w:iCs w:val="0"/>
              <w:szCs w:val="32"/>
            </w:rPr>
            <w:t>附件</w:t>
          </w:r>
          <w:r>
            <w:rPr>
              <w:rFonts w:hint="default" w:ascii="Times New Roman" w:hAnsi="Times New Roman" w:cs="Times New Roman" w:eastAsiaTheme="majorEastAsia"/>
              <w:bCs w:val="0"/>
              <w:i w:val="0"/>
              <w:iCs w:val="0"/>
              <w:szCs w:val="32"/>
              <w:lang w:val="en-US" w:eastAsia="zh-CN"/>
            </w:rPr>
            <w:t>9</w:t>
          </w:r>
          <w:r>
            <w:rPr>
              <w:rFonts w:hint="default" w:ascii="Times New Roman" w:hAnsi="Times New Roman" w:cs="Times New Roman" w:eastAsiaTheme="majorEastAsia"/>
              <w:bCs w:val="0"/>
              <w:i w:val="0"/>
              <w:iCs w:val="0"/>
              <w:szCs w:val="32"/>
            </w:rPr>
            <w:t xml:space="preserve"> 验收意见及签到表</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_Toc7894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77</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_Toc6860 </w:instrText>
          </w:r>
          <w:r>
            <w:rPr>
              <w:rFonts w:hint="default" w:ascii="Times New Roman" w:hAnsi="Times New Roman" w:cs="Times New Roman"/>
              <w:i w:val="0"/>
              <w:iCs w:val="0"/>
              <w:szCs w:val="24"/>
            </w:rPr>
            <w:fldChar w:fldCharType="separate"/>
          </w:r>
          <w:r>
            <w:rPr>
              <w:rFonts w:hint="default" w:ascii="Times New Roman" w:hAnsi="Times New Roman" w:cs="Times New Roman" w:eastAsiaTheme="majorEastAsia"/>
              <w:bCs w:val="0"/>
              <w:i w:val="0"/>
              <w:iCs w:val="0"/>
              <w:szCs w:val="32"/>
            </w:rPr>
            <w:t>附件</w:t>
          </w:r>
          <w:r>
            <w:rPr>
              <w:rFonts w:hint="default" w:ascii="Times New Roman" w:hAnsi="Times New Roman" w:cs="Times New Roman" w:eastAsiaTheme="majorEastAsia"/>
              <w:bCs w:val="0"/>
              <w:i w:val="0"/>
              <w:iCs w:val="0"/>
              <w:szCs w:val="32"/>
              <w:lang w:val="en-US" w:eastAsia="zh-CN"/>
            </w:rPr>
            <w:t>10</w:t>
          </w:r>
          <w:r>
            <w:rPr>
              <w:rFonts w:hint="default" w:ascii="Times New Roman" w:hAnsi="Times New Roman" w:cs="Times New Roman" w:eastAsiaTheme="majorEastAsia"/>
              <w:bCs w:val="0"/>
              <w:i w:val="0"/>
              <w:iCs w:val="0"/>
              <w:szCs w:val="32"/>
            </w:rPr>
            <w:t xml:space="preserve"> 验收公示截图</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_Toc6860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78</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tabs>
              <w:tab w:val="right" w:leader="dot" w:pos="8306"/>
            </w:tabs>
            <w:rPr>
              <w:rFonts w:hint="default" w:ascii="Times New Roman" w:hAnsi="Times New Roman" w:cs="Times New Roman"/>
              <w:i w:val="0"/>
              <w:iCs w:val="0"/>
            </w:rPr>
          </w:pP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_Toc5621 </w:instrText>
          </w:r>
          <w:r>
            <w:rPr>
              <w:rFonts w:hint="default" w:ascii="Times New Roman" w:hAnsi="Times New Roman" w:cs="Times New Roman"/>
              <w:i w:val="0"/>
              <w:iCs w:val="0"/>
              <w:szCs w:val="24"/>
            </w:rPr>
            <w:fldChar w:fldCharType="separate"/>
          </w:r>
          <w:r>
            <w:rPr>
              <w:rFonts w:hint="default" w:ascii="Times New Roman" w:hAnsi="Times New Roman" w:cs="Times New Roman" w:eastAsiaTheme="majorEastAsia"/>
              <w:bCs w:val="0"/>
              <w:i w:val="0"/>
              <w:iCs w:val="0"/>
              <w:szCs w:val="32"/>
            </w:rPr>
            <w:t>附件</w:t>
          </w:r>
          <w:r>
            <w:rPr>
              <w:rFonts w:hint="default" w:ascii="Times New Roman" w:hAnsi="Times New Roman" w:cs="Times New Roman" w:eastAsiaTheme="majorEastAsia"/>
              <w:bCs w:val="0"/>
              <w:i w:val="0"/>
              <w:iCs w:val="0"/>
              <w:szCs w:val="32"/>
              <w:lang w:val="en-US" w:eastAsia="zh-CN"/>
            </w:rPr>
            <w:t>11</w:t>
          </w:r>
          <w:r>
            <w:rPr>
              <w:rFonts w:hint="default" w:ascii="Times New Roman" w:hAnsi="Times New Roman" w:cs="Times New Roman" w:eastAsiaTheme="majorEastAsia"/>
              <w:bCs w:val="0"/>
              <w:i w:val="0"/>
              <w:iCs w:val="0"/>
              <w:szCs w:val="32"/>
            </w:rPr>
            <w:t xml:space="preserve"> 其他需要说明的事项</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_Toc5621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79</w:t>
          </w:r>
          <w:r>
            <w:rPr>
              <w:rFonts w:hint="default" w:ascii="Times New Roman" w:hAnsi="Times New Roman" w:cs="Times New Roman"/>
              <w:i w:val="0"/>
              <w:iCs w:val="0"/>
            </w:rPr>
            <w:fldChar w:fldCharType="end"/>
          </w:r>
          <w:r>
            <w:rPr>
              <w:rFonts w:hint="default" w:ascii="Times New Roman" w:hAnsi="Times New Roman" w:cs="Times New Roman"/>
              <w:i w:val="0"/>
              <w:iCs w:val="0"/>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60" w:lineRule="exact"/>
            <w:textAlignment w:val="auto"/>
            <w:rPr>
              <w:rFonts w:ascii="Times New Roman" w:hAnsi="Times New Roman" w:cs="Times New Roman"/>
              <w:sz w:val="24"/>
              <w:szCs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cs="Times New Roman"/>
              <w:i w:val="0"/>
              <w:iCs w:val="0"/>
              <w:szCs w:val="24"/>
            </w:rPr>
            <w:fldChar w:fldCharType="end"/>
          </w:r>
          <w:r>
            <w:rPr>
              <w:rFonts w:hint="default" w:ascii="Times New Roman" w:hAnsi="Times New Roman" w:cs="Times New Roman"/>
              <w:i w:val="0"/>
              <w:iCs w:val="0"/>
              <w:szCs w:val="24"/>
            </w:rPr>
            <w:fldChar w:fldCharType="begin"/>
          </w:r>
          <w:r>
            <w:rPr>
              <w:rFonts w:hint="default" w:ascii="Times New Roman" w:hAnsi="Times New Roman" w:cs="Times New Roman"/>
              <w:i w:val="0"/>
              <w:iCs w:val="0"/>
              <w:szCs w:val="24"/>
            </w:rPr>
            <w:instrText xml:space="preserve"> HYPERLINK \l _Toc25590 </w:instrText>
          </w:r>
          <w:r>
            <w:rPr>
              <w:rFonts w:hint="default" w:ascii="Times New Roman" w:hAnsi="Times New Roman" w:cs="Times New Roman"/>
              <w:i w:val="0"/>
              <w:iCs w:val="0"/>
              <w:szCs w:val="24"/>
            </w:rPr>
            <w:fldChar w:fldCharType="separate"/>
          </w:r>
          <w:r>
            <w:rPr>
              <w:rFonts w:hint="default" w:ascii="Times New Roman" w:hAnsi="Times New Roman" w:cs="Times New Roman" w:eastAsiaTheme="majorEastAsia"/>
              <w:bCs w:val="0"/>
              <w:i w:val="0"/>
              <w:iCs w:val="0"/>
              <w:szCs w:val="32"/>
            </w:rPr>
            <w:t>附件</w:t>
          </w:r>
          <w:r>
            <w:rPr>
              <w:rFonts w:hint="default" w:ascii="Times New Roman" w:hAnsi="Times New Roman" w:cs="Times New Roman" w:eastAsiaTheme="majorEastAsia"/>
              <w:bCs w:val="0"/>
              <w:i w:val="0"/>
              <w:iCs w:val="0"/>
              <w:szCs w:val="32"/>
              <w:lang w:val="en-US" w:eastAsia="zh-CN"/>
            </w:rPr>
            <w:t>12</w:t>
          </w:r>
          <w:r>
            <w:rPr>
              <w:rFonts w:hint="default" w:ascii="Times New Roman" w:hAnsi="Times New Roman" w:cs="Times New Roman" w:eastAsiaTheme="majorEastAsia"/>
              <w:bCs w:val="0"/>
              <w:i w:val="0"/>
              <w:iCs w:val="0"/>
              <w:szCs w:val="32"/>
            </w:rPr>
            <w:t xml:space="preserve"> </w:t>
          </w:r>
          <w:r>
            <w:rPr>
              <w:rFonts w:hint="default" w:ascii="Times New Roman" w:hAnsi="Times New Roman" w:cs="Times New Roman" w:eastAsiaTheme="majorEastAsia"/>
              <w:bCs w:val="0"/>
              <w:i w:val="0"/>
              <w:iCs w:val="0"/>
              <w:szCs w:val="32"/>
              <w:lang w:val="en-US" w:eastAsia="zh-CN"/>
            </w:rPr>
            <w:t>检测报告</w:t>
          </w:r>
          <w:r>
            <w:rPr>
              <w:rFonts w:hint="default" w:ascii="Times New Roman" w:hAnsi="Times New Roman" w:cs="Times New Roman"/>
              <w:i w:val="0"/>
              <w:iCs w:val="0"/>
            </w:rPr>
            <w:tab/>
          </w:r>
          <w:r>
            <w:rPr>
              <w:rFonts w:hint="default" w:ascii="Times New Roman" w:hAnsi="Times New Roman" w:cs="Times New Roman"/>
              <w:i w:val="0"/>
              <w:iCs w:val="0"/>
              <w:szCs w:val="24"/>
            </w:rPr>
            <w:fldChar w:fldCharType="end"/>
          </w:r>
          <w:r>
            <w:rPr>
              <w:rFonts w:hint="default" w:ascii="Times New Roman" w:hAnsi="Times New Roman" w:cs="Times New Roman"/>
              <w:i w:val="0"/>
              <w:iCs w:val="0"/>
              <w:szCs w:val="24"/>
              <w:lang w:val="en-US" w:eastAsia="zh-CN"/>
            </w:rPr>
            <w:t>9</w:t>
          </w:r>
          <w:r>
            <w:rPr>
              <w:rFonts w:hint="eastAsia" w:ascii="Times New Roman" w:hAnsi="Times New Roman" w:cs="Times New Roman"/>
              <w:i w:val="0"/>
              <w:iCs w:val="0"/>
              <w:szCs w:val="24"/>
              <w:lang w:val="en-US" w:eastAsia="zh-CN"/>
            </w:rPr>
            <w:t>0</w:t>
          </w:r>
        </w:p>
      </w:sdtContent>
    </w:sdt>
    <w:p>
      <w:pPr>
        <w:pStyle w:val="4"/>
        <w:rPr>
          <w:rFonts w:hint="eastAsia" w:ascii="Times New Roman" w:hAnsi="Times New Roman"/>
        </w:rPr>
      </w:pPr>
      <w:bookmarkStart w:id="3" w:name="_Toc16336"/>
      <w:r>
        <w:rPr>
          <w:rFonts w:hint="eastAsia" w:ascii="Times New Roman" w:hAnsi="Times New Roman"/>
        </w:rPr>
        <w:t>1项目概况</w:t>
      </w:r>
      <w:bookmarkEnd w:id="3"/>
    </w:p>
    <w:p>
      <w:pPr>
        <w:pStyle w:val="5"/>
        <w:rPr>
          <w:rFonts w:hint="eastAsia" w:eastAsia="宋体"/>
          <w:lang w:val="en-US"/>
        </w:rPr>
      </w:pPr>
      <w:bookmarkStart w:id="4" w:name="_Toc5278"/>
      <w:bookmarkStart w:id="5" w:name="_Toc27365"/>
      <w:r>
        <w:rPr>
          <w:rFonts w:hint="eastAsia" w:eastAsia="宋体"/>
          <w:lang w:val="en-US"/>
        </w:rPr>
        <w:t>1.1基本情况</w:t>
      </w:r>
      <w:bookmarkEnd w:id="4"/>
      <w:bookmarkEnd w:id="5"/>
    </w:p>
    <w:p>
      <w:pPr>
        <w:keepNext w:val="0"/>
        <w:keepLines w:val="0"/>
        <w:pageBreakBefore w:val="0"/>
        <w:kinsoku/>
        <w:wordWrap/>
        <w:overflowPunct/>
        <w:topLinePunct w:val="0"/>
        <w:autoSpaceDE/>
        <w:autoSpaceDN/>
        <w:bidi w:val="0"/>
        <w:adjustRightInd/>
        <w:snapToGrid/>
        <w:spacing w:beforeAutospacing="0" w:afterAutospacing="0" w:line="360" w:lineRule="auto"/>
        <w:ind w:firstLine="480"/>
        <w:jc w:val="both"/>
        <w:textAlignment w:val="auto"/>
        <w:rPr>
          <w:rFonts w:hint="eastAsia" w:ascii="Times New Roman" w:hAnsi="Times New Roman" w:cs="Times New Roman"/>
          <w:color w:val="auto"/>
          <w:sz w:val="24"/>
          <w:szCs w:val="24"/>
          <w:lang w:val="en-US" w:eastAsia="zh-CN" w:bidi="zh-CN"/>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浙江历山红工贸有限公司成立于2022年12月08日，是一家主要从事非标门生产和销售的企业。由于企业发展需要，租赁位于浙江省金华市永康市西城街道西周路18号的永康市步步升五金厂闲置厂房，总租赁建筑面积7421.64平方米，建设形成年产8000樘非标门生产线技改项目。本项目已于永康市经济和信息化局进行备案，并与2023年01月04日出具浙江省工业企业“零土地”技术改造项目备案通知书（项目代码</w:t>
      </w:r>
      <w:r>
        <w:rPr>
          <w:rFonts w:hint="eastAsia" w:ascii="Times New Roman" w:hAnsi="Times New Roman" w:cs="Times New Roman"/>
          <w:color w:val="auto"/>
          <w:sz w:val="24"/>
          <w:szCs w:val="24"/>
          <w:lang w:val="en-US" w:eastAsia="zh-CN" w:bidi="zh-CN"/>
        </w:rPr>
        <w:t>：2301-330784-07-02-545484）</w:t>
      </w:r>
      <w:r>
        <w:rPr>
          <w:rFonts w:hint="eastAsia" w:ascii="Times New Roman" w:hAnsi="Times New Roman" w:cs="Times New Roman"/>
          <w:color w:val="auto"/>
          <w:sz w:val="24"/>
          <w:szCs w:val="24"/>
          <w:highlight w:val="none"/>
          <w:lang w:val="en-US" w:eastAsia="zh-CN"/>
        </w:rPr>
        <w:t>。</w:t>
      </w:r>
    </w:p>
    <w:p>
      <w:pPr>
        <w:pStyle w:val="5"/>
        <w:rPr>
          <w:rFonts w:hint="eastAsia" w:eastAsia="宋体"/>
          <w:lang w:val="en-US" w:eastAsia="zh-CN"/>
        </w:rPr>
      </w:pPr>
      <w:bookmarkStart w:id="6" w:name="_Toc26781"/>
      <w:bookmarkStart w:id="7" w:name="_Toc3998"/>
      <w:r>
        <w:rPr>
          <w:rFonts w:hint="eastAsia" w:eastAsia="宋体"/>
          <w:lang w:val="en-US" w:eastAsia="zh-CN"/>
        </w:rPr>
        <w:t>1.2项目审批情况</w:t>
      </w:r>
      <w:bookmarkEnd w:id="6"/>
      <w:bookmarkEnd w:id="7"/>
    </w:p>
    <w:p>
      <w:pPr>
        <w:spacing w:line="360" w:lineRule="auto"/>
        <w:ind w:firstLine="480"/>
        <w:rPr>
          <w:rFonts w:hint="eastAsia" w:ascii="Times New Roman" w:hAnsi="Times New Roman" w:cs="Times New Roman"/>
          <w:color w:val="000000" w:themeColor="text1"/>
          <w:sz w:val="24"/>
          <w:szCs w:val="24"/>
          <w:highlight w:val="none"/>
          <w:lang w:val="en-US" w:bidi="zh-CN"/>
          <w14:textFill>
            <w14:solidFill>
              <w14:schemeClr w14:val="tx1"/>
            </w14:solidFill>
          </w14:textFill>
        </w:rPr>
      </w:pPr>
      <w:r>
        <w:rPr>
          <w:rFonts w:hint="eastAsia" w:ascii="Times New Roman" w:hAnsi="Times New Roman" w:cs="Times New Roman"/>
          <w:color w:val="auto"/>
          <w:sz w:val="24"/>
          <w:szCs w:val="24"/>
          <w:lang w:val="en-US" w:eastAsia="zh-CN"/>
        </w:rPr>
        <w:t>2023</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04</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highlight w:val="none"/>
          <w:lang w:val="en-US" w:eastAsia="zh-CN"/>
        </w:rPr>
        <w:t>企业委托浙江凯峰慈欣环保科技有限责任公司编制完成了《</w:t>
      </w:r>
      <w:r>
        <w:rPr>
          <w:rFonts w:hint="eastAsia" w:ascii="Times New Roman" w:hAnsi="Times New Roman" w:cs="Times New Roman"/>
          <w:color w:val="000000" w:themeColor="text1"/>
          <w:sz w:val="24"/>
          <w:szCs w:val="24"/>
          <w:lang w:eastAsia="zh-CN"/>
          <w14:textFill>
            <w14:solidFill>
              <w14:schemeClr w14:val="tx1"/>
            </w14:solidFill>
          </w14:textFill>
        </w:rPr>
        <w:t>浙江历山红工贸有限公司年产8000樘非标门生产线技改项目环境影响报告表</w:t>
      </w:r>
      <w:r>
        <w:rPr>
          <w:rFonts w:hint="eastAsia" w:ascii="Times New Roman" w:hAnsi="Times New Roman" w:cs="Times New Roman"/>
          <w:color w:val="auto"/>
          <w:sz w:val="24"/>
          <w:szCs w:val="24"/>
          <w:highlight w:val="none"/>
          <w:lang w:val="en-US" w:eastAsia="zh-CN"/>
        </w:rPr>
        <w:t>》，于2023年05月18日通过</w:t>
      </w:r>
      <w:r>
        <w:rPr>
          <w:rFonts w:hint="eastAsia" w:ascii="Times New Roman" w:hAnsi="Times New Roman" w:cs="Times New Roman"/>
          <w:color w:val="auto"/>
          <w:sz w:val="24"/>
          <w:szCs w:val="24"/>
          <w:highlight w:val="none"/>
          <w:lang w:eastAsia="zh-CN"/>
        </w:rPr>
        <w:t>金华市生态环境局</w:t>
      </w:r>
      <w:r>
        <w:rPr>
          <w:rFonts w:hint="eastAsia" w:ascii="Times New Roman" w:hAnsi="Times New Roman" w:cs="Times New Roman"/>
          <w:color w:val="auto"/>
          <w:sz w:val="24"/>
          <w:szCs w:val="24"/>
          <w:highlight w:val="none"/>
        </w:rPr>
        <w:t>审批</w:t>
      </w:r>
      <w:r>
        <w:rPr>
          <w:rFonts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eastAsia="zh-CN"/>
        </w:rPr>
        <w:t>金环建永【2023】39</w:t>
      </w:r>
      <w:r>
        <w:rPr>
          <w:rFonts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cs="Times New Roman"/>
          <w:color w:val="auto"/>
          <w:sz w:val="24"/>
          <w:szCs w:val="24"/>
          <w:highlight w:val="none"/>
          <w:lang w:val="en-US" w:eastAsia="zh-CN"/>
        </w:rPr>
        <w:t>并</w:t>
      </w:r>
      <w:r>
        <w:rPr>
          <w:rFonts w:hint="eastAsia" w:ascii="Times New Roman" w:hAnsi="Times New Roman" w:eastAsia="宋体" w:cs="Times New Roman"/>
          <w:color w:val="auto"/>
          <w:kern w:val="0"/>
          <w:sz w:val="24"/>
          <w:highlight w:val="none"/>
          <w:lang w:val="en-US" w:eastAsia="zh-CN"/>
        </w:rPr>
        <w:t>于</w:t>
      </w:r>
      <w:r>
        <w:rPr>
          <w:rFonts w:hint="default" w:ascii="Times New Roman" w:hAnsi="Times New Roman"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03</w:t>
      </w:r>
      <w:r>
        <w:rPr>
          <w:rFonts w:hint="default" w:ascii="Times New Roman" w:hAnsi="Times New Roman"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07</w:t>
      </w:r>
      <w:r>
        <w:rPr>
          <w:rFonts w:hint="default" w:ascii="Times New Roman" w:hAnsi="Times New Roman" w:cs="Times New Roman"/>
          <w:color w:val="auto"/>
          <w:sz w:val="24"/>
          <w:szCs w:val="24"/>
          <w:highlight w:val="none"/>
          <w:lang w:val="en-US" w:eastAsia="zh-CN"/>
        </w:rPr>
        <w:t>日</w:t>
      </w:r>
      <w:r>
        <w:rPr>
          <w:rFonts w:hint="eastAsia" w:ascii="Times New Roman" w:hAnsi="Times New Roman" w:cs="Times New Roman"/>
          <w:color w:val="auto"/>
          <w:sz w:val="24"/>
          <w:szCs w:val="24"/>
          <w:highlight w:val="none"/>
          <w:lang w:val="en-US" w:eastAsia="zh-CN"/>
        </w:rPr>
        <w:t>完成排污许可登记，登记编号为：</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91330784MAC4NJBF26001W。</w:t>
      </w:r>
    </w:p>
    <w:p>
      <w:pPr>
        <w:pStyle w:val="5"/>
        <w:rPr>
          <w:rFonts w:hint="default" w:eastAsia="宋体"/>
          <w:lang w:val="en-US" w:eastAsia="zh-CN"/>
        </w:rPr>
      </w:pPr>
      <w:bookmarkStart w:id="8" w:name="_Toc10794"/>
      <w:bookmarkStart w:id="9" w:name="_Toc22713"/>
      <w:r>
        <w:rPr>
          <w:rFonts w:hint="eastAsia" w:eastAsia="宋体"/>
          <w:lang w:val="en-US" w:eastAsia="zh-CN"/>
        </w:rPr>
        <w:t>1.3项目建设情况</w:t>
      </w:r>
      <w:bookmarkEnd w:id="8"/>
      <w:bookmarkEnd w:id="9"/>
    </w:p>
    <w:p>
      <w:pPr>
        <w:spacing w:line="360" w:lineRule="auto"/>
        <w:ind w:firstLine="480"/>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浙江历山红工贸有限公司位于浙江省金华市永康市西城街道西周路18号，是一家主要从事非标门生产和销售的企业。企业总投资504万元</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，其中环保投资58万元</w:t>
      </w:r>
      <w:r>
        <w:rPr>
          <w:rFonts w:hint="eastAsia" w:ascii="Times New Roman" w:hAnsi="Times New Roman" w:cs="Times New Roman"/>
          <w:color w:val="000000" w:themeColor="text1"/>
          <w:sz w:val="24"/>
          <w:szCs w:val="24"/>
          <w:lang w:val="en-US" w:eastAsia="zh-CN" w:bidi="zh-CN"/>
          <w14:textFill>
            <w14:solidFill>
              <w14:schemeClr w14:val="tx1"/>
            </w14:solidFill>
          </w14:textFill>
        </w:rPr>
        <w:t>，采用机加工、喷漆、烘干、喷塑、固化等生产工艺，购置冲床、喷漆流水线、喷塑流水线等生产设备</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，形成年产8000樘非标门的生产能力。项目于2023年06月开工建设，至2023年10月30日竣工，并于2023年11月1日~11月10日进行设备调试，2023年11月15日投入试运行。</w:t>
      </w:r>
    </w:p>
    <w:p>
      <w:pPr>
        <w:spacing w:line="360" w:lineRule="auto"/>
        <w:ind w:firstLine="480"/>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本项目劳动定员30人，生产班次采用单班制，日作业时间为8h（白班制，夜间不生产），年生产时间300天，厂区内不设员工食堂和宿舍。</w:t>
      </w:r>
    </w:p>
    <w:p>
      <w:pPr>
        <w:pStyle w:val="5"/>
        <w:rPr>
          <w:rFonts w:hint="default" w:eastAsia="宋体"/>
          <w:lang w:val="en-US" w:eastAsia="zh-CN"/>
        </w:rPr>
      </w:pPr>
      <w:bookmarkStart w:id="10" w:name="_Toc7172"/>
      <w:bookmarkStart w:id="11" w:name="_Toc13716"/>
      <w:r>
        <w:rPr>
          <w:rFonts w:hint="eastAsia" w:eastAsia="宋体"/>
          <w:lang w:val="en-US" w:eastAsia="zh-CN"/>
        </w:rPr>
        <w:t>1.4项目验收工作情况</w:t>
      </w:r>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lang w:bidi="zh-CN"/>
          <w14:textFill>
            <w14:solidFill>
              <w14:schemeClr w14:val="tx1"/>
            </w14:solidFill>
          </w14:textFill>
        </w:rPr>
        <w:t>受</w:t>
      </w:r>
      <w:r>
        <w:rPr>
          <w:rFonts w:hint="eastAsia" w:ascii="Times New Roman" w:hAnsi="Times New Roman" w:cs="Times New Roman"/>
          <w:color w:val="000000" w:themeColor="text1"/>
          <w:sz w:val="24"/>
          <w:szCs w:val="24"/>
          <w:highlight w:val="none"/>
          <w:lang w:eastAsia="zh-CN"/>
          <w14:textFill>
            <w14:solidFill>
              <w14:schemeClr w14:val="tx1"/>
            </w14:solidFill>
          </w14:textFill>
        </w:rPr>
        <w:t>浙江历山红工贸有限公司</w:t>
      </w:r>
      <w:r>
        <w:rPr>
          <w:rFonts w:ascii="Times New Roman" w:hAnsi="Times New Roman" w:cs="Times New Roman"/>
          <w:color w:val="000000" w:themeColor="text1"/>
          <w:sz w:val="24"/>
          <w:szCs w:val="24"/>
          <w:highlight w:val="none"/>
          <w:lang w:bidi="zh-CN"/>
          <w14:textFill>
            <w14:solidFill>
              <w14:schemeClr w14:val="tx1"/>
            </w14:solidFill>
          </w14:textFill>
        </w:rPr>
        <w:t>的委托，</w:t>
      </w:r>
      <w:r>
        <w:rPr>
          <w:rFonts w:hint="eastAsia" w:ascii="Times New Roman" w:hAnsi="Times New Roman" w:cs="Times New Roman"/>
          <w:color w:val="000000" w:themeColor="text1"/>
          <w:sz w:val="24"/>
          <w:szCs w:val="24"/>
          <w:highlight w:val="none"/>
          <w:lang w:bidi="zh-CN"/>
          <w14:textFill>
            <w14:solidFill>
              <w14:schemeClr w14:val="tx1"/>
            </w14:solidFill>
          </w14:textFill>
        </w:rPr>
        <w:t>浙江高鑫安全检测科技有限公司</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根据建设项目竣工环境保护验收技术规范的要求，在</w:t>
      </w:r>
      <w:r>
        <w:rPr>
          <w:rFonts w:ascii="Times New Roman" w:hAnsi="Times New Roman" w:cs="Times New Roman"/>
          <w:color w:val="000000" w:themeColor="text1"/>
          <w:sz w:val="24"/>
          <w:szCs w:val="24"/>
          <w:highlight w:val="none"/>
          <w:lang w:bidi="zh-CN"/>
          <w14:textFill>
            <w14:solidFill>
              <w14:schemeClr w14:val="tx1"/>
            </w14:solidFill>
          </w14:textFill>
        </w:rPr>
        <w:t>现场勘查和资料收集</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的基础上</w:t>
      </w:r>
      <w:r>
        <w:rPr>
          <w:rFonts w:hint="eastAsia" w:ascii="Times New Roman" w:hAnsi="Times New Roman" w:cs="Times New Roman"/>
          <w:color w:val="000000" w:themeColor="text1"/>
          <w:sz w:val="24"/>
          <w:szCs w:val="24"/>
          <w:highlight w:val="none"/>
          <w:lang w:bidi="zh-CN"/>
          <w14:textFill>
            <w14:solidFill>
              <w14:schemeClr w14:val="tx1"/>
            </w14:solidFill>
          </w14:textFill>
        </w:rPr>
        <w:t>，</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于2023年12月15日</w:t>
      </w:r>
      <w:r>
        <w:rPr>
          <w:rFonts w:hint="eastAsia" w:ascii="Times New Roman" w:hAnsi="Times New Roman" w:cs="Times New Roman"/>
          <w:color w:val="000000" w:themeColor="text1"/>
          <w:sz w:val="24"/>
          <w:szCs w:val="24"/>
          <w:highlight w:val="none"/>
          <w:lang w:bidi="zh-CN"/>
          <w14:textFill>
            <w14:solidFill>
              <w14:schemeClr w14:val="tx1"/>
            </w14:solidFill>
          </w14:textFill>
        </w:rPr>
        <w:t>编制了验收监测方案，并</w:t>
      </w:r>
      <w:r>
        <w:rPr>
          <w:rFonts w:ascii="Times New Roman" w:hAnsi="Times New Roman" w:cs="Times New Roman"/>
          <w:color w:val="000000" w:themeColor="text1"/>
          <w:sz w:val="24"/>
          <w:szCs w:val="24"/>
          <w:highlight w:val="none"/>
          <w:lang w:bidi="zh-CN"/>
          <w14:textFill>
            <w14:solidFill>
              <w14:schemeClr w14:val="tx1"/>
            </w14:solidFill>
          </w14:textFill>
        </w:rPr>
        <w:t>于</w:t>
      </w:r>
      <w:r>
        <w:rPr>
          <w:rFonts w:hint="eastAsia" w:ascii="Times New Roman" w:hAnsi="Times New Roman" w:cs="Times New Roman"/>
          <w:color w:val="000000" w:themeColor="text1"/>
          <w:sz w:val="24"/>
          <w:szCs w:val="24"/>
          <w:highlight w:val="none"/>
          <w:lang w:bidi="zh-CN"/>
          <w14:textFill>
            <w14:solidFill>
              <w14:schemeClr w14:val="tx1"/>
            </w14:solidFill>
          </w14:textFill>
        </w:rPr>
        <w:t>202</w:t>
      </w:r>
      <w:r>
        <w:rPr>
          <w:rFonts w:ascii="Times New Roman" w:hAnsi="Times New Roman" w:cs="Times New Roman"/>
          <w:color w:val="000000" w:themeColor="text1"/>
          <w:sz w:val="24"/>
          <w:szCs w:val="24"/>
          <w:highlight w:val="none"/>
          <w:lang w:bidi="zh-CN"/>
          <w14:textFill>
            <w14:solidFill>
              <w14:schemeClr w14:val="tx1"/>
            </w14:solidFill>
          </w14:textFill>
        </w:rPr>
        <w:t>3</w:t>
      </w:r>
      <w:r>
        <w:rPr>
          <w:rFonts w:hint="eastAsia" w:ascii="Times New Roman" w:hAnsi="Times New Roman" w:cs="Times New Roman"/>
          <w:color w:val="000000" w:themeColor="text1"/>
          <w:sz w:val="24"/>
          <w:szCs w:val="24"/>
          <w:highlight w:val="none"/>
          <w:lang w:bidi="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12</w:t>
      </w:r>
      <w:r>
        <w:rPr>
          <w:rFonts w:hint="eastAsia" w:ascii="Times New Roman" w:hAnsi="Times New Roman" w:cs="Times New Roman"/>
          <w:color w:val="000000" w:themeColor="text1"/>
          <w:sz w:val="24"/>
          <w:szCs w:val="24"/>
          <w:highlight w:val="none"/>
          <w:lang w:bidi="zh-CN"/>
          <w14:textFill>
            <w14:solidFill>
              <w14:schemeClr w14:val="tx1"/>
            </w14:solidFill>
          </w14:textFill>
        </w:rPr>
        <w:t>月</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21</w:t>
      </w:r>
      <w:r>
        <w:rPr>
          <w:rFonts w:hint="eastAsia" w:ascii="Times New Roman" w:hAnsi="Times New Roman" w:cs="Times New Roman"/>
          <w:color w:val="000000" w:themeColor="text1"/>
          <w:sz w:val="24"/>
          <w:szCs w:val="24"/>
          <w:highlight w:val="none"/>
          <w:lang w:bidi="zh-CN"/>
          <w14:textFill>
            <w14:solidFill>
              <w14:schemeClr w14:val="tx1"/>
            </w14:solidFill>
          </w14:textFill>
        </w:rPr>
        <w:t>日、</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12</w:t>
      </w:r>
      <w:r>
        <w:rPr>
          <w:rFonts w:hint="eastAsia" w:ascii="Times New Roman" w:hAnsi="Times New Roman" w:cs="Times New Roman"/>
          <w:color w:val="000000" w:themeColor="text1"/>
          <w:sz w:val="24"/>
          <w:szCs w:val="24"/>
          <w:highlight w:val="none"/>
          <w:lang w:bidi="zh-CN"/>
          <w14:textFill>
            <w14:solidFill>
              <w14:schemeClr w14:val="tx1"/>
            </w14:solidFill>
          </w14:textFill>
        </w:rPr>
        <w:t>月</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22</w:t>
      </w:r>
      <w:r>
        <w:rPr>
          <w:rFonts w:hint="eastAsia" w:ascii="Times New Roman" w:hAnsi="Times New Roman" w:cs="Times New Roman"/>
          <w:color w:val="000000" w:themeColor="text1"/>
          <w:sz w:val="24"/>
          <w:szCs w:val="24"/>
          <w:highlight w:val="none"/>
          <w:lang w:bidi="zh-CN"/>
          <w14:textFill>
            <w14:solidFill>
              <w14:schemeClr w14:val="tx1"/>
            </w14:solidFill>
          </w14:textFill>
        </w:rPr>
        <w:t>日</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对《浙江历山红工贸有限公司年产8000樘非标门生产线技改项目》的废水处理设施、废气处理设施、厂界无组织废气和厂界噪声</w:t>
      </w:r>
      <w:r>
        <w:rPr>
          <w:rFonts w:ascii="Times New Roman" w:hAnsi="Times New Roman" w:cs="Times New Roman"/>
          <w:color w:val="000000" w:themeColor="text1"/>
          <w:sz w:val="24"/>
          <w:szCs w:val="24"/>
          <w:highlight w:val="none"/>
          <w:lang w:bidi="zh-CN"/>
          <w14:textFill>
            <w14:solidFill>
              <w14:schemeClr w14:val="tx1"/>
            </w14:solidFill>
          </w14:textFill>
        </w:rPr>
        <w:t>进行了现场</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验收监测</w:t>
      </w:r>
      <w:r>
        <w:rPr>
          <w:rFonts w:ascii="Times New Roman" w:hAnsi="Times New Roman" w:cs="Times New Roman"/>
          <w:color w:val="000000" w:themeColor="text1"/>
          <w:sz w:val="24"/>
          <w:szCs w:val="24"/>
          <w:highlight w:val="none"/>
          <w:lang w:bidi="zh-CN"/>
          <w14:textFill>
            <w14:solidFill>
              <w14:schemeClr w14:val="tx1"/>
            </w14:solidFill>
          </w14:textFill>
        </w:rPr>
        <w:t>和环保检查，现根据现场监测情况、样品分析结果及环保检查结果，编制本验收监测报告</w:t>
      </w:r>
      <w:r>
        <w:rPr>
          <w:rFonts w:hint="eastAsia" w:ascii="Times New Roman" w:hAnsi="Times New Roman"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highlight w:val="none"/>
          <w:lang w:bidi="zh-CN"/>
          <w14:textFill>
            <w14:solidFill>
              <w14:schemeClr w14:val="tx1"/>
            </w14:solidFill>
          </w14:textFill>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本次验收为对“</w:t>
      </w:r>
      <w:r>
        <w:rPr>
          <w:rFonts w:hint="eastAsia" w:ascii="Times New Roman" w:hAnsi="Times New Roman" w:cs="Times New Roman"/>
          <w:color w:val="000000" w:themeColor="text1"/>
          <w:sz w:val="24"/>
          <w:szCs w:val="24"/>
          <w:highlight w:val="none"/>
          <w:lang w:eastAsia="zh-CN" w:bidi="zh-CN"/>
          <w14:textFill>
            <w14:solidFill>
              <w14:schemeClr w14:val="tx1"/>
            </w14:solidFill>
          </w14:textFill>
        </w:rPr>
        <w:t>浙江历山红工贸有限公司年产8000樘非标门生产线技改项目</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”的整体验收。</w:t>
      </w:r>
    </w:p>
    <w:p>
      <w:pPr>
        <w:pStyle w:val="4"/>
        <w:rPr>
          <w:rFonts w:hint="eastAsia" w:ascii="Times New Roman" w:hAnsi="Times New Roman"/>
        </w:rPr>
      </w:pPr>
      <w:bookmarkStart w:id="12" w:name="_Toc26876"/>
      <w:r>
        <w:rPr>
          <w:rFonts w:hint="eastAsia" w:ascii="Times New Roman" w:hAnsi="Times New Roman"/>
        </w:rPr>
        <w:t>2验收依据</w:t>
      </w:r>
      <w:bookmarkEnd w:id="12"/>
    </w:p>
    <w:p>
      <w:pPr>
        <w:pStyle w:val="5"/>
        <w:rPr>
          <w:rFonts w:ascii="Times New Roman" w:hAnsi="Times New Roman" w:eastAsia="宋体"/>
        </w:rPr>
      </w:pPr>
      <w:bookmarkStart w:id="13" w:name="_Toc9651"/>
      <w:bookmarkStart w:id="14" w:name="_Toc20591"/>
      <w:bookmarkStart w:id="15" w:name="_Toc17244"/>
      <w:bookmarkStart w:id="16" w:name="_Toc9592"/>
      <w:r>
        <w:rPr>
          <w:rFonts w:ascii="Times New Roman" w:hAnsi="Times New Roman" w:eastAsia="宋体"/>
        </w:rPr>
        <w:t>2.1建设项目环境保护相关法律、法规</w:t>
      </w:r>
      <w:bookmarkEnd w:id="13"/>
      <w:bookmarkEnd w:id="14"/>
      <w:bookmarkEnd w:id="15"/>
      <w:r>
        <w:rPr>
          <w:rFonts w:ascii="Times New Roman" w:hAnsi="Times New Roman" w:eastAsia="宋体"/>
        </w:rPr>
        <w:t>和规章制度</w:t>
      </w:r>
      <w:bookmarkEnd w:id="16"/>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bookmarkStart w:id="17" w:name="_Toc73"/>
      <w:bookmarkStart w:id="18" w:name="_Toc18677"/>
      <w:bookmarkStart w:id="19" w:name="_Toc30754"/>
      <w:r>
        <w:rPr>
          <w:rFonts w:ascii="Times New Roman" w:hAnsi="Times New Roman" w:eastAsia="宋体" w:cs="Times New Roman"/>
          <w:kern w:val="0"/>
          <w:sz w:val="24"/>
          <w:highlight w:val="none"/>
        </w:rPr>
        <w:t>《中华人民共和国环境保护法》</w:t>
      </w:r>
      <w:r>
        <w:rPr>
          <w:rFonts w:hint="eastAsia" w:ascii="Times New Roman" w:hAnsi="Times New Roman" w:eastAsia="宋体" w:cs="Times New Roman"/>
          <w:kern w:val="0"/>
          <w:sz w:val="24"/>
          <w:highlight w:val="none"/>
        </w:rPr>
        <w:t>（2015年1月1日起施行）</w:t>
      </w:r>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《国务院关于修订&lt;建设项目环境保护管理条例&gt;的决定》（国务院令第682号，2017年10月1日起实施）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（3）《关于发布&lt;建设项目竣工环境保护验收暂行办法&gt;的决定》（环境保护部 国环规环评[2017]4号，2017年11月20日起实施）</w:t>
      </w:r>
    </w:p>
    <w:p>
      <w:pPr>
        <w:widowControl/>
        <w:numPr>
          <w:ilvl w:val="0"/>
          <w:numId w:val="0"/>
        </w:numPr>
        <w:adjustRightInd w:val="0"/>
        <w:snapToGrid w:val="0"/>
        <w:spacing w:line="360" w:lineRule="auto"/>
        <w:ind w:firstLine="480" w:firstLineChars="200"/>
        <w:rPr>
          <w:rFonts w:hint="eastAsia" w:ascii="Times New Roman" w:hAnsi="Times New Roman" w:eastAsia="宋体" w:cs="Times New Roman"/>
          <w:kern w:val="0"/>
          <w:sz w:val="24"/>
          <w:highlight w:val="none"/>
          <w:lang w:eastAsia="zh-CN"/>
        </w:rPr>
      </w:pPr>
      <w:r>
        <w:rPr>
          <w:rFonts w:hint="eastAsia" w:ascii="Times New Roman" w:hAnsi="Times New Roman" w:eastAsia="宋体" w:cs="Times New Roman"/>
          <w:kern w:val="0"/>
          <w:sz w:val="24"/>
          <w:highlight w:val="none"/>
        </w:rPr>
        <w:t>（4）《浙江省人民政府关于修改&lt;浙江省建设项目环境保护管理办法&gt;的决定》（浙江省人民政府令第388号[2021年修正]，2021年2月10日起实施)</w:t>
      </w:r>
    </w:p>
    <w:p>
      <w:pPr>
        <w:widowControl/>
        <w:numPr>
          <w:ilvl w:val="0"/>
          <w:numId w:val="0"/>
        </w:numPr>
        <w:adjustRightInd w:val="0"/>
        <w:snapToGrid w:val="0"/>
        <w:spacing w:line="360" w:lineRule="auto"/>
        <w:ind w:firstLine="480" w:firstLineChars="200"/>
        <w:rPr>
          <w:rFonts w:hint="eastAsia" w:ascii="Times New Roman" w:hAnsi="Times New Roman" w:eastAsia="宋体" w:cs="Times New Roman"/>
          <w:kern w:val="0"/>
          <w:sz w:val="24"/>
          <w:highlight w:val="none"/>
          <w:lang w:val="en-US" w:eastAsia="zh-CN"/>
        </w:rPr>
      </w:pP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highlight w:val="none"/>
          <w:lang w:val="en-US" w:eastAsia="zh-CN"/>
        </w:rPr>
        <w:t>5</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highlight w:val="none"/>
          <w:lang w:val="en-US" w:eastAsia="zh-CN"/>
        </w:rPr>
        <w:t>关于印发《</w:t>
      </w:r>
      <w:r>
        <w:rPr>
          <w:rFonts w:hint="default" w:ascii="Times New Roman" w:hAnsi="Times New Roman" w:eastAsia="宋体" w:cs="Times New Roman"/>
          <w:kern w:val="0"/>
          <w:sz w:val="24"/>
          <w:highlight w:val="none"/>
          <w:lang w:val="en-US" w:eastAsia="zh-CN"/>
        </w:rPr>
        <w:t>污染影响类建设项目重大变动清单（试行）》的通知（环办环评函（2020）688号</w:t>
      </w:r>
      <w:r>
        <w:rPr>
          <w:rFonts w:hint="eastAsia" w:ascii="Times New Roman" w:hAnsi="Times New Roman" w:eastAsia="宋体" w:cs="Times New Roman"/>
          <w:kern w:val="0"/>
          <w:sz w:val="24"/>
          <w:highlight w:val="none"/>
          <w:lang w:val="en-US" w:eastAsia="zh-CN"/>
        </w:rPr>
        <w:t>，</w:t>
      </w:r>
      <w:r>
        <w:rPr>
          <w:rFonts w:hint="eastAsia" w:ascii="Times New Roman" w:hAnsi="Times New Roman" w:eastAsia="宋体" w:cs="Times New Roman"/>
          <w:kern w:val="0"/>
          <w:sz w:val="24"/>
          <w:highlight w:val="none"/>
        </w:rPr>
        <w:t>20</w:t>
      </w:r>
      <w:r>
        <w:rPr>
          <w:rFonts w:hint="eastAsia" w:ascii="Times New Roman" w:hAnsi="Times New Roman" w:eastAsia="宋体" w:cs="Times New Roman"/>
          <w:kern w:val="0"/>
          <w:sz w:val="24"/>
          <w:highlight w:val="none"/>
          <w:lang w:val="en-US" w:eastAsia="zh-CN"/>
        </w:rPr>
        <w:t>20</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12</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val="en-US" w:eastAsia="zh-CN"/>
        </w:rPr>
        <w:t>13</w:t>
      </w:r>
      <w:r>
        <w:rPr>
          <w:rFonts w:hint="eastAsia" w:ascii="Times New Roman" w:hAnsi="Times New Roman" w:eastAsia="宋体" w:cs="Times New Roman"/>
          <w:kern w:val="0"/>
          <w:sz w:val="24"/>
          <w:highlight w:val="none"/>
        </w:rPr>
        <w:t>日起实施</w:t>
      </w:r>
      <w:r>
        <w:rPr>
          <w:rFonts w:hint="default" w:ascii="Times New Roman" w:hAnsi="Times New Roman" w:eastAsia="宋体" w:cs="Times New Roman"/>
          <w:kern w:val="0"/>
          <w:sz w:val="24"/>
          <w:highlight w:val="none"/>
          <w:lang w:val="en-US" w:eastAsia="zh-CN"/>
        </w:rPr>
        <w:t>）</w:t>
      </w:r>
    </w:p>
    <w:p>
      <w:pPr>
        <w:pStyle w:val="5"/>
        <w:rPr>
          <w:rFonts w:ascii="Times New Roman" w:hAnsi="Times New Roman" w:eastAsia="宋体"/>
        </w:rPr>
      </w:pPr>
      <w:bookmarkStart w:id="20" w:name="_Toc3591"/>
      <w:r>
        <w:rPr>
          <w:rFonts w:ascii="Times New Roman" w:hAnsi="Times New Roman" w:eastAsia="宋体"/>
        </w:rPr>
        <w:t>2.2建设项目竣工环境保护验收技术规范</w:t>
      </w:r>
      <w:bookmarkEnd w:id="17"/>
      <w:bookmarkEnd w:id="18"/>
      <w:bookmarkEnd w:id="19"/>
      <w:bookmarkEnd w:id="20"/>
    </w:p>
    <w:p>
      <w:pPr>
        <w:widowControl/>
        <w:numPr>
          <w:ilvl w:val="0"/>
          <w:numId w:val="0"/>
        </w:numPr>
        <w:adjustRightInd w:val="0"/>
        <w:snapToGrid w:val="0"/>
        <w:spacing w:line="360" w:lineRule="auto"/>
        <w:ind w:firstLine="480" w:firstLineChars="200"/>
        <w:rPr>
          <w:rFonts w:hint="eastAsia" w:ascii="Times New Roman" w:hAnsi="Times New Roman" w:eastAsia="宋体" w:cs="Times New Roman"/>
          <w:kern w:val="0"/>
          <w:sz w:val="24"/>
          <w:highlight w:val="none"/>
          <w:lang w:eastAsia="zh-CN"/>
        </w:rPr>
      </w:pP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highlight w:val="none"/>
          <w:lang w:val="en-US" w:eastAsia="zh-CN"/>
        </w:rPr>
        <w:t>1</w:t>
      </w:r>
      <w:r>
        <w:rPr>
          <w:rFonts w:hint="eastAsia" w:ascii="Times New Roman" w:hAnsi="Times New Roman" w:eastAsia="宋体" w:cs="Times New Roman"/>
          <w:kern w:val="0"/>
          <w:sz w:val="24"/>
          <w:highlight w:val="none"/>
          <w:lang w:eastAsia="zh-CN"/>
        </w:rPr>
        <w:t>）《建设项目竣工环境保护验收技术指南 污染影响类》（生态环境部公告2018年 第9号）</w:t>
      </w:r>
    </w:p>
    <w:p>
      <w:pPr>
        <w:widowControl/>
        <w:numPr>
          <w:ilvl w:val="0"/>
          <w:numId w:val="0"/>
        </w:numPr>
        <w:adjustRightInd w:val="0"/>
        <w:snapToGrid w:val="0"/>
        <w:spacing w:line="360" w:lineRule="auto"/>
        <w:ind w:firstLine="480" w:firstLineChars="200"/>
        <w:rPr>
          <w:rFonts w:hint="eastAsia" w:ascii="Times New Roman" w:hAnsi="Times New Roman" w:eastAsia="宋体" w:cs="Times New Roman"/>
          <w:kern w:val="0"/>
          <w:sz w:val="24"/>
          <w:highlight w:val="none"/>
          <w:lang w:eastAsia="zh-CN"/>
        </w:rPr>
      </w:pP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highlight w:val="none"/>
          <w:lang w:val="en-US" w:eastAsia="zh-CN"/>
        </w:rPr>
        <w:t>2</w:t>
      </w:r>
      <w:r>
        <w:rPr>
          <w:rFonts w:hint="eastAsia" w:ascii="Times New Roman" w:hAnsi="Times New Roman" w:eastAsia="宋体" w:cs="Times New Roman"/>
          <w:kern w:val="0"/>
          <w:sz w:val="24"/>
          <w:highlight w:val="none"/>
          <w:lang w:eastAsia="zh-CN"/>
        </w:rPr>
        <w:t>）《关于印发&lt;浙江省环境保护厅建设项目竣工环境保护验收技术管理规定&gt;的通知》（浙环发[2009]89号）</w:t>
      </w:r>
    </w:p>
    <w:p>
      <w:pPr>
        <w:pStyle w:val="5"/>
        <w:rPr>
          <w:rFonts w:ascii="Times New Roman" w:hAnsi="Times New Roman" w:eastAsia="宋体"/>
        </w:rPr>
      </w:pPr>
      <w:bookmarkStart w:id="21" w:name="_Toc2924"/>
      <w:bookmarkStart w:id="22" w:name="_Toc23835"/>
      <w:bookmarkStart w:id="23" w:name="_Toc3185"/>
      <w:bookmarkStart w:id="24" w:name="_Toc8641"/>
      <w:r>
        <w:rPr>
          <w:rFonts w:ascii="Times New Roman" w:hAnsi="Times New Roman" w:eastAsia="宋体"/>
        </w:rPr>
        <w:t>2.3建设</w:t>
      </w:r>
      <w:r>
        <w:rPr>
          <w:rFonts w:hint="eastAsia" w:ascii="Times New Roman" w:hAnsi="Times New Roman" w:eastAsia="宋体"/>
          <w:lang w:eastAsia="zh-CN"/>
        </w:rPr>
        <w:t>项目</w:t>
      </w:r>
      <w:r>
        <w:rPr>
          <w:rFonts w:hint="eastAsia" w:eastAsia="宋体"/>
          <w:lang w:eastAsia="zh-CN"/>
        </w:rPr>
        <w:t>环境影响登记表</w:t>
      </w:r>
      <w:r>
        <w:rPr>
          <w:rFonts w:ascii="Times New Roman" w:hAnsi="Times New Roman" w:eastAsia="宋体"/>
        </w:rPr>
        <w:t>及其审批部门</w:t>
      </w:r>
      <w:bookmarkEnd w:id="21"/>
      <w:bookmarkEnd w:id="22"/>
      <w:bookmarkEnd w:id="23"/>
      <w:r>
        <w:rPr>
          <w:rFonts w:ascii="Times New Roman" w:hAnsi="Times New Roman" w:eastAsia="宋体"/>
        </w:rPr>
        <w:t>审批决定</w:t>
      </w:r>
      <w:bookmarkEnd w:id="24"/>
    </w:p>
    <w:p>
      <w:pPr>
        <w:widowControl/>
        <w:adjustRightInd w:val="0"/>
        <w:snapToGrid w:val="0"/>
        <w:spacing w:line="360" w:lineRule="auto"/>
        <w:ind w:firstLine="480" w:firstLineChars="200"/>
        <w:rPr>
          <w:rFonts w:hint="eastAsia" w:ascii="Times New Roman" w:hAnsi="Times New Roman" w:eastAsia="宋体" w:cs="Times New Roman"/>
          <w:kern w:val="0"/>
          <w:sz w:val="24"/>
        </w:rPr>
      </w:pPr>
      <w:bookmarkStart w:id="25" w:name="_Hlk528872215"/>
      <w:r>
        <w:rPr>
          <w:rFonts w:hint="eastAsia" w:ascii="Times New Roman" w:hAnsi="Times New Roman" w:eastAsia="宋体" w:cs="Times New Roman"/>
          <w:kern w:val="0"/>
          <w:sz w:val="24"/>
        </w:rPr>
        <w:t>（1）</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浙江历山红工贸有限公司年产8000樘非标门生产线技改项目环境影响报告表</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sz w:val="24"/>
          <w:szCs w:val="24"/>
          <w:lang w:eastAsia="zh-CN"/>
        </w:rPr>
        <w:t>浙江凯峰慈欣环保科技有限责任公司</w:t>
      </w:r>
      <w:r>
        <w:rPr>
          <w:rFonts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2023</w:t>
      </w:r>
      <w:r>
        <w:rPr>
          <w:rFonts w:ascii="Times New Roman" w:hAnsi="Times New Roman" w:eastAsia="宋体" w:cs="Times New Roman"/>
          <w:kern w:val="0"/>
          <w:sz w:val="24"/>
        </w:rPr>
        <w:t>年</w:t>
      </w:r>
      <w:r>
        <w:rPr>
          <w:rFonts w:hint="eastAsia" w:ascii="Times New Roman" w:hAnsi="Times New Roman" w:eastAsia="宋体" w:cs="Times New Roman"/>
          <w:kern w:val="0"/>
          <w:sz w:val="24"/>
          <w:lang w:val="en-US" w:eastAsia="zh-CN"/>
        </w:rPr>
        <w:t>04</w:t>
      </w:r>
      <w:r>
        <w:rPr>
          <w:rFonts w:ascii="Times New Roman" w:hAnsi="Times New Roman" w:eastAsia="宋体" w:cs="Times New Roman"/>
          <w:kern w:val="0"/>
          <w:sz w:val="24"/>
        </w:rPr>
        <w:t>月</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（2）</w:t>
      </w:r>
      <w:r>
        <w:rPr>
          <w:rFonts w:ascii="Times New Roman" w:hAnsi="Times New Roman" w:eastAsia="宋体" w:cs="Times New Roman"/>
          <w:kern w:val="0"/>
          <w:sz w:val="24"/>
        </w:rPr>
        <w:t>《</w:t>
      </w:r>
      <w:r>
        <w:rPr>
          <w:rFonts w:hint="eastAsia" w:ascii="Times New Roman" w:hAnsi="Times New Roman" w:cs="Times New Roman"/>
          <w:sz w:val="24"/>
          <w:szCs w:val="24"/>
          <w:lang w:val="en-US" w:eastAsia="zh-CN" w:bidi="en-US"/>
        </w:rPr>
        <w:t>关于</w:t>
      </w:r>
      <w:r>
        <w:rPr>
          <w:rFonts w:hint="eastAsia" w:ascii="Times New Roman" w:hAnsi="Times New Roman" w:eastAsia="宋体" w:cs="Times New Roman"/>
          <w:kern w:val="0"/>
          <w:sz w:val="24"/>
          <w:lang w:eastAsia="zh-CN"/>
        </w:rPr>
        <w:t>浙江历山红工贸有限公司年产8000樘非标门生产线技改项目环境影响报告表的审查意见</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金环建永【2023】39</w:t>
      </w:r>
      <w:r>
        <w:rPr>
          <w:rFonts w:ascii="Times New Roman" w:hAnsi="Times New Roman" w:eastAsia="宋体" w:cs="Times New Roman"/>
          <w:kern w:val="0"/>
          <w:sz w:val="24"/>
        </w:rPr>
        <w:t>）</w:t>
      </w:r>
    </w:p>
    <w:p>
      <w:pPr>
        <w:pStyle w:val="13"/>
        <w:rPr>
          <w:rFonts w:hint="eastAsia"/>
        </w:rPr>
      </w:pPr>
    </w:p>
    <w:bookmarkEnd w:id="25"/>
    <w:p>
      <w:pPr>
        <w:pStyle w:val="5"/>
        <w:rPr>
          <w:rFonts w:ascii="Times New Roman" w:hAnsi="Times New Roman" w:eastAsia="宋体"/>
        </w:rPr>
      </w:pPr>
      <w:bookmarkStart w:id="26" w:name="_Toc18448"/>
      <w:r>
        <w:rPr>
          <w:rFonts w:ascii="Times New Roman" w:hAnsi="Times New Roman" w:eastAsia="宋体"/>
        </w:rPr>
        <w:t>2.4其他相关文件</w:t>
      </w:r>
      <w:bookmarkEnd w:id="26"/>
    </w:p>
    <w:p>
      <w:pPr>
        <w:spacing w:line="360" w:lineRule="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（1）《环境“三同时”技术服务合同》</w:t>
      </w:r>
    </w:p>
    <w:p>
      <w:pPr>
        <w:spacing w:line="360" w:lineRule="auto"/>
        <w:rPr>
          <w:rFonts w:hint="default" w:ascii="Times New Roman" w:hAnsi="Times New Roman" w:cs="Times New Roman"/>
          <w:sz w:val="24"/>
          <w:szCs w:val="24"/>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lang w:eastAsia="zh-CN"/>
        </w:rPr>
        <w:t>《检测报告》（高鑫（验）字20231202）（浙江高鑫安全检测科技有限公司编制）</w:t>
      </w:r>
    </w:p>
    <w:p>
      <w:pPr>
        <w:spacing w:line="360" w:lineRule="auto"/>
        <w:rPr>
          <w:rFonts w:hint="default" w:ascii="Times New Roman" w:hAnsi="Times New Roman" w:cs="Times New Roman"/>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）企业提供的用水量、监测期间生产工况、固废产生量等</w:t>
      </w:r>
      <w:r>
        <w:rPr>
          <w:rFonts w:hint="eastAsia" w:ascii="Times New Roman" w:hAnsi="Times New Roman" w:cs="Times New Roman"/>
          <w:sz w:val="24"/>
          <w:szCs w:val="24"/>
          <w:lang w:val="en-US" w:eastAsia="zh-CN"/>
        </w:rPr>
        <w:t>。</w:t>
      </w:r>
    </w:p>
    <w:p>
      <w:pPr>
        <w:pStyle w:val="4"/>
      </w:pPr>
      <w:bookmarkStart w:id="27" w:name="_Toc5024"/>
      <w:r>
        <w:rPr>
          <w:rFonts w:hint="eastAsia"/>
        </w:rPr>
        <w:t>3项目建设情况</w:t>
      </w:r>
      <w:bookmarkEnd w:id="27"/>
    </w:p>
    <w:p>
      <w:pPr>
        <w:pStyle w:val="5"/>
        <w:rPr>
          <w:rFonts w:eastAsia="宋体"/>
        </w:rPr>
      </w:pPr>
      <w:bookmarkStart w:id="28" w:name="_Toc3242"/>
      <w:r>
        <w:rPr>
          <w:rFonts w:eastAsia="宋体"/>
        </w:rPr>
        <w:t>3.1地理位置及平面布置</w:t>
      </w:r>
      <w:bookmarkEnd w:id="28"/>
    </w:p>
    <w:p>
      <w:pPr>
        <w:spacing w:line="360" w:lineRule="auto"/>
        <w:ind w:firstLine="480" w:firstLineChars="200"/>
        <w:jc w:val="left"/>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浙江历山红工贸有限公司租赁位于浙江省金华市永康市西城街道西周路18号的永康市步步升五金厂闲置厂房，建设年产8000樘非标门生产线技改项目。项目中心经纬度坐标为东经119.982485；北纬28.893504。东侧为永康市佳和锁具制造厂；南侧为永康市艾迪工贸有限公司，西侧为其他工业企业厂房，北侧为西周路，隔路26m处为创新开平厂，72m处为下梅陇水库。</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厂区具体地理位置见图3.1-1，厂区周边</w:t>
      </w:r>
      <w:r>
        <w:rPr>
          <w:rFonts w:hint="eastAsia" w:ascii="Times New Roman" w:hAnsi="Times New Roman" w:cs="Times New Roman"/>
          <w:sz w:val="24"/>
          <w:szCs w:val="24"/>
          <w:lang w:val="en-US" w:eastAsia="zh-CN"/>
        </w:rPr>
        <w:t>情况</w:t>
      </w:r>
      <w:r>
        <w:rPr>
          <w:rFonts w:hint="eastAsia" w:ascii="Times New Roman" w:hAnsi="Times New Roman" w:cs="Times New Roman"/>
          <w:sz w:val="24"/>
          <w:szCs w:val="24"/>
        </w:rPr>
        <w:t>见图3.1-2，厂区平面布置图见图3.1-3。</w:t>
      </w:r>
    </w:p>
    <w:p>
      <w:pPr>
        <w:adjustRightInd w:val="0"/>
        <w:snapToGrid w:val="0"/>
        <w:spacing w:line="360" w:lineRule="auto"/>
        <w:ind w:left="210" w:hanging="240" w:hangingChars="100"/>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68595" cy="3498850"/>
            <wp:effectExtent l="0" t="0" r="8255" b="6350"/>
            <wp:docPr id="9" name="图片 9" descr="171169811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1698114245"/>
                    <pic:cNvPicPr>
                      <a:picLocks noChangeAspect="1"/>
                    </pic:cNvPicPr>
                  </pic:nvPicPr>
                  <pic:blipFill>
                    <a:blip r:embed="rId20"/>
                    <a:stretch>
                      <a:fillRect/>
                    </a:stretch>
                  </pic:blipFill>
                  <pic:spPr>
                    <a:xfrm>
                      <a:off x="0" y="0"/>
                      <a:ext cx="5268595" cy="3498850"/>
                    </a:xfrm>
                    <a:prstGeom prst="rect">
                      <a:avLst/>
                    </a:prstGeom>
                  </pic:spPr>
                </pic:pic>
              </a:graphicData>
            </a:graphic>
          </wp:inline>
        </w:drawing>
      </w:r>
    </w:p>
    <w:p>
      <w:pPr>
        <w:widowControl/>
        <w:jc w:val="center"/>
        <w:rPr>
          <w:rFonts w:ascii="Times New Roman" w:hAnsi="Times New Roman" w:cs="Times New Roman"/>
          <w:b/>
          <w:bCs/>
          <w:szCs w:val="21"/>
        </w:rP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-1 项目地理位置图</w:t>
      </w:r>
    </w:p>
    <w:p>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143500" cy="5297805"/>
            <wp:effectExtent l="0" t="0" r="0" b="17145"/>
            <wp:docPr id="20" name="图片 20" descr="17116972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11697201614"/>
                    <pic:cNvPicPr>
                      <a:picLocks noChangeAspect="1"/>
                    </pic:cNvPicPr>
                  </pic:nvPicPr>
                  <pic:blipFill>
                    <a:blip r:embed="rId21"/>
                    <a:stretch>
                      <a:fillRect/>
                    </a:stretch>
                  </pic:blipFill>
                  <pic:spPr>
                    <a:xfrm>
                      <a:off x="0" y="0"/>
                      <a:ext cx="5143500" cy="5297805"/>
                    </a:xfrm>
                    <a:prstGeom prst="rect">
                      <a:avLst/>
                    </a:prstGeom>
                  </pic:spPr>
                </pic:pic>
              </a:graphicData>
            </a:graphic>
          </wp:inline>
        </w:drawing>
      </w:r>
    </w:p>
    <w:p>
      <w:pPr>
        <w:spacing w:line="360" w:lineRule="auto"/>
        <w:jc w:val="center"/>
        <w:rPr>
          <w:rFonts w:hint="eastAsia" w:ascii="Times New Roman" w:hAnsi="Times New Roman" w:cs="Times New Roman" w:eastAsiaTheme="minorEastAsia"/>
          <w:b/>
          <w:bCs/>
          <w:szCs w:val="21"/>
          <w:highlight w:val="none"/>
          <w:lang w:eastAsia="zh-CN"/>
        </w:rPr>
      </w:pPr>
      <w:r>
        <w:rPr>
          <w:rFonts w:ascii="Times New Roman" w:hAnsi="Times New Roman" w:cs="Times New Roman"/>
          <w:b/>
          <w:bCs/>
          <w:szCs w:val="21"/>
          <w:highlight w:val="none"/>
        </w:rPr>
        <w:t>图</w:t>
      </w:r>
      <w:r>
        <w:rPr>
          <w:rFonts w:hint="eastAsia" w:ascii="Times New Roman" w:hAnsi="Times New Roman" w:cs="Times New Roman"/>
          <w:b/>
          <w:bCs/>
          <w:szCs w:val="21"/>
          <w:highlight w:val="none"/>
        </w:rPr>
        <w:t>3.1</w:t>
      </w:r>
      <w:r>
        <w:rPr>
          <w:rFonts w:ascii="Times New Roman" w:hAnsi="Times New Roman" w:cs="Times New Roman"/>
          <w:b/>
          <w:bCs/>
          <w:szCs w:val="21"/>
          <w:highlight w:val="none"/>
        </w:rPr>
        <w:t>-</w:t>
      </w:r>
      <w:r>
        <w:rPr>
          <w:rFonts w:hint="eastAsia" w:ascii="Times New Roman" w:hAnsi="Times New Roman" w:cs="Times New Roman"/>
          <w:b/>
          <w:bCs/>
          <w:szCs w:val="21"/>
          <w:highlight w:val="none"/>
        </w:rPr>
        <w:t>2</w:t>
      </w:r>
      <w:r>
        <w:rPr>
          <w:rFonts w:ascii="Times New Roman" w:hAnsi="Times New Roman" w:cs="Times New Roman"/>
          <w:b/>
          <w:bCs/>
          <w:szCs w:val="21"/>
          <w:highlight w:val="none"/>
        </w:rPr>
        <w:t xml:space="preserve"> 项目</w:t>
      </w:r>
      <w:r>
        <w:rPr>
          <w:rFonts w:hint="eastAsia" w:ascii="Times New Roman" w:hAnsi="Times New Roman" w:cs="Times New Roman"/>
          <w:b/>
          <w:bCs/>
          <w:szCs w:val="21"/>
          <w:highlight w:val="none"/>
        </w:rPr>
        <w:t>周边</w:t>
      </w:r>
      <w:r>
        <w:rPr>
          <w:rFonts w:hint="eastAsia" w:ascii="Times New Roman" w:hAnsi="Times New Roman" w:cs="Times New Roman"/>
          <w:b/>
          <w:bCs/>
          <w:szCs w:val="21"/>
          <w:highlight w:val="none"/>
          <w:lang w:val="en-US" w:eastAsia="zh-CN"/>
        </w:rPr>
        <w:t>情况</w:t>
      </w:r>
    </w:p>
    <w:p>
      <w:pPr>
        <w:widowControl/>
        <w:spacing w:line="360" w:lineRule="auto"/>
        <w:jc w:val="center"/>
        <w:rPr>
          <w:rFonts w:ascii="Times New Roman" w:hAnsi="Times New Roman" w:cs="Times New Roman"/>
          <w:b/>
          <w:bCs/>
          <w:szCs w:val="21"/>
        </w:rPr>
      </w:pPr>
      <w:r>
        <w:rPr>
          <w:rFonts w:hint="eastAsia" w:ascii="Times New Roman" w:hAnsi="Times New Roman" w:cs="Times New Roman"/>
          <w:b/>
          <w:bCs/>
          <w:szCs w:val="21"/>
        </w:rPr>
        <w:t>表3.1</w:t>
      </w:r>
      <w:r>
        <w:rPr>
          <w:rFonts w:hint="eastAsia" w:ascii="Times New Roman" w:hAnsi="Times New Roman" w:cs="Times New Roman"/>
          <w:b/>
          <w:bCs/>
          <w:szCs w:val="21"/>
        </w:rPr>
        <w:noBreakHyphen/>
      </w:r>
      <w:r>
        <w:rPr>
          <w:rFonts w:hint="eastAsia" w:ascii="Times New Roman" w:hAnsi="Times New Roman" w:cs="Times New Roman"/>
          <w:b/>
          <w:bCs/>
          <w:szCs w:val="21"/>
        </w:rPr>
        <w:t>1本项目厂区周边环境概况</w:t>
      </w:r>
    </w:p>
    <w:tbl>
      <w:tblPr>
        <w:tblStyle w:val="32"/>
        <w:tblW w:w="483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4"/>
        <w:gridCol w:w="2117"/>
        <w:gridCol w:w="44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0" w:type="auto"/>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方位</w:t>
            </w:r>
          </w:p>
        </w:tc>
        <w:tc>
          <w:tcPr>
            <w:tcW w:w="2117" w:type="dxa"/>
            <w:tcBorders>
              <w:right w:val="single" w:color="auto" w:sz="4" w:space="0"/>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位置关系</w:t>
            </w:r>
          </w:p>
        </w:tc>
        <w:tc>
          <w:tcPr>
            <w:tcW w:w="4427" w:type="dxa"/>
            <w:tcBorders>
              <w:left w:val="single" w:color="auto" w:sz="4" w:space="0"/>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现状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704" w:type="dxa"/>
            <w:vAlign w:val="center"/>
          </w:tcPr>
          <w:p>
            <w:pPr>
              <w:spacing w:line="360" w:lineRule="auto"/>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东</w:t>
            </w:r>
          </w:p>
        </w:tc>
        <w:tc>
          <w:tcPr>
            <w:tcW w:w="2117" w:type="dxa"/>
            <w:tcBorders>
              <w:right w:val="single" w:color="auto" w:sz="4" w:space="0"/>
            </w:tcBorders>
            <w:vAlign w:val="center"/>
          </w:tcPr>
          <w:p>
            <w:pPr>
              <w:spacing w:line="360" w:lineRule="auto"/>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相邻</w:t>
            </w:r>
          </w:p>
        </w:tc>
        <w:tc>
          <w:tcPr>
            <w:tcW w:w="4427" w:type="dxa"/>
            <w:tcBorders>
              <w:left w:val="single" w:color="auto" w:sz="4" w:space="0"/>
            </w:tcBorders>
            <w:vAlign w:val="center"/>
          </w:tcPr>
          <w:p>
            <w:pPr>
              <w:keepNext w:val="0"/>
              <w:keepLines w:val="0"/>
              <w:widowControl/>
              <w:suppressLineNumbers w:val="0"/>
              <w:jc w:val="center"/>
              <w:rPr>
                <w:rFonts w:hint="eastAsia" w:ascii="Times New Roman" w:hAnsi="Times New Roman" w:cs="Times New Roman" w:eastAsiaTheme="minorEastAsia"/>
                <w:kern w:val="2"/>
                <w:sz w:val="21"/>
                <w:szCs w:val="21"/>
                <w:lang w:val="en-US" w:eastAsia="zh-CN" w:bidi="ar-SA"/>
              </w:rPr>
            </w:pPr>
            <w:r>
              <w:rPr>
                <w:rFonts w:hint="eastAsia" w:ascii="宋体" w:hAnsi="宋体" w:eastAsia="宋体" w:cs="宋体"/>
                <w:color w:val="000000"/>
                <w:kern w:val="0"/>
                <w:sz w:val="21"/>
                <w:szCs w:val="21"/>
                <w:lang w:val="en-US" w:eastAsia="zh-CN" w:bidi="ar"/>
              </w:rPr>
              <w:t>永康市佳和锁具制造厂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704" w:type="dxa"/>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rPr>
              <w:t>南</w:t>
            </w:r>
          </w:p>
        </w:tc>
        <w:tc>
          <w:tcPr>
            <w:tcW w:w="2117" w:type="dxa"/>
            <w:tcBorders>
              <w:right w:val="single" w:color="auto" w:sz="4" w:space="0"/>
            </w:tcBorders>
            <w:vAlign w:val="center"/>
          </w:tcPr>
          <w:p>
            <w:pPr>
              <w:spacing w:line="360" w:lineRule="auto"/>
              <w:jc w:val="center"/>
              <w:rPr>
                <w:rFonts w:hint="default" w:ascii="Times New Roman" w:hAnsi="Times New Roman" w:cs="Times New Roman"/>
                <w:szCs w:val="21"/>
                <w:lang w:val="en-US" w:eastAsia="zh-CN"/>
              </w:rPr>
            </w:pPr>
            <w:r>
              <w:rPr>
                <w:rFonts w:hint="eastAsia" w:ascii="Times New Roman" w:hAnsi="Times New Roman" w:cs="Times New Roman"/>
                <w:szCs w:val="21"/>
              </w:rPr>
              <w:t>相邻</w:t>
            </w:r>
          </w:p>
        </w:tc>
        <w:tc>
          <w:tcPr>
            <w:tcW w:w="4427" w:type="dxa"/>
            <w:tcBorders>
              <w:left w:val="single" w:color="auto" w:sz="4" w:space="0"/>
            </w:tcBorders>
            <w:vAlign w:val="center"/>
          </w:tcPr>
          <w:p>
            <w:pPr>
              <w:spacing w:line="36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永康市艾迪工贸有限公司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704" w:type="dxa"/>
            <w:vAlign w:val="center"/>
          </w:tcPr>
          <w:p>
            <w:pPr>
              <w:spacing w:line="36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西</w:t>
            </w:r>
          </w:p>
        </w:tc>
        <w:tc>
          <w:tcPr>
            <w:tcW w:w="2117" w:type="dxa"/>
            <w:tcBorders>
              <w:right w:val="single" w:color="auto" w:sz="4" w:space="0"/>
            </w:tcBorders>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rPr>
              <w:t>相邻</w:t>
            </w:r>
          </w:p>
        </w:tc>
        <w:tc>
          <w:tcPr>
            <w:tcW w:w="4427" w:type="dxa"/>
            <w:tcBorders>
              <w:left w:val="single" w:color="auto" w:sz="4" w:space="0"/>
            </w:tcBorders>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其他工业企业厂房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704" w:type="dxa"/>
            <w:vMerge w:val="restart"/>
            <w:vAlign w:val="center"/>
          </w:tcPr>
          <w:p>
            <w:pPr>
              <w:spacing w:line="36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北</w:t>
            </w:r>
          </w:p>
        </w:tc>
        <w:tc>
          <w:tcPr>
            <w:tcW w:w="2117" w:type="dxa"/>
            <w:tcBorders>
              <w:right w:val="single" w:color="auto" w:sz="4" w:space="0"/>
            </w:tcBorders>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相邻</w:t>
            </w:r>
          </w:p>
        </w:tc>
        <w:tc>
          <w:tcPr>
            <w:tcW w:w="4427" w:type="dxa"/>
            <w:tcBorders>
              <w:left w:val="single" w:color="auto" w:sz="4" w:space="0"/>
            </w:tcBorders>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西周路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704" w:type="dxa"/>
            <w:vMerge w:val="continue"/>
            <w:vAlign w:val="center"/>
          </w:tcPr>
          <w:p>
            <w:pPr>
              <w:spacing w:line="360" w:lineRule="auto"/>
              <w:jc w:val="center"/>
              <w:rPr>
                <w:rFonts w:hint="eastAsia" w:ascii="Times New Roman" w:hAnsi="Times New Roman" w:cs="Times New Roman" w:eastAsiaTheme="minorEastAsia"/>
                <w:kern w:val="2"/>
                <w:sz w:val="21"/>
                <w:szCs w:val="21"/>
                <w:lang w:val="en-US" w:eastAsia="zh-CN" w:bidi="ar-SA"/>
              </w:rPr>
            </w:pPr>
          </w:p>
        </w:tc>
        <w:tc>
          <w:tcPr>
            <w:tcW w:w="2117" w:type="dxa"/>
            <w:tcBorders>
              <w:right w:val="single" w:color="auto" w:sz="4" w:space="0"/>
            </w:tcBorders>
            <w:vAlign w:val="center"/>
          </w:tcPr>
          <w:p>
            <w:pPr>
              <w:keepNext w:val="0"/>
              <w:keepLines w:val="0"/>
              <w:widowControl/>
              <w:suppressLineNumbers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隔</w:t>
            </w:r>
            <w:r>
              <w:rPr>
                <w:rFonts w:hint="eastAsia" w:ascii="宋体" w:hAnsi="宋体" w:eastAsia="宋体" w:cs="宋体"/>
                <w:color w:val="000000"/>
                <w:kern w:val="0"/>
                <w:sz w:val="21"/>
                <w:szCs w:val="21"/>
                <w:lang w:val="en-US" w:eastAsia="zh-CN" w:bidi="ar"/>
              </w:rPr>
              <w:t>西周路</w:t>
            </w:r>
            <w:r>
              <w:rPr>
                <w:rFonts w:hint="eastAsia" w:ascii="Times New Roman" w:hAnsi="Times New Roman" w:cs="Times New Roman"/>
                <w:szCs w:val="21"/>
                <w:lang w:val="en-US" w:eastAsia="zh-CN"/>
              </w:rPr>
              <w:t>26m</w:t>
            </w:r>
          </w:p>
        </w:tc>
        <w:tc>
          <w:tcPr>
            <w:tcW w:w="4427" w:type="dxa"/>
            <w:tcBorders>
              <w:left w:val="single" w:color="auto" w:sz="4" w:space="0"/>
            </w:tcBorders>
            <w:vAlign w:val="center"/>
          </w:tcPr>
          <w:p>
            <w:pPr>
              <w:keepNext w:val="0"/>
              <w:keepLines w:val="0"/>
              <w:widowControl/>
              <w:suppressLineNumbers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创新开平厂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704" w:type="dxa"/>
            <w:vMerge w:val="continue"/>
            <w:vAlign w:val="center"/>
          </w:tcPr>
          <w:p>
            <w:pPr>
              <w:spacing w:line="360" w:lineRule="auto"/>
              <w:jc w:val="center"/>
              <w:rPr>
                <w:rFonts w:hint="eastAsia" w:ascii="Times New Roman" w:hAnsi="Times New Roman" w:cs="Times New Roman" w:eastAsiaTheme="minorEastAsia"/>
                <w:kern w:val="2"/>
                <w:sz w:val="21"/>
                <w:szCs w:val="21"/>
                <w:lang w:val="en-US" w:eastAsia="zh-CN" w:bidi="ar-SA"/>
              </w:rPr>
            </w:pPr>
            <w:bookmarkStart w:id="29" w:name="_Hlk534829572"/>
          </w:p>
        </w:tc>
        <w:tc>
          <w:tcPr>
            <w:tcW w:w="2117" w:type="dxa"/>
            <w:tcBorders>
              <w:right w:val="single" w:color="auto" w:sz="4" w:space="0"/>
            </w:tcBorders>
            <w:vAlign w:val="center"/>
          </w:tcPr>
          <w:p>
            <w:pPr>
              <w:keepNext w:val="0"/>
              <w:keepLines w:val="0"/>
              <w:widowControl/>
              <w:suppressLineNumbers w:val="0"/>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隔</w:t>
            </w:r>
            <w:r>
              <w:rPr>
                <w:rFonts w:hint="eastAsia" w:ascii="宋体" w:hAnsi="宋体" w:eastAsia="宋体" w:cs="宋体"/>
                <w:color w:val="000000"/>
                <w:kern w:val="0"/>
                <w:sz w:val="21"/>
                <w:szCs w:val="21"/>
                <w:lang w:val="en-US" w:eastAsia="zh-CN" w:bidi="ar"/>
              </w:rPr>
              <w:t>西周路</w:t>
            </w:r>
            <w:r>
              <w:rPr>
                <w:rFonts w:hint="eastAsia" w:ascii="Times New Roman" w:hAnsi="Times New Roman" w:cs="Times New Roman"/>
                <w:szCs w:val="21"/>
                <w:lang w:val="en-US" w:eastAsia="zh-CN"/>
              </w:rPr>
              <w:t>72m</w:t>
            </w:r>
          </w:p>
        </w:tc>
        <w:tc>
          <w:tcPr>
            <w:tcW w:w="4427" w:type="dxa"/>
            <w:tcBorders>
              <w:left w:val="single" w:color="auto" w:sz="4" w:space="0"/>
            </w:tcBorders>
            <w:vAlign w:val="center"/>
          </w:tcPr>
          <w:p>
            <w:pPr>
              <w:keepNext w:val="0"/>
              <w:keepLines w:val="0"/>
              <w:widowControl/>
              <w:suppressLineNumbers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下梅陇水库</w:t>
            </w:r>
          </w:p>
        </w:tc>
      </w:tr>
    </w:tbl>
    <w:p>
      <w:pPr>
        <w:widowControl/>
        <w:jc w:val="center"/>
        <w:rPr>
          <w:rFonts w:hint="eastAsia" w:ascii="Times New Roman" w:hAnsi="Times New Roman" w:cs="Times New Roman" w:eastAsiaTheme="minorEastAsia"/>
          <w:b/>
          <w:bCs/>
          <w:szCs w:val="21"/>
          <w:lang w:eastAsia="zh-CN"/>
        </w:rPr>
      </w:pPr>
      <w:r>
        <w:rPr>
          <w:rFonts w:hint="eastAsia" w:ascii="Times New Roman" w:hAnsi="Times New Roman" w:cs="Times New Roman" w:eastAsiaTheme="minorEastAsia"/>
          <w:b/>
          <w:bCs/>
          <w:szCs w:val="21"/>
          <w:lang w:eastAsia="zh-CN"/>
        </w:rPr>
        <w:drawing>
          <wp:inline distT="0" distB="0" distL="114300" distR="114300">
            <wp:extent cx="5271770" cy="3831590"/>
            <wp:effectExtent l="0" t="0" r="5080" b="16510"/>
            <wp:docPr id="58" name="图片 58" descr="测点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测点布置图"/>
                    <pic:cNvPicPr>
                      <a:picLocks noChangeAspect="1"/>
                    </pic:cNvPicPr>
                  </pic:nvPicPr>
                  <pic:blipFill>
                    <a:blip r:embed="rId22"/>
                    <a:stretch>
                      <a:fillRect/>
                    </a:stretch>
                  </pic:blipFill>
                  <pic:spPr>
                    <a:xfrm>
                      <a:off x="0" y="0"/>
                      <a:ext cx="5271770" cy="3831590"/>
                    </a:xfrm>
                    <a:prstGeom prst="rect">
                      <a:avLst/>
                    </a:prstGeom>
                  </pic:spPr>
                </pic:pic>
              </a:graphicData>
            </a:graphic>
          </wp:inline>
        </w:drawing>
      </w:r>
    </w:p>
    <w:p>
      <w:pPr>
        <w:widowControl/>
        <w:jc w:val="center"/>
        <w:rPr>
          <w:rFonts w:ascii="Times New Roman" w:hAnsi="Times New Roman" w:cs="Times New Roman"/>
          <w:b/>
          <w:bCs/>
          <w:szCs w:val="21"/>
        </w:rPr>
      </w:pPr>
      <w:r>
        <w:rPr>
          <w:rFonts w:ascii="Times New Roman" w:hAnsi="Times New Roman" w:cs="Times New Roman"/>
          <w:b/>
          <w:bCs/>
          <w:szCs w:val="21"/>
        </w:rPr>
        <w:t xml:space="preserve">图 </w:t>
      </w:r>
      <w:bookmarkEnd w:id="29"/>
      <w:r>
        <w:rPr>
          <w:rFonts w:ascii="Times New Roman" w:hAnsi="Times New Roman" w:cs="Times New Roman"/>
          <w:b/>
          <w:bCs/>
          <w:szCs w:val="21"/>
        </w:rPr>
        <w:t>3.1-</w:t>
      </w:r>
      <w:r>
        <w:rPr>
          <w:rFonts w:hint="eastAsia" w:ascii="Times New Roman" w:hAnsi="Times New Roman" w:cs="Times New Roman"/>
          <w:b/>
          <w:bCs/>
          <w:szCs w:val="21"/>
        </w:rPr>
        <w:t>3</w:t>
      </w:r>
      <w:r>
        <w:rPr>
          <w:rFonts w:ascii="Times New Roman" w:hAnsi="Times New Roman" w:cs="Times New Roman"/>
          <w:b/>
          <w:bCs/>
          <w:szCs w:val="21"/>
        </w:rPr>
        <w:t xml:space="preserve">  项目厂区平面布置图 </w:t>
      </w:r>
    </w:p>
    <w:p>
      <w:pPr>
        <w:pStyle w:val="5"/>
        <w:rPr>
          <w:rFonts w:eastAsia="宋体"/>
        </w:rPr>
      </w:pPr>
      <w:bookmarkStart w:id="30" w:name="_Toc2249"/>
      <w:r>
        <w:rPr>
          <w:rFonts w:eastAsia="宋体"/>
        </w:rPr>
        <w:t>3.2建设内容</w:t>
      </w:r>
      <w:bookmarkEnd w:id="30"/>
    </w:p>
    <w:p>
      <w:pPr>
        <w:spacing w:line="360" w:lineRule="auto"/>
        <w:ind w:firstLine="480"/>
        <w:rPr>
          <w:rFonts w:hint="eastAsia" w:ascii="Times New Roman" w:hAnsi="Times New Roman" w:cs="Times New Roman" w:eastAsiaTheme="minorEastAsia"/>
          <w:sz w:val="24"/>
          <w:szCs w:val="24"/>
          <w:lang w:eastAsia="zh-CN"/>
        </w:rPr>
      </w:pPr>
      <w:r>
        <w:rPr>
          <w:rFonts w:ascii="Times New Roman" w:hAnsi="Times New Roman" w:cs="Times New Roman"/>
          <w:bCs/>
          <w:sz w:val="24"/>
          <w:szCs w:val="24"/>
        </w:rPr>
        <w:t>（1）项目名称：</w:t>
      </w:r>
      <w:r>
        <w:rPr>
          <w:rFonts w:hint="eastAsia" w:ascii="Times New Roman" w:hAnsi="Times New Roman" w:cs="Times New Roman"/>
          <w:sz w:val="24"/>
          <w:szCs w:val="24"/>
          <w:lang w:eastAsia="zh-CN"/>
        </w:rPr>
        <w:t>浙江历山红工贸有限公司年产8000樘非标门生产线技改项目</w:t>
      </w:r>
    </w:p>
    <w:p>
      <w:pPr>
        <w:spacing w:line="360" w:lineRule="auto"/>
        <w:ind w:firstLine="480"/>
        <w:rPr>
          <w:rFonts w:hint="eastAsia" w:ascii="Times New Roman" w:hAnsi="Times New Roman" w:cs="Times New Roman" w:eastAsiaTheme="minorEastAsia"/>
          <w:sz w:val="24"/>
          <w:szCs w:val="24"/>
          <w:lang w:val="en-US" w:eastAsia="zh-CN"/>
        </w:rPr>
      </w:pPr>
      <w:r>
        <w:rPr>
          <w:rFonts w:ascii="Times New Roman" w:hAnsi="Times New Roman" w:cs="Times New Roman"/>
          <w:sz w:val="24"/>
          <w:szCs w:val="24"/>
        </w:rPr>
        <w:t>（2）项目性质：</w:t>
      </w:r>
      <w:r>
        <w:rPr>
          <w:rFonts w:hint="eastAsia" w:ascii="Times New Roman" w:hAnsi="Times New Roman" w:cs="Times New Roman"/>
          <w:sz w:val="24"/>
          <w:szCs w:val="24"/>
          <w:lang w:val="en-US" w:eastAsia="zh-CN"/>
        </w:rPr>
        <w:t>新建（迁建）</w:t>
      </w:r>
    </w:p>
    <w:p>
      <w:pPr>
        <w:spacing w:line="360" w:lineRule="auto"/>
        <w:ind w:firstLine="480"/>
        <w:rPr>
          <w:rFonts w:hint="default" w:ascii="Times New Roman" w:hAnsi="Times New Roman" w:cs="Times New Roman" w:eastAsiaTheme="minorEastAsia"/>
          <w:sz w:val="24"/>
          <w:lang w:eastAsia="zh-CN"/>
        </w:rPr>
      </w:pPr>
      <w:r>
        <w:rPr>
          <w:rFonts w:ascii="Times New Roman" w:hAnsi="Times New Roman" w:cs="Times New Roman"/>
          <w:sz w:val="24"/>
          <w:szCs w:val="24"/>
        </w:rPr>
        <w:t>（3）建设地点：</w:t>
      </w:r>
      <w:r>
        <w:rPr>
          <w:rFonts w:hint="eastAsia" w:ascii="Times New Roman" w:hAnsi="Times New Roman" w:eastAsia="宋体" w:cs="Times New Roman"/>
          <w:kern w:val="0"/>
          <w:sz w:val="24"/>
          <w:lang w:eastAsia="zh-CN"/>
        </w:rPr>
        <w:t>浙江省金华市永康市西城街道西周路18号</w:t>
      </w:r>
    </w:p>
    <w:p>
      <w:pPr>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（4）项目总投资、生产组织方式及劳动定员</w:t>
      </w:r>
    </w:p>
    <w:p>
      <w:pPr>
        <w:spacing w:line="360" w:lineRule="auto"/>
        <w:ind w:firstLine="480" w:firstLineChars="200"/>
        <w:rPr>
          <w:rFonts w:hint="eastAsia"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项目实际总投资</w:t>
      </w:r>
      <w:r>
        <w:rPr>
          <w:rFonts w:hint="eastAsia" w:ascii="Times New Roman" w:hAnsi="Times New Roman" w:cs="Times New Roman"/>
          <w:sz w:val="24"/>
          <w:szCs w:val="24"/>
          <w:highlight w:val="none"/>
          <w:lang w:val="en-US" w:eastAsia="zh-CN"/>
        </w:rPr>
        <w:t>504万元</w:t>
      </w:r>
      <w:r>
        <w:rPr>
          <w:rFonts w:hint="default" w:ascii="Times New Roman" w:hAnsi="Times New Roman" w:cs="Times New Roman"/>
          <w:sz w:val="24"/>
          <w:szCs w:val="24"/>
          <w:highlight w:val="none"/>
          <w:lang w:val="en-US" w:eastAsia="zh-CN"/>
        </w:rPr>
        <w:t>，环保实际投资</w:t>
      </w:r>
      <w:r>
        <w:rPr>
          <w:rFonts w:hint="eastAsia" w:ascii="Times New Roman" w:hAnsi="Times New Roman" w:cs="Times New Roman"/>
          <w:sz w:val="24"/>
          <w:szCs w:val="24"/>
          <w:highlight w:val="none"/>
          <w:lang w:val="en-US" w:eastAsia="zh-CN"/>
        </w:rPr>
        <w:t>58万元</w:t>
      </w:r>
      <w:r>
        <w:rPr>
          <w:rFonts w:hint="default" w:ascii="Times New Roman" w:hAnsi="Times New Roman" w:cs="Times New Roman"/>
          <w:sz w:val="24"/>
          <w:szCs w:val="24"/>
          <w:highlight w:val="none"/>
          <w:lang w:val="en-US" w:eastAsia="zh-CN"/>
        </w:rPr>
        <w:t>，占总投资</w:t>
      </w:r>
      <w:r>
        <w:rPr>
          <w:rFonts w:hint="eastAsia" w:ascii="Times New Roman" w:hAnsi="Times New Roman" w:cs="Times New Roman"/>
          <w:sz w:val="24"/>
          <w:szCs w:val="24"/>
          <w:highlight w:val="none"/>
          <w:lang w:val="en-US" w:eastAsia="zh-CN"/>
        </w:rPr>
        <w:t>11.5%</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本项目劳动定员30人，生产班次采用单班制，每班工作时间为</w:t>
      </w:r>
      <w:r>
        <w:rPr>
          <w:rFonts w:hint="default" w:ascii="Times New Roman" w:hAnsi="Times New Roman" w:cs="Times New Roman"/>
          <w:sz w:val="24"/>
          <w:szCs w:val="24"/>
          <w:highlight w:val="none"/>
          <w:lang w:val="en-US" w:eastAsia="zh-CN"/>
        </w:rPr>
        <w:t>8h</w:t>
      </w:r>
      <w:r>
        <w:rPr>
          <w:rFonts w:hint="eastAsia" w:ascii="Times New Roman" w:hAnsi="Times New Roman" w:cs="Times New Roman"/>
          <w:sz w:val="24"/>
          <w:szCs w:val="24"/>
          <w:highlight w:val="none"/>
          <w:lang w:val="en-US" w:eastAsia="zh-CN"/>
        </w:rPr>
        <w:t>，年工作日为</w:t>
      </w:r>
      <w:r>
        <w:rPr>
          <w:rFonts w:hint="default" w:ascii="Times New Roman" w:hAnsi="Times New Roman" w:cs="Times New Roman"/>
          <w:sz w:val="24"/>
          <w:szCs w:val="24"/>
          <w:highlight w:val="none"/>
          <w:lang w:val="en-US" w:eastAsia="zh-CN"/>
        </w:rPr>
        <w:t>300</w:t>
      </w:r>
      <w:r>
        <w:rPr>
          <w:rFonts w:hint="eastAsia" w:ascii="Times New Roman" w:hAnsi="Times New Roman" w:cs="Times New Roman"/>
          <w:sz w:val="24"/>
          <w:szCs w:val="24"/>
          <w:highlight w:val="none"/>
          <w:lang w:val="en-US" w:eastAsia="zh-CN"/>
        </w:rPr>
        <w:t>天。厂区内不设员工宿舍和食堂。</w:t>
      </w:r>
    </w:p>
    <w:p>
      <w:pPr>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项目工程组成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highlight w:val="none"/>
          <w:lang w:val="en-US" w:eastAsia="zh-CN"/>
        </w:rPr>
        <w:t>项目组成包括主体工程、公用工程、环保工程、储运工程、依托工程，</w:t>
      </w:r>
      <w:r>
        <w:rPr>
          <w:rFonts w:hint="eastAsia" w:ascii="Times New Roman" w:hAnsi="Times New Roman" w:cs="Times New Roman"/>
          <w:sz w:val="24"/>
          <w:szCs w:val="24"/>
          <w:highlight w:val="none"/>
        </w:rPr>
        <w:t>项目环</w:t>
      </w:r>
      <w:r>
        <w:rPr>
          <w:rFonts w:hint="eastAsia" w:ascii="Times New Roman" w:hAnsi="Times New Roman" w:cs="Times New Roman"/>
          <w:sz w:val="24"/>
          <w:szCs w:val="24"/>
        </w:rPr>
        <w:t>评报告与实际建设内容变更情况见表3.2-</w:t>
      </w:r>
      <w:r>
        <w:rPr>
          <w:rFonts w:ascii="Times New Roman" w:hAnsi="Times New Roman" w:cs="Times New Roman"/>
          <w:sz w:val="24"/>
          <w:szCs w:val="24"/>
        </w:rPr>
        <w:t>1</w:t>
      </w:r>
      <w:r>
        <w:rPr>
          <w:rFonts w:hint="eastAsia" w:ascii="Times New Roman" w:hAnsi="Times New Roman" w:cs="Times New Roman"/>
          <w:sz w:val="24"/>
          <w:szCs w:val="24"/>
        </w:rPr>
        <w:t>。</w:t>
      </w:r>
    </w:p>
    <w:p>
      <w:pPr>
        <w:spacing w:line="360" w:lineRule="auto"/>
        <w:ind w:firstLine="420"/>
        <w:jc w:val="center"/>
        <w:textAlignment w:val="baseline"/>
        <w:rPr>
          <w:rFonts w:ascii="Times New Roman" w:hAnsi="Times New Roman" w:eastAsia="宋体" w:cs="Times New Roman"/>
          <w:b/>
          <w:bCs/>
          <w:szCs w:val="21"/>
          <w:highlight w:val="none"/>
        </w:rPr>
      </w:pPr>
    </w:p>
    <w:p>
      <w:pPr>
        <w:spacing w:line="360" w:lineRule="auto"/>
        <w:ind w:firstLine="420"/>
        <w:jc w:val="center"/>
        <w:textAlignment w:val="baseline"/>
        <w:rPr>
          <w:rFonts w:ascii="Times New Roman" w:hAnsi="Times New Roman" w:eastAsia="宋体" w:cs="Times New Roman"/>
          <w:b/>
          <w:bCs/>
          <w:szCs w:val="21"/>
          <w:highlight w:val="none"/>
        </w:rPr>
      </w:pPr>
    </w:p>
    <w:p>
      <w:pPr>
        <w:spacing w:line="360" w:lineRule="auto"/>
        <w:ind w:firstLine="420"/>
        <w:jc w:val="center"/>
        <w:textAlignment w:val="baseline"/>
        <w:rPr>
          <w:rFonts w:ascii="Times New Roman" w:hAnsi="Times New Roman" w:eastAsia="宋体" w:cs="Times New Roman"/>
          <w:b/>
          <w:bCs/>
          <w:szCs w:val="21"/>
          <w:highlight w:val="none"/>
        </w:rPr>
      </w:pPr>
      <w:r>
        <w:rPr>
          <w:rFonts w:ascii="Times New Roman" w:hAnsi="Times New Roman" w:eastAsia="宋体" w:cs="Times New Roman"/>
          <w:b/>
          <w:bCs/>
          <w:szCs w:val="21"/>
          <w:highlight w:val="none"/>
        </w:rPr>
        <w:t>表3.2-1 项目环评</w:t>
      </w:r>
      <w:r>
        <w:rPr>
          <w:rFonts w:hint="eastAsia" w:ascii="Times New Roman" w:hAnsi="Times New Roman" w:eastAsia="宋体" w:cs="Times New Roman"/>
          <w:b/>
          <w:bCs/>
          <w:szCs w:val="21"/>
          <w:highlight w:val="none"/>
        </w:rPr>
        <w:t>报告</w:t>
      </w:r>
      <w:r>
        <w:rPr>
          <w:rFonts w:ascii="Times New Roman" w:hAnsi="Times New Roman" w:eastAsia="宋体" w:cs="Times New Roman"/>
          <w:b/>
          <w:bCs/>
          <w:szCs w:val="21"/>
          <w:highlight w:val="none"/>
        </w:rPr>
        <w:t>与实际建设内容变更对照表</w:t>
      </w:r>
    </w:p>
    <w:tbl>
      <w:tblPr>
        <w:tblStyle w:val="31"/>
        <w:tblW w:w="499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228"/>
        <w:gridCol w:w="2671"/>
        <w:gridCol w:w="2896"/>
        <w:gridCol w:w="1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901" w:type="dxa"/>
            <w:gridSpan w:val="2"/>
            <w:vAlign w:val="center"/>
          </w:tcPr>
          <w:p>
            <w:pPr>
              <w:spacing w:line="360" w:lineRule="auto"/>
              <w:jc w:val="center"/>
              <w:rPr>
                <w:rFonts w:hint="default" w:ascii="Times New Roman" w:hAnsi="Times New Roman" w:cs="Times New Roman"/>
              </w:rPr>
            </w:pPr>
            <w:bookmarkStart w:id="31" w:name="_Hlk14792919"/>
            <w:r>
              <w:rPr>
                <w:rFonts w:hint="default" w:ascii="Times New Roman" w:hAnsi="Times New Roman" w:cs="Times New Roman"/>
                <w:b/>
                <w:bCs/>
                <w:snapToGrid w:val="0"/>
                <w:spacing w:val="-10"/>
                <w:kern w:val="24"/>
                <w:szCs w:val="21"/>
              </w:rPr>
              <w:t>项目工程</w:t>
            </w:r>
          </w:p>
        </w:tc>
        <w:tc>
          <w:tcPr>
            <w:tcW w:w="2671" w:type="dxa"/>
            <w:vAlign w:val="center"/>
          </w:tcPr>
          <w:p>
            <w:pPr>
              <w:spacing w:line="360" w:lineRule="auto"/>
              <w:jc w:val="center"/>
              <w:rPr>
                <w:rFonts w:hint="default" w:ascii="Times New Roman" w:hAnsi="Times New Roman" w:cs="Times New Roman"/>
                <w:b/>
                <w:bCs/>
                <w:snapToGrid w:val="0"/>
                <w:spacing w:val="-10"/>
                <w:kern w:val="24"/>
                <w:szCs w:val="21"/>
                <w:highlight w:val="none"/>
              </w:rPr>
            </w:pPr>
            <w:r>
              <w:rPr>
                <w:rFonts w:hint="default" w:ascii="Times New Roman" w:hAnsi="Times New Roman" w:eastAsia="宋体" w:cs="Times New Roman"/>
                <w:b/>
                <w:bCs/>
                <w:snapToGrid w:val="0"/>
                <w:spacing w:val="-10"/>
                <w:kern w:val="24"/>
                <w:szCs w:val="21"/>
                <w:highlight w:val="none"/>
              </w:rPr>
              <w:t>环评</w:t>
            </w:r>
            <w:r>
              <w:rPr>
                <w:rFonts w:hint="default" w:ascii="Times New Roman" w:hAnsi="Times New Roman" w:eastAsia="宋体" w:cs="Times New Roman"/>
                <w:b/>
                <w:bCs/>
                <w:snapToGrid w:val="0"/>
                <w:spacing w:val="-10"/>
                <w:kern w:val="24"/>
                <w:szCs w:val="21"/>
                <w:highlight w:val="none"/>
                <w:lang w:eastAsia="zh-CN"/>
              </w:rPr>
              <w:t>及批复要求</w:t>
            </w:r>
          </w:p>
        </w:tc>
        <w:tc>
          <w:tcPr>
            <w:tcW w:w="2896" w:type="dxa"/>
            <w:vAlign w:val="center"/>
          </w:tcPr>
          <w:p>
            <w:pPr>
              <w:spacing w:line="360" w:lineRule="auto"/>
              <w:jc w:val="center"/>
              <w:rPr>
                <w:rFonts w:hint="default" w:ascii="Times New Roman" w:hAnsi="Times New Roman" w:cs="Times New Roman"/>
                <w:b/>
                <w:bCs/>
                <w:snapToGrid w:val="0"/>
                <w:spacing w:val="-10"/>
                <w:kern w:val="24"/>
                <w:szCs w:val="21"/>
                <w:highlight w:val="none"/>
              </w:rPr>
            </w:pPr>
            <w:r>
              <w:rPr>
                <w:rFonts w:hint="default" w:ascii="Times New Roman" w:hAnsi="Times New Roman" w:cs="Times New Roman"/>
                <w:b/>
                <w:bCs/>
                <w:snapToGrid w:val="0"/>
                <w:spacing w:val="-10"/>
                <w:kern w:val="24"/>
                <w:szCs w:val="21"/>
                <w:highlight w:val="none"/>
              </w:rPr>
              <w:t>实际建设情况</w:t>
            </w:r>
          </w:p>
        </w:tc>
        <w:tc>
          <w:tcPr>
            <w:tcW w:w="1039" w:type="dxa"/>
            <w:vAlign w:val="center"/>
          </w:tcPr>
          <w:p>
            <w:pPr>
              <w:spacing w:line="360" w:lineRule="auto"/>
              <w:jc w:val="center"/>
              <w:rPr>
                <w:rFonts w:hint="default" w:ascii="Times New Roman" w:hAnsi="Times New Roman" w:cs="Times New Roman"/>
                <w:b/>
                <w:bCs/>
                <w:snapToGrid w:val="0"/>
                <w:spacing w:val="-10"/>
                <w:kern w:val="24"/>
                <w:szCs w:val="21"/>
              </w:rPr>
            </w:pPr>
            <w:r>
              <w:rPr>
                <w:rFonts w:hint="default" w:ascii="Times New Roman" w:hAnsi="Times New Roman" w:cs="Times New Roman"/>
                <w:b/>
                <w:bCs/>
                <w:snapToGrid w:val="0"/>
                <w:spacing w:val="-10"/>
                <w:kern w:val="24"/>
                <w:szCs w:val="21"/>
              </w:rPr>
              <w:t>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01" w:type="dxa"/>
            <w:gridSpan w:val="2"/>
            <w:vAlign w:val="center"/>
          </w:tcPr>
          <w:p>
            <w:pPr>
              <w:jc w:val="center"/>
              <w:rPr>
                <w:rFonts w:hint="default" w:ascii="Times New Roman" w:hAnsi="Times New Roman" w:cs="Times New Roman"/>
                <w:snapToGrid w:val="0"/>
                <w:spacing w:val="-10"/>
                <w:kern w:val="24"/>
                <w:szCs w:val="21"/>
              </w:rPr>
            </w:pPr>
            <w:r>
              <w:rPr>
                <w:rFonts w:hint="default" w:ascii="Times New Roman" w:hAnsi="Times New Roman" w:cs="Times New Roman"/>
                <w:snapToGrid w:val="0"/>
                <w:spacing w:val="-10"/>
                <w:kern w:val="24"/>
                <w:szCs w:val="21"/>
              </w:rPr>
              <w:t>建设规模</w:t>
            </w:r>
          </w:p>
        </w:tc>
        <w:tc>
          <w:tcPr>
            <w:tcW w:w="2671" w:type="dxa"/>
            <w:vAlign w:val="center"/>
          </w:tcPr>
          <w:p>
            <w:pPr>
              <w:jc w:val="left"/>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lang w:eastAsia="zh-CN"/>
              </w:rPr>
              <w:t>年产8000樘非标门</w:t>
            </w:r>
          </w:p>
        </w:tc>
        <w:tc>
          <w:tcPr>
            <w:tcW w:w="2896" w:type="dxa"/>
            <w:vAlign w:val="center"/>
          </w:tcPr>
          <w:p>
            <w:pPr>
              <w:jc w:val="left"/>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lang w:eastAsia="zh-CN"/>
              </w:rPr>
              <w:t>年产8000樘非标门</w:t>
            </w:r>
          </w:p>
        </w:tc>
        <w:tc>
          <w:tcPr>
            <w:tcW w:w="1039" w:type="dxa"/>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73" w:type="dxa"/>
            <w:vMerge w:val="restart"/>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napToGrid w:val="0"/>
                <w:spacing w:val="-10"/>
                <w:kern w:val="24"/>
                <w:szCs w:val="21"/>
              </w:rPr>
              <w:t>主体工程</w:t>
            </w:r>
          </w:p>
        </w:tc>
        <w:tc>
          <w:tcPr>
            <w:tcW w:w="1228" w:type="dxa"/>
            <w:vAlign w:val="center"/>
          </w:tcPr>
          <w:p>
            <w:pPr>
              <w:jc w:val="center"/>
              <w:rPr>
                <w:rFonts w:hint="default" w:ascii="Times New Roman" w:hAnsi="Times New Roman" w:cs="Times New Roman" w:eastAsiaTheme="minorEastAsia"/>
                <w:snapToGrid w:val="0"/>
                <w:spacing w:val="-10"/>
                <w:kern w:val="24"/>
                <w:szCs w:val="21"/>
                <w:lang w:val="en-US" w:eastAsia="zh-CN"/>
              </w:rPr>
            </w:pPr>
            <w:r>
              <w:rPr>
                <w:rFonts w:hint="eastAsia" w:ascii="Times New Roman" w:hAnsi="Times New Roman" w:cs="Times New Roman"/>
                <w:snapToGrid w:val="0"/>
                <w:spacing w:val="-10"/>
                <w:kern w:val="24"/>
                <w:szCs w:val="21"/>
                <w:lang w:val="en-US" w:eastAsia="zh-CN"/>
              </w:rPr>
              <w:t>厂房1F</w:t>
            </w:r>
          </w:p>
        </w:tc>
        <w:tc>
          <w:tcPr>
            <w:tcW w:w="2671" w:type="dxa"/>
            <w:vAlign w:val="center"/>
          </w:tcPr>
          <w:p>
            <w:pPr>
              <w:jc w:val="left"/>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 w:val="21"/>
                <w:szCs w:val="21"/>
                <w:lang w:val="en-US" w:eastAsia="zh-CN"/>
              </w:rPr>
              <w:t>主要为机加工车间</w:t>
            </w:r>
            <w:r>
              <w:rPr>
                <w:rFonts w:hint="eastAsia" w:ascii="Times New Roman" w:hAnsi="Times New Roman" w:eastAsia="宋体" w:cs="Times New Roman"/>
                <w:color w:val="auto"/>
                <w:sz w:val="21"/>
                <w:szCs w:val="21"/>
                <w:lang w:val="en-US" w:eastAsia="zh-CN"/>
              </w:rPr>
              <w:t>、喷塑</w:t>
            </w:r>
            <w:r>
              <w:rPr>
                <w:rFonts w:hint="default" w:ascii="Times New Roman" w:hAnsi="Times New Roman" w:eastAsia="宋体" w:cs="Times New Roman"/>
                <w:color w:val="auto"/>
                <w:sz w:val="21"/>
                <w:szCs w:val="21"/>
                <w:lang w:val="en-US" w:eastAsia="zh-CN"/>
              </w:rPr>
              <w:t>车间</w:t>
            </w:r>
            <w:r>
              <w:rPr>
                <w:rFonts w:hint="eastAsia" w:ascii="Times New Roman" w:hAnsi="Times New Roman" w:eastAsia="宋体" w:cs="Times New Roman"/>
                <w:color w:val="auto"/>
                <w:sz w:val="21"/>
                <w:szCs w:val="21"/>
                <w:lang w:val="en-US" w:eastAsia="zh-CN"/>
              </w:rPr>
              <w:t>、喷漆</w:t>
            </w:r>
            <w:r>
              <w:rPr>
                <w:rFonts w:hint="default" w:ascii="Times New Roman" w:hAnsi="Times New Roman" w:eastAsia="宋体" w:cs="Times New Roman"/>
                <w:color w:val="auto"/>
                <w:sz w:val="21"/>
                <w:szCs w:val="21"/>
                <w:lang w:val="en-US" w:eastAsia="zh-CN"/>
              </w:rPr>
              <w:t>车间</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sz w:val="21"/>
                <w:szCs w:val="21"/>
                <w:lang w:val="en-US" w:eastAsia="zh-CN"/>
              </w:rPr>
              <w:t>调漆房、胶合车间、原料仓库、半成品仓库、</w:t>
            </w:r>
            <w:r>
              <w:rPr>
                <w:rFonts w:hint="default" w:ascii="Times New Roman" w:hAnsi="Times New Roman" w:eastAsia="宋体" w:cs="Times New Roman"/>
                <w:color w:val="auto"/>
                <w:sz w:val="21"/>
                <w:szCs w:val="21"/>
                <w:lang w:eastAsia="zh-CN"/>
              </w:rPr>
              <w:t>一般固废仓库</w:t>
            </w:r>
            <w:r>
              <w:rPr>
                <w:rFonts w:hint="eastAsia" w:ascii="Times New Roman" w:hAnsi="Times New Roman" w:eastAsia="宋体" w:cs="Times New Roman"/>
                <w:color w:val="auto"/>
                <w:sz w:val="21"/>
                <w:szCs w:val="21"/>
                <w:lang w:val="en-US" w:eastAsia="zh-CN"/>
              </w:rPr>
              <w:t>及危废仓库</w:t>
            </w:r>
          </w:p>
        </w:tc>
        <w:tc>
          <w:tcPr>
            <w:tcW w:w="2896" w:type="dxa"/>
            <w:vAlign w:val="center"/>
          </w:tcPr>
          <w:p>
            <w:pPr>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东侧厂房1F为喷塑</w:t>
            </w:r>
            <w:r>
              <w:rPr>
                <w:rFonts w:hint="default" w:ascii="Times New Roman" w:hAnsi="Times New Roman" w:eastAsia="宋体" w:cs="Times New Roman"/>
                <w:color w:val="auto"/>
                <w:sz w:val="21"/>
                <w:szCs w:val="21"/>
                <w:lang w:val="en-US" w:eastAsia="zh-CN"/>
              </w:rPr>
              <w:t>车间</w:t>
            </w:r>
            <w:r>
              <w:rPr>
                <w:rFonts w:hint="eastAsia" w:ascii="Times New Roman" w:hAnsi="Times New Roman" w:eastAsia="宋体" w:cs="Times New Roman"/>
                <w:color w:val="auto"/>
                <w:sz w:val="21"/>
                <w:szCs w:val="21"/>
                <w:lang w:val="en-US" w:eastAsia="zh-CN"/>
              </w:rPr>
              <w:t>、喷漆</w:t>
            </w:r>
            <w:r>
              <w:rPr>
                <w:rFonts w:hint="default" w:ascii="Times New Roman" w:hAnsi="Times New Roman" w:eastAsia="宋体" w:cs="Times New Roman"/>
                <w:color w:val="auto"/>
                <w:sz w:val="21"/>
                <w:szCs w:val="21"/>
                <w:lang w:val="en-US" w:eastAsia="zh-CN"/>
              </w:rPr>
              <w:t>车间</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sz w:val="21"/>
                <w:szCs w:val="21"/>
                <w:lang w:val="en-US" w:eastAsia="zh-CN"/>
              </w:rPr>
              <w:t>调漆房、焊接车间、胶合车间；</w:t>
            </w:r>
          </w:p>
          <w:p>
            <w:pPr>
              <w:jc w:val="left"/>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西侧厂房1F为</w:t>
            </w:r>
            <w:r>
              <w:rPr>
                <w:rFonts w:hint="default" w:ascii="Times New Roman" w:hAnsi="Times New Roman" w:eastAsia="宋体" w:cs="Times New Roman"/>
                <w:color w:val="auto"/>
                <w:sz w:val="21"/>
                <w:szCs w:val="21"/>
                <w:lang w:val="en-US" w:eastAsia="zh-CN"/>
              </w:rPr>
              <w:t>机加工车间</w:t>
            </w:r>
            <w:r>
              <w:rPr>
                <w:rFonts w:hint="eastAsia" w:ascii="Times New Roman" w:hAnsi="Times New Roman" w:eastAsia="宋体" w:cs="Times New Roman"/>
                <w:color w:val="auto"/>
                <w:sz w:val="21"/>
                <w:szCs w:val="21"/>
                <w:lang w:val="en-US" w:eastAsia="zh-CN"/>
              </w:rPr>
              <w:t>、原料仓库、半成品仓库；</w:t>
            </w:r>
            <w:r>
              <w:rPr>
                <w:rFonts w:hint="default" w:ascii="Times New Roman" w:hAnsi="Times New Roman" w:eastAsia="宋体" w:cs="Times New Roman"/>
                <w:color w:val="auto"/>
                <w:sz w:val="21"/>
                <w:szCs w:val="21"/>
                <w:lang w:eastAsia="zh-CN"/>
              </w:rPr>
              <w:t>一般固废仓库</w:t>
            </w:r>
            <w:r>
              <w:rPr>
                <w:rFonts w:hint="eastAsia" w:ascii="Times New Roman" w:hAnsi="Times New Roman" w:eastAsia="宋体" w:cs="Times New Roman"/>
                <w:color w:val="auto"/>
                <w:sz w:val="21"/>
                <w:szCs w:val="21"/>
                <w:lang w:val="en-US" w:eastAsia="zh-CN"/>
              </w:rPr>
              <w:t>位于厂区南侧，危废仓库位于厂区东南侧，约40m</w:t>
            </w:r>
            <w:r>
              <w:rPr>
                <w:rFonts w:hint="eastAsia" w:ascii="Times New Roman" w:hAnsi="Times New Roman" w:eastAsia="宋体" w:cs="Times New Roman"/>
                <w:color w:val="auto"/>
                <w:sz w:val="21"/>
                <w:szCs w:val="21"/>
                <w:vertAlign w:val="superscript"/>
                <w:lang w:val="en-US" w:eastAsia="zh-CN"/>
              </w:rPr>
              <w:t>2</w:t>
            </w:r>
          </w:p>
        </w:tc>
        <w:tc>
          <w:tcPr>
            <w:tcW w:w="1039" w:type="dxa"/>
            <w:vMerge w:val="restart"/>
            <w:vAlign w:val="center"/>
          </w:tcPr>
          <w:p>
            <w:pPr>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焊接车间从厂房2F移至厂房1F，其他建设情况未发生变化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73" w:type="dxa"/>
            <w:vMerge w:val="continue"/>
            <w:vAlign w:val="center"/>
          </w:tcPr>
          <w:p>
            <w:pPr>
              <w:jc w:val="left"/>
              <w:rPr>
                <w:rFonts w:hint="default" w:ascii="Times New Roman" w:hAnsi="Times New Roman" w:cs="Times New Roman"/>
              </w:rPr>
            </w:pPr>
          </w:p>
        </w:tc>
        <w:tc>
          <w:tcPr>
            <w:tcW w:w="1228" w:type="dxa"/>
            <w:vAlign w:val="center"/>
          </w:tcPr>
          <w:p>
            <w:pPr>
              <w:jc w:val="center"/>
              <w:rPr>
                <w:rFonts w:hint="default" w:ascii="Times New Roman" w:hAnsi="Times New Roman" w:cs="Times New Roman" w:eastAsiaTheme="minorEastAsia"/>
                <w:snapToGrid w:val="0"/>
                <w:spacing w:val="-10"/>
                <w:kern w:val="24"/>
                <w:sz w:val="21"/>
                <w:szCs w:val="21"/>
                <w:lang w:val="en-US" w:eastAsia="zh-CN" w:bidi="ar-SA"/>
              </w:rPr>
            </w:pPr>
            <w:r>
              <w:rPr>
                <w:rFonts w:hint="eastAsia" w:ascii="Times New Roman" w:hAnsi="Times New Roman" w:cs="Times New Roman"/>
                <w:snapToGrid w:val="0"/>
                <w:spacing w:val="-10"/>
                <w:kern w:val="24"/>
                <w:szCs w:val="21"/>
                <w:lang w:val="en-US" w:eastAsia="zh-CN"/>
              </w:rPr>
              <w:t>厂房2F</w:t>
            </w:r>
          </w:p>
        </w:tc>
        <w:tc>
          <w:tcPr>
            <w:tcW w:w="2671" w:type="dxa"/>
            <w:vAlign w:val="center"/>
          </w:tcPr>
          <w:p>
            <w:pPr>
              <w:jc w:val="left"/>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 w:val="21"/>
                <w:szCs w:val="21"/>
                <w:lang w:val="en-US" w:eastAsia="zh-CN"/>
              </w:rPr>
              <w:t>主要为</w:t>
            </w:r>
            <w:r>
              <w:rPr>
                <w:rFonts w:hint="eastAsia" w:ascii="Times New Roman" w:hAnsi="Times New Roman" w:eastAsia="宋体" w:cs="Times New Roman"/>
                <w:color w:val="auto"/>
                <w:sz w:val="21"/>
                <w:szCs w:val="21"/>
                <w:lang w:val="en-US" w:eastAsia="zh-CN"/>
              </w:rPr>
              <w:t>焊接车间、干拉丝车间及成品仓库</w:t>
            </w:r>
          </w:p>
        </w:tc>
        <w:tc>
          <w:tcPr>
            <w:tcW w:w="2896" w:type="dxa"/>
            <w:vAlign w:val="center"/>
          </w:tcPr>
          <w:p>
            <w:pPr>
              <w:jc w:val="left"/>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东侧厂房2F</w:t>
            </w:r>
            <w:r>
              <w:rPr>
                <w:rFonts w:hint="default" w:ascii="Times New Roman" w:hAnsi="Times New Roman" w:eastAsia="宋体" w:cs="Times New Roman"/>
                <w:color w:val="auto"/>
                <w:sz w:val="21"/>
                <w:szCs w:val="21"/>
                <w:lang w:val="en-US" w:eastAsia="zh-CN"/>
              </w:rPr>
              <w:t>为</w:t>
            </w:r>
            <w:r>
              <w:rPr>
                <w:rFonts w:hint="eastAsia" w:ascii="Times New Roman" w:hAnsi="Times New Roman" w:eastAsia="宋体" w:cs="Times New Roman"/>
                <w:color w:val="auto"/>
                <w:sz w:val="21"/>
                <w:szCs w:val="21"/>
                <w:lang w:val="en-US" w:eastAsia="zh-CN"/>
              </w:rPr>
              <w:t>干拉丝车间和废气处理设施，西侧厂房2F为成品仓库和办公区</w:t>
            </w:r>
          </w:p>
        </w:tc>
        <w:tc>
          <w:tcPr>
            <w:tcW w:w="1039" w:type="dxa"/>
            <w:vMerge w:val="continue"/>
            <w:vAlign w:val="center"/>
          </w:tcPr>
          <w:p>
            <w:pPr>
              <w:jc w:val="left"/>
              <w:rPr>
                <w:rFonts w:hint="default" w:ascii="Times New Roman" w:hAnsi="Times New Roman" w:eastAsia="宋体" w:cs="Times New Roman"/>
                <w:color w:val="000000"/>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restart"/>
            <w:vAlign w:val="center"/>
          </w:tcPr>
          <w:p>
            <w:pPr>
              <w:pStyle w:val="123"/>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228" w:type="dxa"/>
            <w:vAlign w:val="center"/>
          </w:tcPr>
          <w:p>
            <w:pPr>
              <w:jc w:val="center"/>
              <w:rPr>
                <w:rFonts w:hint="default" w:ascii="Times New Roman" w:hAnsi="Times New Roman" w:cs="Times New Roman"/>
                <w:snapToGrid w:val="0"/>
                <w:spacing w:val="-10"/>
                <w:kern w:val="24"/>
                <w:szCs w:val="21"/>
                <w:lang w:val="en-US" w:eastAsia="zh-CN"/>
              </w:rPr>
            </w:pPr>
            <w:r>
              <w:rPr>
                <w:rFonts w:hint="default" w:ascii="Times New Roman" w:hAnsi="Times New Roman" w:cs="Times New Roman"/>
                <w:snapToGrid w:val="0"/>
                <w:spacing w:val="-10"/>
                <w:kern w:val="24"/>
                <w:szCs w:val="21"/>
                <w:lang w:val="en-US" w:eastAsia="zh-CN"/>
              </w:rPr>
              <w:t>给水工程</w:t>
            </w:r>
          </w:p>
        </w:tc>
        <w:tc>
          <w:tcPr>
            <w:tcW w:w="2671" w:type="dxa"/>
            <w:vAlign w:val="center"/>
          </w:tcPr>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市政供水系统供给</w:t>
            </w:r>
          </w:p>
        </w:tc>
        <w:tc>
          <w:tcPr>
            <w:tcW w:w="2896" w:type="dxa"/>
            <w:vAlign w:val="center"/>
          </w:tcPr>
          <w:p>
            <w:pPr>
              <w:jc w:val="left"/>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lang w:val="en-US" w:eastAsia="zh-CN"/>
              </w:rPr>
              <w:t>市政供水系统供给</w:t>
            </w:r>
          </w:p>
        </w:tc>
        <w:tc>
          <w:tcPr>
            <w:tcW w:w="1039" w:type="dxa"/>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228" w:type="dxa"/>
            <w:vAlign w:val="center"/>
          </w:tcPr>
          <w:p>
            <w:pPr>
              <w:jc w:val="center"/>
              <w:rPr>
                <w:rFonts w:hint="default" w:ascii="Times New Roman" w:hAnsi="Times New Roman" w:cs="Times New Roman"/>
                <w:snapToGrid w:val="0"/>
                <w:spacing w:val="-10"/>
                <w:kern w:val="24"/>
                <w:szCs w:val="21"/>
                <w:lang w:val="en-US" w:eastAsia="zh-CN"/>
              </w:rPr>
            </w:pPr>
            <w:r>
              <w:rPr>
                <w:rFonts w:hint="default" w:ascii="Times New Roman" w:hAnsi="Times New Roman" w:cs="Times New Roman"/>
                <w:snapToGrid w:val="0"/>
                <w:spacing w:val="-10"/>
                <w:kern w:val="24"/>
                <w:szCs w:val="21"/>
                <w:lang w:val="en-US" w:eastAsia="zh-CN"/>
              </w:rPr>
              <w:t>排水工程</w:t>
            </w:r>
          </w:p>
        </w:tc>
        <w:tc>
          <w:tcPr>
            <w:tcW w:w="2671" w:type="dxa"/>
            <w:vAlign w:val="center"/>
          </w:tcPr>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实行雨污分流，雨水排入市政雨水管道，污水纳入园区管网</w:t>
            </w:r>
          </w:p>
        </w:tc>
        <w:tc>
          <w:tcPr>
            <w:tcW w:w="2896" w:type="dxa"/>
            <w:vAlign w:val="center"/>
          </w:tcPr>
          <w:p>
            <w:pPr>
              <w:keepNext w:val="0"/>
              <w:keepLines w:val="0"/>
              <w:widowControl/>
              <w:suppressLineNumbers w:val="0"/>
              <w:jc w:val="left"/>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
              </w:rPr>
              <w:t>雨污分流，雨水</w:t>
            </w:r>
            <w:r>
              <w:rPr>
                <w:rFonts w:hint="default" w:ascii="Times New Roman" w:hAnsi="Times New Roman" w:eastAsia="宋体" w:cs="Times New Roman"/>
                <w:color w:val="auto"/>
                <w:sz w:val="21"/>
                <w:szCs w:val="21"/>
                <w:lang w:val="en-US" w:eastAsia="zh-CN"/>
              </w:rPr>
              <w:t>排入市政雨水管道，</w:t>
            </w:r>
            <w:r>
              <w:rPr>
                <w:rFonts w:hint="eastAsia" w:ascii="Times New Roman" w:hAnsi="Times New Roman" w:eastAsia="宋体" w:cs="Times New Roman"/>
                <w:color w:val="auto"/>
                <w:sz w:val="21"/>
                <w:szCs w:val="21"/>
                <w:lang w:val="en-US" w:eastAsia="zh-CN"/>
              </w:rPr>
              <w:t>生产废水经厂内污水处理设施处理达标后与经化粪池预处理达标的生活污水一并排入市政污水管网</w:t>
            </w:r>
          </w:p>
        </w:tc>
        <w:tc>
          <w:tcPr>
            <w:tcW w:w="1039" w:type="dxa"/>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228" w:type="dxa"/>
            <w:vAlign w:val="center"/>
          </w:tcPr>
          <w:p>
            <w:pPr>
              <w:jc w:val="center"/>
              <w:rPr>
                <w:rFonts w:hint="default" w:ascii="Times New Roman" w:hAnsi="Times New Roman" w:cs="Times New Roman"/>
                <w:snapToGrid w:val="0"/>
                <w:spacing w:val="-10"/>
                <w:kern w:val="24"/>
                <w:szCs w:val="21"/>
                <w:lang w:val="en-US" w:eastAsia="zh-CN"/>
              </w:rPr>
            </w:pPr>
            <w:r>
              <w:rPr>
                <w:rFonts w:hint="default" w:ascii="Times New Roman" w:hAnsi="Times New Roman" w:cs="Times New Roman"/>
                <w:snapToGrid w:val="0"/>
                <w:spacing w:val="-10"/>
                <w:kern w:val="24"/>
                <w:szCs w:val="21"/>
                <w:lang w:val="en-US" w:eastAsia="zh-CN"/>
              </w:rPr>
              <w:t>供电工程</w:t>
            </w:r>
          </w:p>
        </w:tc>
        <w:tc>
          <w:tcPr>
            <w:tcW w:w="2671" w:type="dxa"/>
            <w:vAlign w:val="center"/>
          </w:tcPr>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由附近变电所供给，能够满足生产工艺设备要求的用电负荷</w:t>
            </w:r>
          </w:p>
        </w:tc>
        <w:tc>
          <w:tcPr>
            <w:tcW w:w="2896" w:type="dxa"/>
            <w:vAlign w:val="center"/>
          </w:tcPr>
          <w:p>
            <w:pPr>
              <w:keepNext w:val="0"/>
              <w:keepLines w:val="0"/>
              <w:widowControl/>
              <w:suppressLineNumbers w:val="0"/>
              <w:jc w:val="left"/>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由附近变电所供给</w:t>
            </w:r>
          </w:p>
        </w:tc>
        <w:tc>
          <w:tcPr>
            <w:tcW w:w="1039" w:type="dxa"/>
            <w:vAlign w:val="center"/>
          </w:tcPr>
          <w:p>
            <w:pPr>
              <w:spacing w:line="360" w:lineRule="auto"/>
              <w:jc w:val="center"/>
              <w:rPr>
                <w:rFonts w:hint="default" w:ascii="Times New Roman" w:hAnsi="Times New Roman" w:cs="Times New Roman"/>
                <w:snapToGrid w:val="0"/>
                <w:color w:val="auto"/>
                <w:spacing w:val="-10"/>
                <w:kern w:val="24"/>
                <w:szCs w:val="21"/>
                <w:lang w:val="en-US" w:eastAsia="zh-CN"/>
              </w:rPr>
            </w:pPr>
            <w:r>
              <w:rPr>
                <w:rFonts w:hint="default" w:ascii="Times New Roman" w:hAnsi="Times New Roman" w:cs="Times New Roman"/>
                <w:snapToGrid w:val="0"/>
                <w:color w:val="auto"/>
                <w:spacing w:val="-10"/>
                <w:kern w:val="24"/>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228" w:type="dxa"/>
            <w:vAlign w:val="center"/>
          </w:tcPr>
          <w:p>
            <w:pPr>
              <w:jc w:val="center"/>
              <w:rPr>
                <w:rFonts w:hint="default" w:ascii="Times New Roman" w:hAnsi="Times New Roman" w:cs="Times New Roman"/>
                <w:snapToGrid w:val="0"/>
                <w:spacing w:val="-10"/>
                <w:kern w:val="24"/>
                <w:szCs w:val="21"/>
                <w:lang w:val="en-US" w:eastAsia="zh-CN"/>
              </w:rPr>
            </w:pPr>
            <w:r>
              <w:rPr>
                <w:rFonts w:hint="default" w:ascii="Times New Roman" w:hAnsi="Times New Roman" w:cs="Times New Roman"/>
                <w:snapToGrid w:val="0"/>
                <w:spacing w:val="-10"/>
                <w:kern w:val="24"/>
                <w:szCs w:val="21"/>
                <w:lang w:val="en-US" w:eastAsia="zh-CN"/>
              </w:rPr>
              <w:t>其他工程</w:t>
            </w:r>
          </w:p>
        </w:tc>
        <w:tc>
          <w:tcPr>
            <w:tcW w:w="2671" w:type="dxa"/>
            <w:vAlign w:val="center"/>
          </w:tcPr>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消防设施等配套服务系统</w:t>
            </w:r>
          </w:p>
        </w:tc>
        <w:tc>
          <w:tcPr>
            <w:tcW w:w="2896" w:type="dxa"/>
            <w:vAlign w:val="center"/>
          </w:tcPr>
          <w:p>
            <w:pPr>
              <w:jc w:val="left"/>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消防设施等配套服务系统</w:t>
            </w:r>
          </w:p>
        </w:tc>
        <w:tc>
          <w:tcPr>
            <w:tcW w:w="1039" w:type="dxa"/>
            <w:vAlign w:val="center"/>
          </w:tcPr>
          <w:p>
            <w:pPr>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restart"/>
            <w:vAlign w:val="center"/>
          </w:tcPr>
          <w:p>
            <w:pPr>
              <w:widowControl/>
              <w:adjustRightInd w:val="0"/>
              <w:snapToGrid w:val="0"/>
              <w:ind w:right="-21" w:rightChars="-10"/>
              <w:jc w:val="center"/>
              <w:rPr>
                <w:rFonts w:hint="default" w:ascii="Times New Roman" w:hAnsi="Times New Roman" w:cs="Times New Roman"/>
                <w:kern w:val="0"/>
                <w:szCs w:val="21"/>
              </w:rPr>
            </w:pPr>
            <w:r>
              <w:rPr>
                <w:rFonts w:hint="default" w:ascii="Times New Roman" w:hAnsi="Times New Roman" w:cs="Times New Roman"/>
                <w:kern w:val="0"/>
                <w:szCs w:val="21"/>
              </w:rPr>
              <w:t>环保</w:t>
            </w:r>
          </w:p>
          <w:p>
            <w:pPr>
              <w:adjustRightInd w:val="0"/>
              <w:snapToGrid w:val="0"/>
              <w:ind w:right="-21" w:rightChars="-10"/>
              <w:jc w:val="center"/>
              <w:rPr>
                <w:rFonts w:hint="default" w:ascii="Times New Roman" w:hAnsi="Times New Roman" w:cs="Times New Roman"/>
                <w:kern w:val="0"/>
                <w:szCs w:val="21"/>
              </w:rPr>
            </w:pPr>
            <w:r>
              <w:rPr>
                <w:rFonts w:hint="default" w:ascii="Times New Roman" w:hAnsi="Times New Roman" w:cs="Times New Roman"/>
                <w:kern w:val="0"/>
                <w:szCs w:val="21"/>
              </w:rPr>
              <w:t>工程</w:t>
            </w:r>
          </w:p>
        </w:tc>
        <w:tc>
          <w:tcPr>
            <w:tcW w:w="1228" w:type="dxa"/>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rPr>
              <w:t>废水</w:t>
            </w:r>
            <w:r>
              <w:rPr>
                <w:rFonts w:hint="default" w:ascii="Times New Roman" w:hAnsi="Times New Roman" w:cs="Times New Roman"/>
                <w:lang w:val="en-US" w:eastAsia="zh-CN"/>
              </w:rPr>
              <w:t>处理</w:t>
            </w:r>
          </w:p>
        </w:tc>
        <w:tc>
          <w:tcPr>
            <w:tcW w:w="2671" w:type="dxa"/>
            <w:vAlign w:val="center"/>
          </w:tcPr>
          <w:p>
            <w:pPr>
              <w:keepNext w:val="0"/>
              <w:keepLines w:val="0"/>
              <w:widowControl/>
              <w:suppressLineNumbers w:val="0"/>
              <w:jc w:val="left"/>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本项目生产废水经过污水处理设施处理，生活污水经厂区化粪池预处理，分别达到《污水综合排放标准》（GB8978-1996）中的三级标准后，汇同后纳管通过永康市城市污水处理厂集中处理，CODcr、氨氮、总氮、总磷指标达到浙江省《城镇污水处理厂主要水污染物排放标准》（DB33/2169-2018）中表1标准；其余指标达到《城镇污水处理厂污染物排放标准》（GB18918-2002）中的一级A标准后排入永康江</w:t>
            </w:r>
          </w:p>
        </w:tc>
        <w:tc>
          <w:tcPr>
            <w:tcW w:w="2896" w:type="dxa"/>
            <w:vAlign w:val="center"/>
          </w:tcPr>
          <w:p>
            <w:pPr>
              <w:jc w:val="left"/>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本项目生产废水经过</w:t>
            </w:r>
            <w:r>
              <w:rPr>
                <w:rFonts w:hint="eastAsia" w:ascii="Times New Roman" w:hAnsi="Times New Roman" w:eastAsia="宋体" w:cs="Times New Roman"/>
                <w:color w:val="000000"/>
                <w:kern w:val="0"/>
                <w:sz w:val="21"/>
                <w:szCs w:val="21"/>
                <w:lang w:val="en-US" w:eastAsia="zh-CN" w:bidi="ar"/>
              </w:rPr>
              <w:t>厂区</w:t>
            </w:r>
            <w:r>
              <w:rPr>
                <w:rFonts w:hint="default" w:ascii="Times New Roman" w:hAnsi="Times New Roman" w:eastAsia="宋体" w:cs="Times New Roman"/>
                <w:color w:val="000000"/>
                <w:kern w:val="0"/>
                <w:sz w:val="21"/>
                <w:szCs w:val="21"/>
                <w:lang w:val="en-US" w:eastAsia="zh-CN" w:bidi="ar"/>
              </w:rPr>
              <w:t>污水处理设施处理，生活污水经厂区化粪池预处理，分别达到《污水综合排放标准》（GB8978-1996）中的三级标准后，汇同后纳管通过永康市城市污水处理厂集中处理，</w:t>
            </w:r>
            <w:r>
              <w:rPr>
                <w:rFonts w:hint="eastAsia" w:ascii="Times New Roman" w:hAnsi="Times New Roman" w:eastAsia="宋体" w:cs="Times New Roman"/>
                <w:color w:val="000000"/>
                <w:kern w:val="0"/>
                <w:sz w:val="21"/>
                <w:szCs w:val="21"/>
                <w:lang w:val="en-US" w:eastAsia="zh-CN" w:bidi="ar"/>
              </w:rPr>
              <w:t>污水纳管标准执行《污水综合排放标准》（GB8978-1996）三级标准，其中氨氮、总磷执行《工业企业废水氮、磷污染物间接排放限值》（DB33/887-2013）中相关限值要求</w:t>
            </w:r>
          </w:p>
        </w:tc>
        <w:tc>
          <w:tcPr>
            <w:tcW w:w="1039" w:type="dxa"/>
            <w:vAlign w:val="center"/>
          </w:tcPr>
          <w:p>
            <w:pPr>
              <w:jc w:val="center"/>
              <w:rPr>
                <w:rFonts w:hint="default" w:ascii="Times New Roman" w:hAnsi="Times New Roman" w:eastAsia="宋体" w:cs="Times New Roman"/>
                <w:color w:val="000000"/>
                <w:kern w:val="0"/>
                <w:sz w:val="21"/>
                <w:szCs w:val="21"/>
                <w:lang w:val="en-US" w:eastAsia="zh-CN" w:bidi="ar"/>
              </w:rPr>
            </w:pPr>
            <w:r>
              <w:rPr>
                <w:rFonts w:hint="eastAsia"/>
                <w:lang w:val="en-US" w:eastAsia="zh-CN"/>
              </w:rPr>
              <w:t>不一致，经原环评单位出具的《废水处理设施情况说明》确认现有处理设施可以满足废水处理要求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pPr>
              <w:widowControl/>
              <w:adjustRightInd w:val="0"/>
              <w:snapToGrid w:val="0"/>
              <w:ind w:right="-21" w:rightChars="-10"/>
              <w:jc w:val="center"/>
              <w:rPr>
                <w:rFonts w:hint="default" w:ascii="Times New Roman" w:hAnsi="Times New Roman" w:cs="Times New Roman"/>
                <w:kern w:val="0"/>
                <w:szCs w:val="21"/>
              </w:rPr>
            </w:pPr>
          </w:p>
        </w:tc>
        <w:tc>
          <w:tcPr>
            <w:tcW w:w="1228" w:type="dxa"/>
            <w:vMerge w:val="restart"/>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rPr>
              <w:t>废气</w:t>
            </w:r>
            <w:r>
              <w:rPr>
                <w:rFonts w:hint="default" w:ascii="Times New Roman" w:hAnsi="Times New Roman" w:cs="Times New Roman"/>
                <w:lang w:val="en-US" w:eastAsia="zh-CN"/>
              </w:rPr>
              <w:t>处理</w:t>
            </w:r>
          </w:p>
        </w:tc>
        <w:tc>
          <w:tcPr>
            <w:tcW w:w="2671"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焊接工序</w:t>
            </w:r>
            <w:r>
              <w:rPr>
                <w:rFonts w:hint="eastAsia" w:ascii="Times New Roman" w:hAnsi="Times New Roman" w:eastAsia="宋体" w:cs="Times New Roman"/>
                <w:color w:val="000000"/>
                <w:kern w:val="0"/>
                <w:sz w:val="21"/>
                <w:szCs w:val="21"/>
                <w:lang w:val="en-US" w:eastAsia="zh-CN" w:bidi="ar"/>
              </w:rPr>
              <w:t>废气</w:t>
            </w:r>
            <w:r>
              <w:rPr>
                <w:rFonts w:hint="default" w:ascii="Times New Roman" w:hAnsi="Times New Roman" w:eastAsia="宋体" w:cs="Times New Roman"/>
                <w:color w:val="000000"/>
                <w:kern w:val="0"/>
                <w:sz w:val="21"/>
                <w:szCs w:val="21"/>
                <w:lang w:val="en-US" w:eastAsia="zh-CN" w:bidi="ar"/>
              </w:rPr>
              <w:t>无组织排放，加强通风处理</w:t>
            </w:r>
          </w:p>
        </w:tc>
        <w:tc>
          <w:tcPr>
            <w:tcW w:w="2896" w:type="dxa"/>
            <w:vAlign w:val="center"/>
          </w:tcPr>
          <w:p>
            <w:pPr>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焊接工序废气无组织排放，车间内设有移动式排风扇</w:t>
            </w:r>
          </w:p>
        </w:tc>
        <w:tc>
          <w:tcPr>
            <w:tcW w:w="1039" w:type="dxa"/>
            <w:vAlign w:val="center"/>
          </w:tcPr>
          <w:p>
            <w:pPr>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pPr>
              <w:widowControl/>
              <w:adjustRightInd w:val="0"/>
              <w:snapToGrid w:val="0"/>
              <w:ind w:right="-21" w:rightChars="-10"/>
              <w:jc w:val="center"/>
              <w:rPr>
                <w:rFonts w:hint="default" w:ascii="Times New Roman" w:hAnsi="Times New Roman" w:cs="Times New Roman"/>
                <w:kern w:val="0"/>
                <w:szCs w:val="21"/>
              </w:rPr>
            </w:pPr>
          </w:p>
        </w:tc>
        <w:tc>
          <w:tcPr>
            <w:tcW w:w="1228" w:type="dxa"/>
            <w:vMerge w:val="continue"/>
            <w:vAlign w:val="center"/>
          </w:tcPr>
          <w:p>
            <w:pPr>
              <w:jc w:val="center"/>
              <w:rPr>
                <w:rFonts w:hint="default" w:ascii="Times New Roman" w:hAnsi="Times New Roman" w:cs="Times New Roman" w:eastAsiaTheme="minorEastAsia"/>
                <w:lang w:val="en-US" w:eastAsia="zh-CN"/>
              </w:rPr>
            </w:pPr>
          </w:p>
        </w:tc>
        <w:tc>
          <w:tcPr>
            <w:tcW w:w="2671"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胶合工序废气</w:t>
            </w:r>
            <w:r>
              <w:rPr>
                <w:rFonts w:hint="default" w:ascii="Times New Roman" w:hAnsi="Times New Roman" w:eastAsia="宋体" w:cs="Times New Roman"/>
                <w:color w:val="000000"/>
                <w:kern w:val="0"/>
                <w:sz w:val="21"/>
                <w:szCs w:val="21"/>
                <w:lang w:val="en-US" w:eastAsia="zh-CN" w:bidi="ar"/>
              </w:rPr>
              <w:t>无组织排放，加强通风处理</w:t>
            </w:r>
          </w:p>
        </w:tc>
        <w:tc>
          <w:tcPr>
            <w:tcW w:w="2896" w:type="dxa"/>
            <w:vAlign w:val="center"/>
          </w:tcPr>
          <w:p>
            <w:pPr>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000000"/>
                <w:kern w:val="0"/>
                <w:sz w:val="21"/>
                <w:szCs w:val="21"/>
                <w:lang w:val="en-US" w:eastAsia="zh-CN" w:bidi="ar"/>
              </w:rPr>
              <w:t>胶合工序废气无组织排放，车间内设有移动式排风扇</w:t>
            </w:r>
          </w:p>
        </w:tc>
        <w:tc>
          <w:tcPr>
            <w:tcW w:w="1039" w:type="dxa"/>
            <w:vAlign w:val="center"/>
          </w:tcPr>
          <w:p>
            <w:pPr>
              <w:spacing w:line="360" w:lineRule="auto"/>
              <w:jc w:val="center"/>
              <w:rPr>
                <w:rFonts w:hint="default" w:ascii="Times New Roman" w:hAnsi="Times New Roman" w:cs="Times New Roman"/>
                <w:snapToGrid w:val="0"/>
                <w:color w:val="auto"/>
                <w:spacing w:val="-10"/>
                <w:kern w:val="24"/>
                <w:szCs w:val="21"/>
                <w:lang w:val="en-US" w:eastAsia="zh-CN"/>
              </w:rPr>
            </w:pPr>
            <w:r>
              <w:rPr>
                <w:rFonts w:hint="default" w:ascii="Times New Roman" w:hAnsi="Times New Roman" w:cs="Times New Roman"/>
                <w:snapToGrid w:val="0"/>
                <w:color w:val="auto"/>
                <w:spacing w:val="-10"/>
                <w:kern w:val="24"/>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pPr>
              <w:widowControl/>
              <w:adjustRightInd w:val="0"/>
              <w:snapToGrid w:val="0"/>
              <w:ind w:right="-21" w:rightChars="-10"/>
              <w:jc w:val="center"/>
              <w:rPr>
                <w:rFonts w:hint="default" w:ascii="Times New Roman" w:hAnsi="Times New Roman" w:cs="Times New Roman"/>
                <w:kern w:val="0"/>
                <w:szCs w:val="21"/>
              </w:rPr>
            </w:pPr>
          </w:p>
        </w:tc>
        <w:tc>
          <w:tcPr>
            <w:tcW w:w="1228" w:type="dxa"/>
            <w:vMerge w:val="continue"/>
            <w:vAlign w:val="center"/>
          </w:tcPr>
          <w:p>
            <w:pPr>
              <w:jc w:val="center"/>
              <w:rPr>
                <w:rFonts w:hint="default" w:ascii="Times New Roman" w:hAnsi="Times New Roman" w:cs="Times New Roman" w:eastAsiaTheme="minorEastAsia"/>
                <w:lang w:val="en-US" w:eastAsia="zh-CN"/>
              </w:rPr>
            </w:pPr>
          </w:p>
        </w:tc>
        <w:tc>
          <w:tcPr>
            <w:tcW w:w="2671"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喷漆废气先经水帘除漆雾，再与</w:t>
            </w:r>
            <w:r>
              <w:rPr>
                <w:rFonts w:hint="eastAsia" w:ascii="Times New Roman" w:hAnsi="Times New Roman" w:eastAsia="宋体" w:cs="Times New Roman"/>
                <w:color w:val="000000"/>
                <w:kern w:val="0"/>
                <w:sz w:val="21"/>
                <w:szCs w:val="21"/>
                <w:lang w:val="en-US" w:eastAsia="zh-CN" w:bidi="ar"/>
              </w:rPr>
              <w:t>调漆废气、烘干</w:t>
            </w:r>
            <w:r>
              <w:rPr>
                <w:rFonts w:hint="default" w:ascii="Times New Roman" w:hAnsi="Times New Roman" w:eastAsia="宋体" w:cs="Times New Roman"/>
                <w:color w:val="000000"/>
                <w:kern w:val="0"/>
                <w:sz w:val="21"/>
                <w:szCs w:val="21"/>
                <w:lang w:val="en-US" w:eastAsia="zh-CN" w:bidi="ar"/>
              </w:rPr>
              <w:t>废气</w:t>
            </w:r>
            <w:r>
              <w:rPr>
                <w:rFonts w:hint="eastAsia" w:ascii="Times New Roman" w:hAnsi="Times New Roman" w:eastAsia="宋体" w:cs="Times New Roman"/>
                <w:color w:val="000000"/>
                <w:kern w:val="0"/>
                <w:sz w:val="21"/>
                <w:szCs w:val="21"/>
                <w:lang w:val="en-US" w:eastAsia="zh-CN" w:bidi="ar"/>
              </w:rPr>
              <w:t>及固化废气</w:t>
            </w:r>
            <w:r>
              <w:rPr>
                <w:rFonts w:hint="default" w:ascii="Times New Roman" w:hAnsi="Times New Roman" w:eastAsia="宋体" w:cs="Times New Roman"/>
                <w:color w:val="000000"/>
                <w:kern w:val="0"/>
                <w:sz w:val="21"/>
                <w:szCs w:val="21"/>
                <w:lang w:val="en-US" w:eastAsia="zh-CN" w:bidi="ar"/>
              </w:rPr>
              <w:t>一并接入“水旋塔+干式过滤+活性炭吸附+脱附+催化燃烧处理装置”处理后引至不低于15m高排气筒（DA00</w:t>
            </w: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）排放；</w:t>
            </w:r>
          </w:p>
        </w:tc>
        <w:tc>
          <w:tcPr>
            <w:tcW w:w="2896"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喷漆废气经水帘除漆雾，再与</w:t>
            </w:r>
            <w:r>
              <w:rPr>
                <w:rFonts w:hint="eastAsia" w:ascii="Times New Roman" w:hAnsi="Times New Roman" w:eastAsia="宋体" w:cs="Times New Roman"/>
                <w:color w:val="000000"/>
                <w:kern w:val="0"/>
                <w:sz w:val="21"/>
                <w:szCs w:val="21"/>
                <w:lang w:val="en-US" w:eastAsia="zh-CN" w:bidi="ar"/>
              </w:rPr>
              <w:t>调漆废气、烘干</w:t>
            </w:r>
            <w:r>
              <w:rPr>
                <w:rFonts w:hint="default" w:ascii="Times New Roman" w:hAnsi="Times New Roman" w:eastAsia="宋体" w:cs="Times New Roman"/>
                <w:color w:val="000000"/>
                <w:kern w:val="0"/>
                <w:sz w:val="21"/>
                <w:szCs w:val="21"/>
                <w:lang w:val="en-US" w:eastAsia="zh-CN" w:bidi="ar"/>
              </w:rPr>
              <w:t>废气</w:t>
            </w:r>
            <w:r>
              <w:rPr>
                <w:rFonts w:hint="eastAsia" w:ascii="Times New Roman" w:hAnsi="Times New Roman" w:eastAsia="宋体" w:cs="Times New Roman"/>
                <w:color w:val="000000"/>
                <w:kern w:val="0"/>
                <w:sz w:val="21"/>
                <w:szCs w:val="21"/>
                <w:lang w:val="en-US" w:eastAsia="zh-CN" w:bidi="ar"/>
              </w:rPr>
              <w:t>及固化废气、天然气燃烧废气</w:t>
            </w:r>
            <w:r>
              <w:rPr>
                <w:rFonts w:hint="default" w:ascii="Times New Roman" w:hAnsi="Times New Roman" w:eastAsia="宋体" w:cs="Times New Roman"/>
                <w:color w:val="000000"/>
                <w:kern w:val="0"/>
                <w:sz w:val="21"/>
                <w:szCs w:val="21"/>
                <w:lang w:val="en-US" w:eastAsia="zh-CN" w:bidi="ar"/>
              </w:rPr>
              <w:t>一并接入“水旋塔+干式过滤+活性炭吸附+脱附+催化燃烧处理装置”处理后引至15m高排气筒（DA00</w:t>
            </w: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）排放；</w:t>
            </w:r>
          </w:p>
        </w:tc>
        <w:tc>
          <w:tcPr>
            <w:tcW w:w="1039" w:type="dxa"/>
            <w:vAlign w:val="center"/>
          </w:tcPr>
          <w:p>
            <w:pPr>
              <w:spacing w:line="360" w:lineRule="auto"/>
              <w:jc w:val="center"/>
              <w:rPr>
                <w:rFonts w:hint="default" w:ascii="Times New Roman" w:hAnsi="Times New Roman" w:cs="Times New Roman"/>
                <w:snapToGrid w:val="0"/>
                <w:color w:val="auto"/>
                <w:spacing w:val="-10"/>
                <w:kern w:val="24"/>
                <w:szCs w:val="21"/>
                <w:lang w:val="en-US" w:eastAsia="zh-CN"/>
              </w:rPr>
            </w:pPr>
            <w:r>
              <w:rPr>
                <w:rFonts w:hint="default" w:ascii="Times New Roman" w:hAnsi="Times New Roman" w:cs="Times New Roman"/>
                <w:snapToGrid w:val="0"/>
                <w:color w:val="auto"/>
                <w:spacing w:val="-10"/>
                <w:kern w:val="24"/>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pPr>
              <w:widowControl/>
              <w:adjustRightInd w:val="0"/>
              <w:snapToGrid w:val="0"/>
              <w:ind w:right="-21" w:rightChars="-10"/>
              <w:jc w:val="center"/>
              <w:rPr>
                <w:rFonts w:hint="default" w:ascii="Times New Roman" w:hAnsi="Times New Roman" w:cs="Times New Roman"/>
                <w:kern w:val="0"/>
                <w:szCs w:val="21"/>
              </w:rPr>
            </w:pPr>
          </w:p>
        </w:tc>
        <w:tc>
          <w:tcPr>
            <w:tcW w:w="1228" w:type="dxa"/>
            <w:vMerge w:val="continue"/>
            <w:vAlign w:val="center"/>
          </w:tcPr>
          <w:p>
            <w:pPr>
              <w:jc w:val="center"/>
              <w:rPr>
                <w:rFonts w:hint="default" w:ascii="Times New Roman" w:hAnsi="Times New Roman" w:cs="Times New Roman" w:eastAsiaTheme="minorEastAsia"/>
                <w:lang w:val="en-US" w:eastAsia="zh-CN"/>
              </w:rPr>
            </w:pPr>
          </w:p>
        </w:tc>
        <w:tc>
          <w:tcPr>
            <w:tcW w:w="2671" w:type="dxa"/>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喷塑废气收集后经“滤筒过滤+脉冲滤芯除尘”二级回收处理后通过15m高排气筒（DA002）排放</w:t>
            </w:r>
          </w:p>
        </w:tc>
        <w:tc>
          <w:tcPr>
            <w:tcW w:w="2896" w:type="dxa"/>
            <w:vAlign w:val="center"/>
          </w:tcPr>
          <w:p>
            <w:pPr>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喷塑废气收集后经“滤筒过滤+脉冲滤芯除尘”二级回收处理后通过15m高排气筒（DA002）排放</w:t>
            </w:r>
          </w:p>
        </w:tc>
        <w:tc>
          <w:tcPr>
            <w:tcW w:w="1039" w:type="dxa"/>
            <w:vAlign w:val="center"/>
          </w:tcPr>
          <w:p>
            <w:pPr>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pPr>
              <w:widowControl/>
              <w:adjustRightInd w:val="0"/>
              <w:snapToGrid w:val="0"/>
              <w:ind w:right="-21" w:rightChars="-10"/>
              <w:jc w:val="center"/>
              <w:rPr>
                <w:rFonts w:hint="default" w:ascii="Times New Roman" w:hAnsi="Times New Roman" w:cs="Times New Roman"/>
                <w:kern w:val="0"/>
                <w:szCs w:val="21"/>
              </w:rPr>
            </w:pPr>
          </w:p>
        </w:tc>
        <w:tc>
          <w:tcPr>
            <w:tcW w:w="1228" w:type="dxa"/>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kern w:val="0"/>
                <w:szCs w:val="21"/>
              </w:rPr>
              <w:t>噪声</w:t>
            </w:r>
            <w:r>
              <w:rPr>
                <w:rFonts w:hint="default" w:ascii="Times New Roman" w:hAnsi="Times New Roman" w:cs="Times New Roman"/>
                <w:kern w:val="0"/>
                <w:szCs w:val="21"/>
                <w:lang w:val="en-US" w:eastAsia="zh-CN"/>
              </w:rPr>
              <w:t>治理</w:t>
            </w:r>
          </w:p>
        </w:tc>
        <w:tc>
          <w:tcPr>
            <w:tcW w:w="2671" w:type="dxa"/>
            <w:vAlign w:val="center"/>
          </w:tcPr>
          <w:p>
            <w:pPr>
              <w:keepNext w:val="0"/>
              <w:keepLines w:val="0"/>
              <w:widowControl/>
              <w:suppressLineNumbers w:val="0"/>
              <w:jc w:val="left"/>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采用低噪声设备，合理车间布局，采取减振措施，加强设备维护和管理等</w:t>
            </w:r>
          </w:p>
        </w:tc>
        <w:tc>
          <w:tcPr>
            <w:tcW w:w="2896" w:type="dxa"/>
            <w:vAlign w:val="center"/>
          </w:tcPr>
          <w:p>
            <w:pPr>
              <w:jc w:val="left"/>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企业合理安排作业时间，减少对周边企业的噪声影响；平时加强设备的维护，确保设备处于良好的运转状态，杜绝因设备不正常运转时产生的高噪声现象</w:t>
            </w:r>
          </w:p>
        </w:tc>
        <w:tc>
          <w:tcPr>
            <w:tcW w:w="1039" w:type="dxa"/>
            <w:vAlign w:val="center"/>
          </w:tcPr>
          <w:p>
            <w:pPr>
              <w:spacing w:line="360" w:lineRule="auto"/>
              <w:jc w:val="center"/>
              <w:rPr>
                <w:rFonts w:hint="default" w:ascii="Times New Roman" w:hAnsi="Times New Roman" w:cs="Times New Roman"/>
                <w:snapToGrid w:val="0"/>
                <w:color w:val="auto"/>
                <w:spacing w:val="-10"/>
                <w:kern w:val="24"/>
                <w:szCs w:val="21"/>
                <w:lang w:val="en-US" w:eastAsia="zh-CN"/>
              </w:rPr>
            </w:pPr>
            <w:r>
              <w:rPr>
                <w:rFonts w:hint="default" w:ascii="Times New Roman" w:hAnsi="Times New Roman" w:cs="Times New Roman"/>
                <w:snapToGrid w:val="0"/>
                <w:color w:val="auto"/>
                <w:spacing w:val="-10"/>
                <w:kern w:val="24"/>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pPr>
              <w:widowControl/>
              <w:adjustRightInd w:val="0"/>
              <w:snapToGrid w:val="0"/>
              <w:ind w:right="-21" w:rightChars="-10"/>
              <w:jc w:val="center"/>
              <w:rPr>
                <w:rFonts w:hint="default" w:ascii="Times New Roman" w:hAnsi="Times New Roman" w:cs="Times New Roman"/>
                <w:kern w:val="0"/>
                <w:szCs w:val="21"/>
              </w:rPr>
            </w:pPr>
          </w:p>
        </w:tc>
        <w:tc>
          <w:tcPr>
            <w:tcW w:w="1228"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固废处理</w:t>
            </w:r>
          </w:p>
        </w:tc>
        <w:tc>
          <w:tcPr>
            <w:tcW w:w="2671" w:type="dxa"/>
            <w:vAlign w:val="center"/>
          </w:tcPr>
          <w:p>
            <w:pPr>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危险废物：厂房设置专门的危废仓库，危废定期委托有资质单位处置，位于厂房1F</w:t>
            </w:r>
            <w:r>
              <w:rPr>
                <w:rFonts w:hint="eastAsia" w:ascii="Times New Roman" w:hAnsi="Times New Roman" w:eastAsia="宋体" w:cs="Times New Roman"/>
                <w:color w:val="000000"/>
                <w:kern w:val="0"/>
                <w:sz w:val="21"/>
                <w:szCs w:val="21"/>
                <w:lang w:val="en-US" w:eastAsia="zh-CN" w:bidi="ar"/>
              </w:rPr>
              <w:t>；</w:t>
            </w:r>
          </w:p>
          <w:p>
            <w:pPr>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一般固废：设置一般固废仓库，一般固废定期外售给物资单位，位于厂房1F</w:t>
            </w:r>
            <w:r>
              <w:rPr>
                <w:rFonts w:hint="eastAsia" w:ascii="Times New Roman" w:hAnsi="Times New Roman" w:eastAsia="宋体" w:cs="Times New Roman"/>
                <w:color w:val="000000"/>
                <w:kern w:val="0"/>
                <w:sz w:val="21"/>
                <w:szCs w:val="21"/>
                <w:lang w:val="en-US" w:eastAsia="zh-CN" w:bidi="ar"/>
              </w:rPr>
              <w:t>；</w:t>
            </w:r>
          </w:p>
          <w:p>
            <w:pPr>
              <w:jc w:val="left"/>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生活垃圾：委托环卫部门处置</w:t>
            </w:r>
          </w:p>
        </w:tc>
        <w:tc>
          <w:tcPr>
            <w:tcW w:w="2896" w:type="dxa"/>
            <w:vAlign w:val="center"/>
          </w:tcPr>
          <w:p>
            <w:pPr>
              <w:jc w:val="left"/>
              <w:rPr>
                <w:rFonts w:hint="default" w:ascii="Times New Roman" w:hAnsi="Times New Roman" w:cs="Times New Roman" w:eastAsiaTheme="minorEastAsia"/>
                <w:bCs/>
                <w:kern w:val="2"/>
                <w:sz w:val="21"/>
                <w:szCs w:val="21"/>
                <w:highlight w:val="none"/>
                <w:lang w:val="en-US" w:eastAsia="zh-CN" w:bidi="ar-SA"/>
              </w:rPr>
            </w:pPr>
            <w:r>
              <w:rPr>
                <w:rFonts w:hint="default" w:ascii="Times New Roman" w:hAnsi="Times New Roman" w:eastAsia="宋体" w:cs="Times New Roman"/>
                <w:color w:val="auto"/>
                <w:sz w:val="21"/>
                <w:szCs w:val="21"/>
                <w:lang w:eastAsia="zh-CN"/>
              </w:rPr>
              <w:t>一般固废仓库</w:t>
            </w:r>
            <w:r>
              <w:rPr>
                <w:rFonts w:hint="eastAsia" w:ascii="Times New Roman" w:hAnsi="Times New Roman" w:eastAsia="宋体" w:cs="Times New Roman"/>
                <w:color w:val="auto"/>
                <w:sz w:val="21"/>
                <w:szCs w:val="21"/>
                <w:lang w:val="en-US" w:eastAsia="zh-CN"/>
              </w:rPr>
              <w:t>位于厂区南侧，危废仓库位于厂区东南侧，约40m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bidi="ar"/>
              </w:rPr>
              <w:t>。危险废物（</w:t>
            </w:r>
            <w:r>
              <w:rPr>
                <w:rFonts w:hint="eastAsia" w:ascii="Times New Roman" w:hAnsi="Times New Roman" w:eastAsia="宋体" w:cs="Times New Roman"/>
                <w:color w:val="auto"/>
                <w:kern w:val="0"/>
                <w:sz w:val="21"/>
                <w:szCs w:val="21"/>
                <w:lang w:val="en-US" w:eastAsia="zh-CN" w:bidi="ar"/>
              </w:rPr>
              <w:t>漆渣、危险废包装桶、废润滑油、废油桶、废活性炭、废过滤棉、废催化剂、废抹布</w:t>
            </w:r>
            <w:r>
              <w:rPr>
                <w:rFonts w:hint="default" w:ascii="Times New Roman" w:hAnsi="Times New Roman" w:eastAsia="宋体" w:cs="Times New Roman"/>
                <w:color w:val="auto"/>
                <w:kern w:val="0"/>
                <w:sz w:val="21"/>
                <w:szCs w:val="21"/>
                <w:lang w:val="en-US" w:eastAsia="zh-CN" w:bidi="ar"/>
              </w:rPr>
              <w:t>）收集后暂存至危废仓库内，委托</w:t>
            </w:r>
            <w:r>
              <w:rPr>
                <w:rFonts w:hint="eastAsia" w:ascii="Times New Roman" w:hAnsi="Times New Roman" w:eastAsia="宋体" w:cs="Times New Roman"/>
                <w:color w:val="auto"/>
                <w:kern w:val="0"/>
                <w:sz w:val="21"/>
                <w:szCs w:val="21"/>
                <w:lang w:val="en-US" w:eastAsia="zh-CN" w:bidi="ar"/>
              </w:rPr>
              <w:t>永康供联三曜环保技术服务有限公司</w:t>
            </w:r>
            <w:r>
              <w:rPr>
                <w:rFonts w:hint="default" w:ascii="Times New Roman" w:hAnsi="Times New Roman" w:eastAsia="宋体" w:cs="Times New Roman"/>
                <w:color w:val="auto"/>
                <w:kern w:val="0"/>
                <w:sz w:val="21"/>
                <w:szCs w:val="21"/>
                <w:lang w:val="en-US" w:eastAsia="zh-CN" w:bidi="ar"/>
              </w:rPr>
              <w:t>进行处置；</w:t>
            </w:r>
            <w:r>
              <w:rPr>
                <w:rFonts w:hint="eastAsia" w:ascii="Times New Roman" w:hAnsi="Times New Roman" w:eastAsia="宋体" w:cs="Times New Roman"/>
                <w:color w:val="auto"/>
                <w:kern w:val="0"/>
                <w:sz w:val="21"/>
                <w:szCs w:val="21"/>
                <w:lang w:val="en-US" w:eastAsia="zh-CN" w:bidi="ar"/>
              </w:rPr>
              <w:t>一般固废（金属边角料、一般废包装物、废塑粉、废滤芯）</w:t>
            </w:r>
            <w:r>
              <w:rPr>
                <w:rFonts w:hint="default" w:ascii="Times New Roman" w:hAnsi="Times New Roman" w:eastAsia="宋体" w:cs="Times New Roman"/>
                <w:color w:val="auto"/>
                <w:kern w:val="0"/>
                <w:sz w:val="21"/>
                <w:szCs w:val="21"/>
                <w:lang w:val="en-US" w:eastAsia="zh-CN" w:bidi="ar"/>
              </w:rPr>
              <w:t>收集后出售给回收公司综合利用；生活垃圾由当地环卫部门统一清运处理</w:t>
            </w:r>
          </w:p>
        </w:tc>
        <w:tc>
          <w:tcPr>
            <w:tcW w:w="1039" w:type="dxa"/>
            <w:vAlign w:val="center"/>
          </w:tcPr>
          <w:p>
            <w:pPr>
              <w:jc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restart"/>
            <w:vAlign w:val="center"/>
          </w:tcPr>
          <w:p>
            <w:pPr>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rPr>
              <w:t>储运工程</w:t>
            </w:r>
          </w:p>
        </w:tc>
        <w:tc>
          <w:tcPr>
            <w:tcW w:w="1228" w:type="dxa"/>
            <w:vAlign w:val="center"/>
          </w:tcPr>
          <w:p>
            <w:pPr>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rPr>
              <w:t>原辅材料</w:t>
            </w:r>
          </w:p>
        </w:tc>
        <w:tc>
          <w:tcPr>
            <w:tcW w:w="2671" w:type="dxa"/>
            <w:vAlign w:val="center"/>
          </w:tcPr>
          <w:p>
            <w:pPr>
              <w:spacing w:line="36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由厂家根据要求走常规运输路线（国道或省道）进行定期运送；至厂区内在原辅料存放区存放</w:t>
            </w:r>
          </w:p>
        </w:tc>
        <w:tc>
          <w:tcPr>
            <w:tcW w:w="2896" w:type="dxa"/>
            <w:vAlign w:val="center"/>
          </w:tcPr>
          <w:p>
            <w:pPr>
              <w:spacing w:line="360" w:lineRule="exact"/>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原辅材料存放至西侧厂房1F</w:t>
            </w:r>
          </w:p>
        </w:tc>
        <w:tc>
          <w:tcPr>
            <w:tcW w:w="1039" w:type="dxa"/>
            <w:vAlign w:val="center"/>
          </w:tcPr>
          <w:p>
            <w:pPr>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一致</w:t>
            </w:r>
          </w:p>
        </w:tc>
      </w:tr>
      <w:bookmarkEnd w:id="31"/>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tcPr>
          <w:p>
            <w:pPr>
              <w:jc w:val="center"/>
              <w:rPr>
                <w:rFonts w:hint="default" w:ascii="Times New Roman" w:hAnsi="Times New Roman" w:cs="Times New Roman"/>
                <w:kern w:val="0"/>
                <w:szCs w:val="21"/>
              </w:rPr>
            </w:pPr>
          </w:p>
        </w:tc>
        <w:tc>
          <w:tcPr>
            <w:tcW w:w="0" w:type="auto"/>
            <w:vAlign w:val="center"/>
          </w:tcPr>
          <w:p>
            <w:pPr>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rPr>
              <w:t>原料仓库</w:t>
            </w:r>
          </w:p>
        </w:tc>
        <w:tc>
          <w:tcPr>
            <w:tcW w:w="0" w:type="auto"/>
            <w:vAlign w:val="center"/>
          </w:tcPr>
          <w:p>
            <w:pPr>
              <w:spacing w:line="36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位于</w:t>
            </w:r>
            <w:r>
              <w:rPr>
                <w:rFonts w:hint="default" w:ascii="Times New Roman" w:hAnsi="Times New Roman" w:eastAsia="宋体" w:cs="Times New Roman"/>
                <w:color w:val="auto"/>
                <w:sz w:val="21"/>
                <w:szCs w:val="21"/>
                <w:lang w:val="en-US" w:eastAsia="zh-CN"/>
              </w:rPr>
              <w:t>厂房</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F</w:t>
            </w:r>
          </w:p>
        </w:tc>
        <w:tc>
          <w:tcPr>
            <w:tcW w:w="0" w:type="auto"/>
            <w:vAlign w:val="center"/>
          </w:tcPr>
          <w:p>
            <w:pPr>
              <w:spacing w:line="360" w:lineRule="exact"/>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原料仓库</w:t>
            </w:r>
            <w:r>
              <w:rPr>
                <w:rFonts w:hint="default" w:ascii="Times New Roman" w:hAnsi="Times New Roman" w:eastAsia="宋体" w:cs="Times New Roman"/>
                <w:color w:val="auto"/>
                <w:sz w:val="21"/>
                <w:szCs w:val="21"/>
                <w:lang w:eastAsia="zh-CN"/>
              </w:rPr>
              <w:t>位于</w:t>
            </w:r>
            <w:r>
              <w:rPr>
                <w:rFonts w:hint="eastAsia" w:ascii="Times New Roman" w:hAnsi="Times New Roman" w:eastAsia="宋体" w:cs="Times New Roman"/>
                <w:color w:val="auto"/>
                <w:sz w:val="21"/>
                <w:szCs w:val="21"/>
                <w:lang w:val="en-US" w:eastAsia="zh-CN"/>
              </w:rPr>
              <w:t>西侧</w:t>
            </w:r>
            <w:r>
              <w:rPr>
                <w:rFonts w:hint="default" w:ascii="Times New Roman" w:hAnsi="Times New Roman" w:eastAsia="宋体" w:cs="Times New Roman"/>
                <w:color w:val="auto"/>
                <w:sz w:val="21"/>
                <w:szCs w:val="21"/>
                <w:lang w:val="en-US" w:eastAsia="zh-CN"/>
              </w:rPr>
              <w:t>厂房</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F</w:t>
            </w:r>
          </w:p>
        </w:tc>
        <w:tc>
          <w:tcPr>
            <w:tcW w:w="0" w:type="auto"/>
            <w:vAlign w:val="center"/>
          </w:tcPr>
          <w:p>
            <w:pPr>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tcPr>
          <w:p>
            <w:pPr>
              <w:jc w:val="center"/>
              <w:rPr>
                <w:rFonts w:hint="default" w:ascii="Times New Roman" w:hAnsi="Times New Roman" w:cs="Times New Roman"/>
                <w:kern w:val="0"/>
                <w:szCs w:val="21"/>
              </w:rPr>
            </w:pPr>
          </w:p>
        </w:tc>
        <w:tc>
          <w:tcPr>
            <w:tcW w:w="0" w:type="auto"/>
            <w:vAlign w:val="center"/>
          </w:tcPr>
          <w:p>
            <w:pPr>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半成品</w:t>
            </w:r>
          </w:p>
          <w:p>
            <w:pPr>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仓库</w:t>
            </w:r>
          </w:p>
        </w:tc>
        <w:tc>
          <w:tcPr>
            <w:tcW w:w="0" w:type="auto"/>
            <w:vAlign w:val="center"/>
          </w:tcPr>
          <w:p>
            <w:pPr>
              <w:spacing w:line="360" w:lineRule="exact"/>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位于厂房1F</w:t>
            </w:r>
          </w:p>
        </w:tc>
        <w:tc>
          <w:tcPr>
            <w:tcW w:w="0" w:type="auto"/>
            <w:vAlign w:val="center"/>
          </w:tcPr>
          <w:p>
            <w:pPr>
              <w:spacing w:line="360" w:lineRule="exact"/>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半成品仓库</w:t>
            </w:r>
            <w:r>
              <w:rPr>
                <w:rFonts w:hint="default" w:ascii="Times New Roman" w:hAnsi="Times New Roman" w:eastAsia="宋体" w:cs="Times New Roman"/>
                <w:color w:val="auto"/>
                <w:sz w:val="21"/>
                <w:szCs w:val="21"/>
                <w:lang w:eastAsia="zh-CN"/>
              </w:rPr>
              <w:t>位于</w:t>
            </w:r>
            <w:r>
              <w:rPr>
                <w:rFonts w:hint="eastAsia" w:ascii="Times New Roman" w:hAnsi="Times New Roman" w:eastAsia="宋体" w:cs="Times New Roman"/>
                <w:color w:val="auto"/>
                <w:sz w:val="21"/>
                <w:szCs w:val="21"/>
                <w:lang w:val="en-US" w:eastAsia="zh-CN"/>
              </w:rPr>
              <w:t>西侧</w:t>
            </w:r>
            <w:r>
              <w:rPr>
                <w:rFonts w:hint="default" w:ascii="Times New Roman" w:hAnsi="Times New Roman" w:eastAsia="宋体" w:cs="Times New Roman"/>
                <w:color w:val="auto"/>
                <w:sz w:val="21"/>
                <w:szCs w:val="21"/>
                <w:lang w:val="en-US" w:eastAsia="zh-CN"/>
              </w:rPr>
              <w:t>厂房</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F</w:t>
            </w:r>
          </w:p>
        </w:tc>
        <w:tc>
          <w:tcPr>
            <w:tcW w:w="0" w:type="auto"/>
            <w:vAlign w:val="center"/>
          </w:tcPr>
          <w:p>
            <w:pPr>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tcPr>
          <w:p>
            <w:pPr>
              <w:jc w:val="center"/>
              <w:rPr>
                <w:rFonts w:hint="default" w:ascii="Times New Roman" w:hAnsi="Times New Roman" w:cs="Times New Roman"/>
                <w:kern w:val="0"/>
                <w:szCs w:val="21"/>
              </w:rPr>
            </w:pPr>
          </w:p>
        </w:tc>
        <w:tc>
          <w:tcPr>
            <w:tcW w:w="0" w:type="auto"/>
            <w:vAlign w:val="center"/>
          </w:tcPr>
          <w:p>
            <w:pPr>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rPr>
              <w:t>成品仓库</w:t>
            </w:r>
          </w:p>
        </w:tc>
        <w:tc>
          <w:tcPr>
            <w:tcW w:w="0" w:type="auto"/>
            <w:vAlign w:val="center"/>
          </w:tcPr>
          <w:p>
            <w:pPr>
              <w:spacing w:line="36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位于</w:t>
            </w:r>
            <w:r>
              <w:rPr>
                <w:rFonts w:hint="default" w:ascii="Times New Roman" w:hAnsi="Times New Roman" w:eastAsia="宋体" w:cs="Times New Roman"/>
                <w:color w:val="auto"/>
                <w:sz w:val="21"/>
                <w:szCs w:val="21"/>
                <w:lang w:val="en-US" w:eastAsia="zh-CN"/>
              </w:rPr>
              <w:t>厂房</w:t>
            </w:r>
            <w:r>
              <w:rPr>
                <w:rFonts w:hint="eastAsia" w:ascii="Times New Roman" w:hAnsi="Times New Roman" w:eastAsia="宋体" w:cs="Times New Roman"/>
                <w:color w:val="auto"/>
                <w:sz w:val="21"/>
                <w:szCs w:val="21"/>
                <w:lang w:val="en-US" w:eastAsia="zh-CN"/>
              </w:rPr>
              <w:t>2F</w:t>
            </w:r>
          </w:p>
        </w:tc>
        <w:tc>
          <w:tcPr>
            <w:tcW w:w="0" w:type="auto"/>
            <w:vAlign w:val="center"/>
          </w:tcPr>
          <w:p>
            <w:pPr>
              <w:spacing w:line="360" w:lineRule="exact"/>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成品仓库</w:t>
            </w:r>
            <w:r>
              <w:rPr>
                <w:rFonts w:hint="default" w:ascii="Times New Roman" w:hAnsi="Times New Roman" w:eastAsia="宋体" w:cs="Times New Roman"/>
                <w:color w:val="auto"/>
                <w:sz w:val="21"/>
                <w:szCs w:val="21"/>
                <w:lang w:eastAsia="zh-CN"/>
              </w:rPr>
              <w:t>位于</w:t>
            </w:r>
            <w:r>
              <w:rPr>
                <w:rFonts w:hint="eastAsia" w:ascii="Times New Roman" w:hAnsi="Times New Roman" w:eastAsia="宋体" w:cs="Times New Roman"/>
                <w:color w:val="auto"/>
                <w:sz w:val="21"/>
                <w:szCs w:val="21"/>
                <w:lang w:val="en-US" w:eastAsia="zh-CN"/>
              </w:rPr>
              <w:t>西侧</w:t>
            </w:r>
            <w:r>
              <w:rPr>
                <w:rFonts w:hint="default" w:ascii="Times New Roman" w:hAnsi="Times New Roman" w:eastAsia="宋体" w:cs="Times New Roman"/>
                <w:color w:val="auto"/>
                <w:sz w:val="21"/>
                <w:szCs w:val="21"/>
                <w:lang w:val="en-US" w:eastAsia="zh-CN"/>
              </w:rPr>
              <w:t>厂房</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F</w:t>
            </w:r>
          </w:p>
        </w:tc>
        <w:tc>
          <w:tcPr>
            <w:tcW w:w="0" w:type="auto"/>
            <w:vAlign w:val="center"/>
          </w:tcPr>
          <w:p>
            <w:pPr>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restart"/>
            <w:vAlign w:val="center"/>
          </w:tcPr>
          <w:p>
            <w:pPr>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eastAsia="zh-CN"/>
              </w:rPr>
              <w:t>依托工程</w:t>
            </w:r>
          </w:p>
        </w:tc>
        <w:tc>
          <w:tcPr>
            <w:tcW w:w="0" w:type="auto"/>
            <w:vAlign w:val="center"/>
          </w:tcPr>
          <w:p>
            <w:pPr>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rPr>
              <w:t>污水管网、城市污水处理厂</w:t>
            </w:r>
          </w:p>
        </w:tc>
        <w:tc>
          <w:tcPr>
            <w:tcW w:w="0" w:type="auto"/>
            <w:vAlign w:val="center"/>
          </w:tcPr>
          <w:p>
            <w:pPr>
              <w:adjustRightInd w:val="0"/>
              <w:snapToGrid w:val="0"/>
              <w:spacing w:line="240" w:lineRule="auto"/>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生活污水经化粪池预处理，生产废水经过污水处理装置处理汇同后纳管，最终经</w:t>
            </w:r>
            <w:r>
              <w:rPr>
                <w:rFonts w:hint="eastAsia" w:ascii="Times New Roman" w:hAnsi="Times New Roman" w:eastAsia="宋体" w:cs="Times New Roman"/>
                <w:color w:val="auto"/>
                <w:sz w:val="21"/>
                <w:szCs w:val="21"/>
                <w:lang w:eastAsia="zh-CN"/>
              </w:rPr>
              <w:t>永康市城市污水处理厂</w:t>
            </w:r>
            <w:r>
              <w:rPr>
                <w:rFonts w:hint="default" w:ascii="Times New Roman" w:hAnsi="Times New Roman" w:eastAsia="宋体" w:cs="Times New Roman"/>
                <w:color w:val="auto"/>
                <w:sz w:val="21"/>
                <w:szCs w:val="21"/>
                <w:lang w:eastAsia="zh-CN"/>
              </w:rPr>
              <w:t>处理达标后排放</w:t>
            </w:r>
          </w:p>
        </w:tc>
        <w:tc>
          <w:tcPr>
            <w:tcW w:w="0" w:type="auto"/>
            <w:vAlign w:val="center"/>
          </w:tcPr>
          <w:p>
            <w:pPr>
              <w:spacing w:line="360" w:lineRule="exact"/>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生活污水经化粪池预处理，生产废水经过污水处理</w:t>
            </w:r>
            <w:r>
              <w:rPr>
                <w:rFonts w:hint="eastAsia" w:ascii="Times New Roman" w:hAnsi="Times New Roman" w:eastAsia="宋体" w:cs="Times New Roman"/>
                <w:color w:val="auto"/>
                <w:sz w:val="21"/>
                <w:szCs w:val="21"/>
                <w:lang w:val="en-US" w:eastAsia="zh-CN"/>
              </w:rPr>
              <w:t>设施</w:t>
            </w:r>
            <w:r>
              <w:rPr>
                <w:rFonts w:hint="default" w:ascii="Times New Roman" w:hAnsi="Times New Roman" w:eastAsia="宋体" w:cs="Times New Roman"/>
                <w:color w:val="auto"/>
                <w:sz w:val="21"/>
                <w:szCs w:val="21"/>
                <w:lang w:eastAsia="zh-CN"/>
              </w:rPr>
              <w:t>处理后纳管，最终经</w:t>
            </w:r>
            <w:r>
              <w:rPr>
                <w:rFonts w:hint="eastAsia" w:ascii="Times New Roman" w:hAnsi="Times New Roman" w:eastAsia="宋体" w:cs="Times New Roman"/>
                <w:color w:val="auto"/>
                <w:sz w:val="21"/>
                <w:szCs w:val="21"/>
                <w:lang w:eastAsia="zh-CN"/>
              </w:rPr>
              <w:t>永康市城市污水处理厂</w:t>
            </w:r>
            <w:r>
              <w:rPr>
                <w:rFonts w:hint="default" w:ascii="Times New Roman" w:hAnsi="Times New Roman" w:eastAsia="宋体" w:cs="Times New Roman"/>
                <w:color w:val="auto"/>
                <w:sz w:val="21"/>
                <w:szCs w:val="21"/>
                <w:lang w:eastAsia="zh-CN"/>
              </w:rPr>
              <w:t>处理达标后排放</w:t>
            </w:r>
          </w:p>
        </w:tc>
        <w:tc>
          <w:tcPr>
            <w:tcW w:w="0" w:type="auto"/>
            <w:vAlign w:val="center"/>
          </w:tcPr>
          <w:p>
            <w:pPr>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tcPr>
          <w:p>
            <w:pPr>
              <w:jc w:val="center"/>
              <w:rPr>
                <w:rFonts w:hint="default" w:ascii="Times New Roman" w:hAnsi="Times New Roman" w:cs="Times New Roman"/>
                <w:kern w:val="0"/>
                <w:szCs w:val="21"/>
              </w:rPr>
            </w:pPr>
          </w:p>
        </w:tc>
        <w:tc>
          <w:tcPr>
            <w:tcW w:w="0" w:type="auto"/>
            <w:vAlign w:val="center"/>
          </w:tcPr>
          <w:p>
            <w:pPr>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rPr>
              <w:t>雨水管网</w:t>
            </w:r>
          </w:p>
        </w:tc>
        <w:tc>
          <w:tcPr>
            <w:tcW w:w="0" w:type="auto"/>
            <w:vAlign w:val="center"/>
          </w:tcPr>
          <w:p>
            <w:pPr>
              <w:adjustRightInd w:val="0"/>
              <w:snapToGrid w:val="0"/>
              <w:spacing w:line="240" w:lineRule="auto"/>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厂区内雨水经由雨水管网排入附近水体</w:t>
            </w:r>
          </w:p>
        </w:tc>
        <w:tc>
          <w:tcPr>
            <w:tcW w:w="0" w:type="auto"/>
            <w:vAlign w:val="center"/>
          </w:tcPr>
          <w:p>
            <w:pPr>
              <w:jc w:val="both"/>
              <w:rPr>
                <w:rFonts w:hint="default" w:ascii="Times New Roman" w:hAnsi="Times New Roman" w:cs="Times New Roman"/>
                <w:color w:val="FF0000"/>
                <w:szCs w:val="21"/>
                <w:highlight w:val="none"/>
                <w:lang w:val="en-US" w:eastAsia="zh-CN"/>
              </w:rPr>
            </w:pPr>
            <w:r>
              <w:rPr>
                <w:rFonts w:hint="default" w:ascii="Times New Roman" w:hAnsi="Times New Roman" w:eastAsia="宋体" w:cs="Times New Roman"/>
                <w:bCs/>
                <w:color w:val="auto"/>
                <w:szCs w:val="21"/>
              </w:rPr>
              <w:t>厂区内雨水经由雨水管网排入附近水体</w:t>
            </w:r>
          </w:p>
        </w:tc>
        <w:tc>
          <w:tcPr>
            <w:tcW w:w="0" w:type="auto"/>
            <w:vAlign w:val="center"/>
          </w:tcPr>
          <w:p>
            <w:pPr>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一致</w:t>
            </w:r>
          </w:p>
        </w:tc>
      </w:tr>
    </w:tbl>
    <w:p>
      <w:pPr>
        <w:spacing w:line="240" w:lineRule="auto"/>
        <w:textAlignment w:val="baseline"/>
        <w:outlineLvl w:val="9"/>
        <w:rPr>
          <w:rFonts w:hint="eastAsia"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现有实际产能为年产8000樘非标门，废水处理工艺经原环评单位确认可以满足废水处理要求，焊接车间楼层调整未导致环境防护距离范围变化且未新增敏感点，除以上变化外，其他建设内容与环评要求基本一致。</w:t>
      </w:r>
    </w:p>
    <w:p>
      <w:pPr>
        <w:spacing w:line="360" w:lineRule="auto"/>
        <w:textAlignment w:val="baseline"/>
        <w:rPr>
          <w:rFonts w:ascii="Times New Roman" w:hAnsi="Times New Roman" w:eastAsia="宋体" w:cs="Times New Roman"/>
          <w:b/>
          <w:bCs/>
          <w:szCs w:val="21"/>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rPr>
        <w:t>）</w:t>
      </w:r>
      <w:r>
        <w:rPr>
          <w:rFonts w:ascii="Times New Roman" w:hAnsi="Times New Roman" w:cs="Times New Roman"/>
          <w:sz w:val="24"/>
          <w:szCs w:val="24"/>
        </w:rPr>
        <w:t>项目产品方案见表</w:t>
      </w:r>
      <w:r>
        <w:rPr>
          <w:rFonts w:hint="eastAsia" w:ascii="Times New Roman" w:hAnsi="Times New Roman" w:cs="Times New Roman"/>
          <w:sz w:val="24"/>
          <w:szCs w:val="24"/>
        </w:rPr>
        <w:t>3</w:t>
      </w:r>
      <w:r>
        <w:rPr>
          <w:rFonts w:ascii="Times New Roman" w:hAnsi="Times New Roman" w:cs="Times New Roman"/>
          <w:sz w:val="24"/>
          <w:szCs w:val="24"/>
        </w:rPr>
        <w:t>.2-2。</w:t>
      </w:r>
    </w:p>
    <w:p>
      <w:pPr>
        <w:pStyle w:val="47"/>
        <w:spacing w:beforeLines="0" w:afterLines="0" w:line="360" w:lineRule="auto"/>
        <w:ind w:firstLine="0" w:firstLineChars="0"/>
        <w:jc w:val="center"/>
        <w:rPr>
          <w:rFonts w:ascii="Times New Roman" w:hAnsi="Times New Roman" w:cs="Times New Roman"/>
          <w:b/>
          <w:bCs/>
          <w:sz w:val="21"/>
          <w:szCs w:val="21"/>
          <w:highlight w:val="none"/>
        </w:rPr>
      </w:pPr>
      <w:r>
        <w:rPr>
          <w:rFonts w:hint="eastAsia" w:ascii="Times New Roman" w:hAnsi="Times New Roman" w:cs="Times New Roman"/>
          <w:b/>
          <w:bCs/>
          <w:sz w:val="21"/>
          <w:szCs w:val="21"/>
          <w:highlight w:val="none"/>
        </w:rPr>
        <w:t>表3</w:t>
      </w:r>
      <w:r>
        <w:rPr>
          <w:rFonts w:ascii="Times New Roman" w:hAnsi="Times New Roman" w:cs="Times New Roman"/>
          <w:b/>
          <w:bCs/>
          <w:sz w:val="21"/>
          <w:szCs w:val="21"/>
          <w:highlight w:val="none"/>
        </w:rPr>
        <w:t>.2</w:t>
      </w:r>
      <w:r>
        <w:rPr>
          <w:rFonts w:hint="eastAsia" w:ascii="Times New Roman" w:hAnsi="Times New Roman" w:cs="Times New Roman"/>
          <w:b/>
          <w:bCs/>
          <w:sz w:val="21"/>
          <w:szCs w:val="21"/>
          <w:highlight w:val="none"/>
        </w:rPr>
        <w:t>-</w:t>
      </w:r>
      <w:r>
        <w:rPr>
          <w:rFonts w:ascii="Times New Roman" w:hAnsi="Times New Roman" w:cs="Times New Roman"/>
          <w:b/>
          <w:bCs/>
          <w:sz w:val="21"/>
          <w:szCs w:val="21"/>
          <w:highlight w:val="none"/>
        </w:rPr>
        <w:t>2</w:t>
      </w:r>
      <w:r>
        <w:rPr>
          <w:rFonts w:hint="eastAsia" w:ascii="Times New Roman" w:hAnsi="Times New Roman" w:cs="Times New Roman"/>
          <w:b/>
          <w:bCs/>
          <w:sz w:val="21"/>
          <w:szCs w:val="21"/>
          <w:highlight w:val="none"/>
        </w:rPr>
        <w:t xml:space="preserve"> 项目产品方案一览表</w:t>
      </w:r>
    </w:p>
    <w:tbl>
      <w:tblPr>
        <w:tblStyle w:val="32"/>
        <w:tblW w:w="492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048"/>
        <w:gridCol w:w="2510"/>
        <w:gridCol w:w="1867"/>
        <w:gridCol w:w="1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highlight w:val="none"/>
              </w:rPr>
            </w:pPr>
            <w:r>
              <w:rPr>
                <w:rFonts w:hint="eastAsia" w:ascii="宋体" w:hAnsi="宋体" w:eastAsia="宋体" w:cs="Times New Roman"/>
                <w:b/>
                <w:bCs/>
                <w:szCs w:val="21"/>
                <w:highlight w:val="none"/>
              </w:rPr>
              <w:t>序号</w:t>
            </w:r>
          </w:p>
        </w:tc>
        <w:tc>
          <w:tcPr>
            <w:tcW w:w="2048"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highlight w:val="none"/>
              </w:rPr>
            </w:pPr>
            <w:r>
              <w:rPr>
                <w:rFonts w:hint="eastAsia" w:ascii="宋体" w:hAnsi="宋体" w:eastAsia="宋体" w:cs="Times New Roman"/>
                <w:b/>
                <w:bCs/>
                <w:szCs w:val="21"/>
                <w:highlight w:val="none"/>
              </w:rPr>
              <w:t>产品种类</w:t>
            </w:r>
          </w:p>
        </w:tc>
        <w:tc>
          <w:tcPr>
            <w:tcW w:w="2510" w:type="dxa"/>
            <w:tcBorders>
              <w:tl2br w:val="nil"/>
              <w:tr2bl w:val="nil"/>
            </w:tcBorders>
            <w:vAlign w:val="center"/>
          </w:tcPr>
          <w:p>
            <w:pPr>
              <w:adjustRightInd w:val="0"/>
              <w:snapToGrid w:val="0"/>
              <w:spacing w:line="259" w:lineRule="auto"/>
              <w:ind w:right="46" w:rightChars="0"/>
              <w:jc w:val="center"/>
              <w:rPr>
                <w:rFonts w:hint="default" w:ascii="宋体" w:hAnsi="宋体" w:eastAsia="宋体" w:cs="Times New Roman"/>
                <w:b/>
                <w:bCs/>
                <w:kern w:val="2"/>
                <w:sz w:val="21"/>
                <w:szCs w:val="21"/>
                <w:highlight w:val="none"/>
                <w:lang w:val="en-US" w:eastAsia="zh-CN" w:bidi="ar-SA"/>
              </w:rPr>
            </w:pPr>
            <w:r>
              <w:rPr>
                <w:rFonts w:hint="eastAsia" w:ascii="宋体" w:hAnsi="宋体" w:eastAsia="宋体" w:cs="Times New Roman"/>
                <w:b/>
                <w:bCs/>
                <w:szCs w:val="21"/>
                <w:highlight w:val="none"/>
                <w:lang w:val="en-US" w:eastAsia="zh-CN"/>
              </w:rPr>
              <w:t>环评及批复年产量</w:t>
            </w:r>
          </w:p>
        </w:tc>
        <w:tc>
          <w:tcPr>
            <w:tcW w:w="1867" w:type="dxa"/>
            <w:tcBorders>
              <w:tl2br w:val="nil"/>
              <w:tr2bl w:val="nil"/>
            </w:tcBorders>
            <w:vAlign w:val="center"/>
          </w:tcPr>
          <w:p>
            <w:pPr>
              <w:adjustRightInd w:val="0"/>
              <w:snapToGrid w:val="0"/>
              <w:spacing w:line="259" w:lineRule="auto"/>
              <w:ind w:right="46" w:rightChars="0"/>
              <w:jc w:val="center"/>
              <w:rPr>
                <w:rFonts w:hint="default" w:ascii="宋体" w:hAnsi="宋体" w:eastAsia="宋体" w:cs="Times New Roman"/>
                <w:b/>
                <w:bCs/>
                <w:kern w:val="2"/>
                <w:sz w:val="21"/>
                <w:szCs w:val="21"/>
                <w:highlight w:val="none"/>
                <w:lang w:val="en-US" w:eastAsia="zh-CN" w:bidi="ar-SA"/>
              </w:rPr>
            </w:pPr>
            <w:r>
              <w:rPr>
                <w:rFonts w:hint="eastAsia" w:ascii="宋体" w:hAnsi="宋体" w:eastAsia="宋体" w:cs="Times New Roman"/>
                <w:b/>
                <w:bCs/>
                <w:szCs w:val="21"/>
                <w:highlight w:val="none"/>
                <w:lang w:val="en-US" w:eastAsia="zh-CN"/>
              </w:rPr>
              <w:t>实际</w:t>
            </w:r>
            <w:r>
              <w:rPr>
                <w:rFonts w:hint="eastAsia" w:ascii="宋体" w:hAnsi="宋体" w:eastAsia="宋体" w:cs="Times New Roman"/>
                <w:b/>
                <w:bCs/>
                <w:szCs w:val="21"/>
                <w:highlight w:val="none"/>
              </w:rPr>
              <w:t>年产量</w:t>
            </w:r>
          </w:p>
        </w:tc>
        <w:tc>
          <w:tcPr>
            <w:tcW w:w="1242"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highlight w:val="none"/>
              </w:rPr>
            </w:pPr>
            <w:r>
              <w:rPr>
                <w:rFonts w:hint="eastAsia" w:ascii="宋体" w:hAnsi="宋体" w:eastAsia="宋体" w:cs="Times New Roman"/>
                <w:b/>
                <w:bCs/>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tcBorders>
              <w:tl2br w:val="nil"/>
              <w:tr2bl w:val="nil"/>
            </w:tcBorders>
            <w:vAlign w:val="center"/>
          </w:tcPr>
          <w:p>
            <w:pPr>
              <w:pStyle w:val="111"/>
              <w:numPr>
                <w:ilvl w:val="0"/>
                <w:numId w:val="2"/>
              </w:numPr>
              <w:ind w:left="630" w:leftChars="0" w:firstLineChars="0"/>
              <w:rPr>
                <w:rFonts w:ascii="Times New Roman" w:hAnsi="Times New Roman" w:eastAsia="宋体" w:cs="Times New Roman"/>
                <w:kern w:val="0"/>
                <w:sz w:val="21"/>
                <w:szCs w:val="21"/>
                <w:highlight w:val="none"/>
              </w:rPr>
            </w:pPr>
          </w:p>
        </w:tc>
        <w:tc>
          <w:tcPr>
            <w:tcW w:w="2048" w:type="dxa"/>
            <w:tcBorders>
              <w:tl2br w:val="nil"/>
              <w:tr2bl w:val="nil"/>
            </w:tcBorders>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非标门</w:t>
            </w:r>
          </w:p>
        </w:tc>
        <w:tc>
          <w:tcPr>
            <w:tcW w:w="2510" w:type="dxa"/>
            <w:tcBorders>
              <w:tl2br w:val="nil"/>
              <w:tr2bl w:val="nil"/>
            </w:tcBorders>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8000樘</w:t>
            </w:r>
            <w:r>
              <w:rPr>
                <w:rFonts w:hint="default" w:ascii="Times New Roman" w:hAnsi="Times New Roman" w:cs="Times New Roman"/>
                <w:b w:val="0"/>
                <w:bCs w:val="0"/>
                <w:color w:val="auto"/>
                <w:kern w:val="2"/>
                <w:sz w:val="21"/>
                <w:szCs w:val="21"/>
                <w:lang w:val="en-US" w:eastAsia="zh-CN" w:bidi="ar-SA"/>
              </w:rPr>
              <w:t>/年</w:t>
            </w:r>
          </w:p>
        </w:tc>
        <w:tc>
          <w:tcPr>
            <w:tcW w:w="1867" w:type="dxa"/>
            <w:tcBorders>
              <w:tl2br w:val="nil"/>
              <w:tr2bl w:val="nil"/>
            </w:tcBorders>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8000樘</w:t>
            </w:r>
            <w:r>
              <w:rPr>
                <w:rFonts w:hint="default" w:ascii="Times New Roman" w:hAnsi="Times New Roman" w:cs="Times New Roman"/>
                <w:b w:val="0"/>
                <w:bCs w:val="0"/>
                <w:color w:val="auto"/>
                <w:kern w:val="2"/>
                <w:sz w:val="21"/>
                <w:szCs w:val="21"/>
                <w:lang w:val="en-US" w:eastAsia="zh-CN" w:bidi="ar-SA"/>
              </w:rPr>
              <w:t>/年</w:t>
            </w:r>
          </w:p>
        </w:tc>
        <w:tc>
          <w:tcPr>
            <w:tcW w:w="1242" w:type="dxa"/>
            <w:tcBorders>
              <w:tl2br w:val="nil"/>
              <w:tr2bl w:val="nil"/>
            </w:tcBorders>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line="160" w:lineRule="exact"/>
        <w:ind w:firstLine="200" w:firstLineChars="200"/>
        <w:textAlignment w:val="auto"/>
        <w:rPr>
          <w:rFonts w:hint="eastAsia" w:ascii="Times New Roman" w:hAnsi="Times New Roman" w:cs="Times New Roman"/>
          <w:sz w:val="10"/>
          <w:szCs w:val="10"/>
          <w:highlight w:val="none"/>
          <w:lang w:val="en-US" w:eastAsia="zh-CN"/>
        </w:rPr>
      </w:pPr>
      <w:bookmarkStart w:id="32" w:name="_Toc12136"/>
    </w:p>
    <w:p>
      <w:pPr>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根据企业提供资料及现场核查，企业实际产能为年产8000樘非标门，满足本次验收产能要求，符合本次先行竣工验收条件要求</w:t>
      </w:r>
    </w:p>
    <w:p>
      <w:pPr>
        <w:pStyle w:val="5"/>
        <w:keepNext/>
        <w:keepLines/>
        <w:pageBreakBefore w:val="0"/>
        <w:widowControl w:val="0"/>
        <w:kinsoku/>
        <w:wordWrap/>
        <w:overflowPunct/>
        <w:topLinePunct w:val="0"/>
        <w:autoSpaceDE/>
        <w:autoSpaceDN/>
        <w:bidi w:val="0"/>
        <w:adjustRightInd/>
        <w:snapToGrid/>
        <w:spacing w:before="240" w:after="240" w:line="416" w:lineRule="auto"/>
        <w:textAlignment w:val="auto"/>
        <w:rPr>
          <w:rFonts w:eastAsia="宋体"/>
          <w:highlight w:val="none"/>
        </w:rPr>
      </w:pPr>
      <w:r>
        <w:rPr>
          <w:rFonts w:eastAsia="宋体"/>
        </w:rPr>
        <w:t>3.3主要原辅材</w:t>
      </w:r>
      <w:r>
        <w:rPr>
          <w:rFonts w:eastAsia="宋体"/>
          <w:highlight w:val="none"/>
        </w:rPr>
        <w:t>料及燃料</w:t>
      </w:r>
      <w:bookmarkEnd w:id="32"/>
    </w:p>
    <w:p>
      <w:pPr>
        <w:pStyle w:val="47"/>
        <w:spacing w:beforeLines="0" w:afterLines="0" w:line="360" w:lineRule="auto"/>
        <w:ind w:firstLine="0" w:firstLineChars="0"/>
        <w:jc w:val="center"/>
        <w:rPr>
          <w:rFonts w:ascii="Times New Roman" w:hAnsi="Times New Roman" w:cs="Times New Roman"/>
          <w:b/>
          <w:bCs/>
          <w:highlight w:val="none"/>
        </w:rPr>
      </w:pPr>
      <w:r>
        <w:rPr>
          <w:rFonts w:ascii="Times New Roman" w:hAnsi="Times New Roman" w:cs="Times New Roman"/>
          <w:b/>
          <w:bCs/>
          <w:highlight w:val="none"/>
        </w:rPr>
        <w:t>表</w:t>
      </w:r>
      <w:r>
        <w:rPr>
          <w:rFonts w:hint="eastAsia" w:ascii="Times New Roman" w:hAnsi="Times New Roman" w:cs="Times New Roman"/>
          <w:b/>
          <w:bCs/>
          <w:highlight w:val="none"/>
        </w:rPr>
        <w:t>3</w:t>
      </w:r>
      <w:r>
        <w:rPr>
          <w:rFonts w:ascii="Times New Roman" w:hAnsi="Times New Roman" w:cs="Times New Roman"/>
          <w:b/>
          <w:bCs/>
          <w:highlight w:val="none"/>
        </w:rPr>
        <w:t>.3-1</w:t>
      </w:r>
      <w:r>
        <w:rPr>
          <w:rFonts w:hint="eastAsia" w:ascii="Times New Roman" w:hAnsi="Times New Roman" w:cs="Times New Roman"/>
          <w:b/>
          <w:bCs/>
          <w:highlight w:val="none"/>
        </w:rPr>
        <w:t xml:space="preserve"> </w:t>
      </w:r>
      <w:r>
        <w:rPr>
          <w:rFonts w:ascii="Times New Roman" w:hAnsi="Times New Roman" w:cs="Times New Roman"/>
          <w:b/>
          <w:bCs/>
          <w:highlight w:val="none"/>
        </w:rPr>
        <w:t>主要原辅材料与</w:t>
      </w:r>
      <w:r>
        <w:rPr>
          <w:rFonts w:hint="eastAsia" w:ascii="Times New Roman" w:hAnsi="Times New Roman" w:cs="Times New Roman"/>
          <w:b/>
          <w:bCs/>
          <w:highlight w:val="none"/>
        </w:rPr>
        <w:t>燃料</w:t>
      </w:r>
      <w:r>
        <w:rPr>
          <w:rFonts w:ascii="Times New Roman" w:hAnsi="Times New Roman" w:cs="Times New Roman"/>
          <w:b/>
          <w:bCs/>
          <w:highlight w:val="none"/>
        </w:rPr>
        <w:t>消耗表</w:t>
      </w:r>
    </w:p>
    <w:tbl>
      <w:tblPr>
        <w:tblStyle w:val="99"/>
        <w:tblW w:w="550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6" w:type="dxa"/>
          <w:left w:w="0" w:type="dxa"/>
          <w:bottom w:w="0" w:type="dxa"/>
          <w:right w:w="0" w:type="dxa"/>
        </w:tblCellMar>
      </w:tblPr>
      <w:tblGrid>
        <w:gridCol w:w="635"/>
        <w:gridCol w:w="1727"/>
        <w:gridCol w:w="879"/>
        <w:gridCol w:w="1159"/>
        <w:gridCol w:w="1333"/>
        <w:gridCol w:w="1334"/>
        <w:gridCol w:w="1143"/>
        <w:gridCol w:w="96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tblHeader/>
          <w:jc w:val="center"/>
        </w:trPr>
        <w:tc>
          <w:tcPr>
            <w:tcW w:w="633" w:type="dxa"/>
            <w:vMerge w:val="restart"/>
            <w:vAlign w:val="center"/>
          </w:tcPr>
          <w:p>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序号</w:t>
            </w:r>
          </w:p>
        </w:tc>
        <w:tc>
          <w:tcPr>
            <w:tcW w:w="1721" w:type="dxa"/>
            <w:vMerge w:val="restart"/>
            <w:vAlign w:val="center"/>
          </w:tcPr>
          <w:p>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材料名称</w:t>
            </w:r>
          </w:p>
        </w:tc>
        <w:tc>
          <w:tcPr>
            <w:tcW w:w="876" w:type="dxa"/>
            <w:vMerge w:val="restart"/>
            <w:vAlign w:val="center"/>
          </w:tcPr>
          <w:p>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单位</w:t>
            </w:r>
          </w:p>
        </w:tc>
        <w:tc>
          <w:tcPr>
            <w:tcW w:w="1155" w:type="dxa"/>
            <w:vMerge w:val="restart"/>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环评年</w:t>
            </w:r>
          </w:p>
          <w:p>
            <w:pPr>
              <w:adjustRightInd w:val="0"/>
              <w:snapToGrid w:val="0"/>
              <w:spacing w:line="259" w:lineRule="auto"/>
              <w:ind w:right="46"/>
              <w:jc w:val="center"/>
              <w:rPr>
                <w:rFonts w:ascii="Times New Roman" w:hAnsi="Times New Roman" w:cs="Times New Roman"/>
                <w:b/>
                <w:bCs/>
                <w:szCs w:val="21"/>
              </w:rPr>
            </w:pPr>
            <w:r>
              <w:rPr>
                <w:rFonts w:hint="default" w:ascii="Times New Roman" w:hAnsi="Times New Roman" w:eastAsia="宋体" w:cs="Times New Roman"/>
                <w:b/>
                <w:bCs/>
                <w:sz w:val="21"/>
                <w:szCs w:val="21"/>
                <w:highlight w:val="none"/>
                <w:lang w:val="en-US" w:eastAsia="zh-CN"/>
              </w:rPr>
              <w:t>用量</w:t>
            </w:r>
          </w:p>
        </w:tc>
        <w:tc>
          <w:tcPr>
            <w:tcW w:w="2657" w:type="dxa"/>
            <w:gridSpan w:val="2"/>
            <w:vAlign w:val="center"/>
          </w:tcPr>
          <w:p>
            <w:pPr>
              <w:adjustRightInd w:val="0"/>
              <w:snapToGrid w:val="0"/>
              <w:spacing w:line="259" w:lineRule="auto"/>
              <w:ind w:right="46"/>
              <w:jc w:val="center"/>
              <w:rPr>
                <w:rFonts w:ascii="Times New Roman" w:hAnsi="Times New Roman" w:cs="Times New Roman"/>
                <w:b/>
                <w:bCs/>
                <w:szCs w:val="21"/>
              </w:rPr>
            </w:pPr>
            <w:r>
              <w:rPr>
                <w:rFonts w:hint="default" w:ascii="Times New Roman" w:hAnsi="Times New Roman" w:eastAsia="宋体" w:cs="Times New Roman"/>
                <w:b/>
                <w:bCs/>
                <w:sz w:val="21"/>
                <w:szCs w:val="21"/>
                <w:highlight w:val="none"/>
                <w:lang w:val="en-US" w:eastAsia="zh-CN"/>
              </w:rPr>
              <w:t>调试期间日</w:t>
            </w:r>
            <w:r>
              <w:rPr>
                <w:rFonts w:hint="default" w:ascii="Times New Roman" w:hAnsi="Times New Roman" w:eastAsia="宋体" w:cs="Times New Roman"/>
                <w:b/>
                <w:bCs/>
                <w:sz w:val="21"/>
                <w:szCs w:val="21"/>
                <w:highlight w:val="none"/>
              </w:rPr>
              <w:t>用量</w:t>
            </w:r>
            <w:r>
              <w:rPr>
                <w:rFonts w:hint="eastAsia" w:ascii="Times New Roman" w:hAnsi="Times New Roman" w:eastAsia="宋体" w:cs="Times New Roman"/>
                <w:b/>
                <w:bCs/>
                <w:sz w:val="21"/>
                <w:szCs w:val="21"/>
                <w:highlight w:val="none"/>
                <w:vertAlign w:val="superscript"/>
                <w:lang w:val="en-US" w:eastAsia="zh-CN"/>
              </w:rPr>
              <w:t>[1]</w:t>
            </w:r>
          </w:p>
        </w:tc>
        <w:tc>
          <w:tcPr>
            <w:tcW w:w="1139" w:type="dxa"/>
            <w:vMerge w:val="restart"/>
            <w:vAlign w:val="center"/>
          </w:tcPr>
          <w:p>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折算年用量</w:t>
            </w:r>
          </w:p>
        </w:tc>
        <w:tc>
          <w:tcPr>
            <w:tcW w:w="965" w:type="dxa"/>
            <w:vMerge w:val="restart"/>
            <w:vAlign w:val="center"/>
          </w:tcPr>
          <w:p>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变化情况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tblHeader/>
          <w:jc w:val="center"/>
        </w:trPr>
        <w:tc>
          <w:tcPr>
            <w:tcW w:w="633" w:type="dxa"/>
            <w:vMerge w:val="continue"/>
            <w:vAlign w:val="center"/>
          </w:tcPr>
          <w:p>
            <w:pPr>
              <w:adjustRightInd w:val="0"/>
              <w:snapToGrid w:val="0"/>
              <w:spacing w:line="259" w:lineRule="auto"/>
              <w:ind w:right="46"/>
              <w:jc w:val="center"/>
              <w:rPr>
                <w:rFonts w:ascii="Times New Roman" w:hAnsi="Times New Roman" w:cs="Times New Roman"/>
                <w:b/>
                <w:bCs/>
                <w:szCs w:val="21"/>
              </w:rPr>
            </w:pPr>
          </w:p>
        </w:tc>
        <w:tc>
          <w:tcPr>
            <w:tcW w:w="1721" w:type="dxa"/>
            <w:vMerge w:val="continue"/>
            <w:vAlign w:val="center"/>
          </w:tcPr>
          <w:p>
            <w:pPr>
              <w:adjustRightInd w:val="0"/>
              <w:snapToGrid w:val="0"/>
              <w:spacing w:line="259" w:lineRule="auto"/>
              <w:ind w:right="46"/>
              <w:jc w:val="center"/>
              <w:rPr>
                <w:rFonts w:ascii="Times New Roman" w:hAnsi="Times New Roman" w:cs="Times New Roman"/>
                <w:b/>
                <w:bCs/>
                <w:szCs w:val="21"/>
              </w:rPr>
            </w:pPr>
          </w:p>
        </w:tc>
        <w:tc>
          <w:tcPr>
            <w:tcW w:w="876" w:type="dxa"/>
            <w:vMerge w:val="continue"/>
            <w:vAlign w:val="center"/>
          </w:tcPr>
          <w:p>
            <w:pPr>
              <w:adjustRightInd w:val="0"/>
              <w:snapToGrid w:val="0"/>
              <w:spacing w:line="259" w:lineRule="auto"/>
              <w:ind w:right="46"/>
              <w:jc w:val="center"/>
              <w:rPr>
                <w:rFonts w:ascii="Times New Roman" w:hAnsi="Times New Roman" w:cs="Times New Roman"/>
                <w:b/>
                <w:bCs/>
                <w:szCs w:val="21"/>
              </w:rPr>
            </w:pPr>
          </w:p>
        </w:tc>
        <w:tc>
          <w:tcPr>
            <w:tcW w:w="1155" w:type="dxa"/>
            <w:vMerge w:val="continue"/>
            <w:vAlign w:val="center"/>
          </w:tcPr>
          <w:p>
            <w:pPr>
              <w:adjustRightInd w:val="0"/>
              <w:snapToGrid w:val="0"/>
              <w:spacing w:line="259" w:lineRule="auto"/>
              <w:ind w:right="46"/>
              <w:jc w:val="center"/>
              <w:rPr>
                <w:rFonts w:ascii="Times New Roman" w:hAnsi="Times New Roman" w:cs="Times New Roman"/>
                <w:b/>
                <w:bCs/>
                <w:szCs w:val="21"/>
              </w:rPr>
            </w:pPr>
          </w:p>
        </w:tc>
        <w:tc>
          <w:tcPr>
            <w:tcW w:w="1328" w:type="dxa"/>
            <w:vAlign w:val="center"/>
          </w:tcPr>
          <w:p>
            <w:pPr>
              <w:adjustRightInd w:val="0"/>
              <w:snapToGrid w:val="0"/>
              <w:spacing w:line="259" w:lineRule="auto"/>
              <w:ind w:right="46"/>
              <w:jc w:val="center"/>
              <w:rPr>
                <w:rFonts w:ascii="Times New Roman" w:hAnsi="Times New Roman" w:cs="Times New Roman"/>
                <w:b/>
                <w:bCs/>
                <w:szCs w:val="21"/>
              </w:rPr>
            </w:pPr>
            <w:r>
              <w:rPr>
                <w:rFonts w:hint="eastAsia" w:ascii="Times New Roman" w:hAnsi="Times New Roman" w:cs="Times New Roman"/>
                <w:b/>
                <w:bCs/>
                <w:szCs w:val="21"/>
                <w:lang w:val="en-US" w:eastAsia="zh-CN"/>
              </w:rPr>
              <w:t>12月21日</w:t>
            </w:r>
          </w:p>
        </w:tc>
        <w:tc>
          <w:tcPr>
            <w:tcW w:w="1329" w:type="dxa"/>
            <w:vAlign w:val="center"/>
          </w:tcPr>
          <w:p>
            <w:pPr>
              <w:adjustRightInd w:val="0"/>
              <w:snapToGrid w:val="0"/>
              <w:spacing w:line="259" w:lineRule="auto"/>
              <w:ind w:right="46"/>
              <w:jc w:val="center"/>
              <w:rPr>
                <w:rFonts w:ascii="Times New Roman" w:hAnsi="Times New Roman" w:cs="Times New Roman"/>
                <w:b/>
                <w:bCs/>
                <w:szCs w:val="21"/>
              </w:rPr>
            </w:pPr>
            <w:r>
              <w:rPr>
                <w:rFonts w:hint="eastAsia" w:ascii="Times New Roman" w:hAnsi="Times New Roman" w:cs="Times New Roman"/>
                <w:b/>
                <w:bCs/>
                <w:szCs w:val="21"/>
                <w:lang w:val="en-US" w:eastAsia="zh-CN"/>
              </w:rPr>
              <w:t>12月22日</w:t>
            </w:r>
          </w:p>
        </w:tc>
        <w:tc>
          <w:tcPr>
            <w:tcW w:w="1139" w:type="dxa"/>
            <w:vMerge w:val="continue"/>
            <w:vAlign w:val="center"/>
          </w:tcPr>
          <w:p>
            <w:pPr>
              <w:adjustRightInd w:val="0"/>
              <w:snapToGrid w:val="0"/>
              <w:spacing w:line="259" w:lineRule="auto"/>
              <w:ind w:right="46"/>
              <w:jc w:val="center"/>
              <w:rPr>
                <w:rFonts w:ascii="Times New Roman" w:hAnsi="Times New Roman" w:cs="Times New Roman"/>
                <w:b/>
                <w:bCs/>
                <w:szCs w:val="21"/>
              </w:rPr>
            </w:pPr>
          </w:p>
        </w:tc>
        <w:tc>
          <w:tcPr>
            <w:tcW w:w="965" w:type="dxa"/>
            <w:vMerge w:val="continue"/>
            <w:vAlign w:val="center"/>
          </w:tcPr>
          <w:p>
            <w:pPr>
              <w:adjustRightInd w:val="0"/>
              <w:snapToGrid w:val="0"/>
              <w:spacing w:line="259" w:lineRule="auto"/>
              <w:ind w:right="46"/>
              <w:jc w:val="center"/>
              <w:rPr>
                <w:rFonts w:ascii="Times New Roman" w:hAnsi="Times New Roman" w:cs="Times New Roman"/>
                <w:b/>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镀锌钢板</w:t>
            </w:r>
          </w:p>
        </w:tc>
        <w:tc>
          <w:tcPr>
            <w:tcW w:w="876"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t/a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500</w:t>
            </w:r>
          </w:p>
        </w:tc>
        <w:tc>
          <w:tcPr>
            <w:tcW w:w="1328"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1.53</w:t>
            </w:r>
          </w:p>
        </w:tc>
        <w:tc>
          <w:tcPr>
            <w:tcW w:w="132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1.50</w:t>
            </w:r>
          </w:p>
        </w:tc>
        <w:tc>
          <w:tcPr>
            <w:tcW w:w="113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454.5</w:t>
            </w:r>
          </w:p>
        </w:tc>
        <w:tc>
          <w:tcPr>
            <w:tcW w:w="96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焊丝</w:t>
            </w:r>
          </w:p>
        </w:tc>
        <w:tc>
          <w:tcPr>
            <w:tcW w:w="876"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t/a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w:t>
            </w:r>
          </w:p>
        </w:tc>
        <w:tc>
          <w:tcPr>
            <w:tcW w:w="1328"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0.009</w:t>
            </w:r>
          </w:p>
        </w:tc>
        <w:tc>
          <w:tcPr>
            <w:tcW w:w="132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0.010</w:t>
            </w:r>
          </w:p>
        </w:tc>
        <w:tc>
          <w:tcPr>
            <w:tcW w:w="113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2.85</w:t>
            </w:r>
          </w:p>
        </w:tc>
        <w:tc>
          <w:tcPr>
            <w:tcW w:w="96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二氧化碳</w:t>
            </w:r>
          </w:p>
        </w:tc>
        <w:tc>
          <w:tcPr>
            <w:tcW w:w="876"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瓶/a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50</w:t>
            </w:r>
          </w:p>
        </w:tc>
        <w:tc>
          <w:tcPr>
            <w:tcW w:w="2657" w:type="dxa"/>
            <w:gridSpan w:val="2"/>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监测当月使用量约4瓶</w:t>
            </w:r>
          </w:p>
        </w:tc>
        <w:tc>
          <w:tcPr>
            <w:tcW w:w="113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48</w:t>
            </w:r>
          </w:p>
        </w:tc>
        <w:tc>
          <w:tcPr>
            <w:tcW w:w="96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聚氨酯</w:t>
            </w:r>
            <w:r>
              <w:rPr>
                <w:rFonts w:hint="default" w:ascii="Times New Roman" w:hAnsi="Times New Roman" w:cs="Times New Roman"/>
                <w:b w:val="0"/>
                <w:bCs w:val="0"/>
                <w:color w:val="auto"/>
                <w:kern w:val="2"/>
                <w:sz w:val="21"/>
                <w:szCs w:val="21"/>
                <w:lang w:val="en-US" w:eastAsia="zh-CN" w:bidi="ar-SA"/>
              </w:rPr>
              <w:t>胶</w:t>
            </w:r>
          </w:p>
        </w:tc>
        <w:tc>
          <w:tcPr>
            <w:tcW w:w="876"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t/a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w:t>
            </w:r>
          </w:p>
        </w:tc>
        <w:tc>
          <w:tcPr>
            <w:tcW w:w="1328" w:type="dxa"/>
            <w:shd w:val="clear" w:color="auto" w:fill="auto"/>
            <w:vAlign w:val="center"/>
          </w:tcPr>
          <w:p>
            <w:pPr>
              <w:adjustRightInd w:val="0"/>
              <w:snapToGrid w:val="0"/>
              <w:ind w:right="32"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0.009</w:t>
            </w:r>
          </w:p>
        </w:tc>
        <w:tc>
          <w:tcPr>
            <w:tcW w:w="1329" w:type="dxa"/>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0.010</w:t>
            </w:r>
          </w:p>
        </w:tc>
        <w:tc>
          <w:tcPr>
            <w:tcW w:w="1139" w:type="dxa"/>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2.85</w:t>
            </w:r>
          </w:p>
        </w:tc>
        <w:tc>
          <w:tcPr>
            <w:tcW w:w="965"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蜂窝纸</w:t>
            </w:r>
          </w:p>
        </w:tc>
        <w:tc>
          <w:tcPr>
            <w:tcW w:w="876"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t/a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10</w:t>
            </w:r>
          </w:p>
        </w:tc>
        <w:tc>
          <w:tcPr>
            <w:tcW w:w="1328"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0.030</w:t>
            </w:r>
          </w:p>
        </w:tc>
        <w:tc>
          <w:tcPr>
            <w:tcW w:w="132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0.031</w:t>
            </w:r>
          </w:p>
        </w:tc>
        <w:tc>
          <w:tcPr>
            <w:tcW w:w="113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9.15</w:t>
            </w:r>
          </w:p>
        </w:tc>
        <w:tc>
          <w:tcPr>
            <w:tcW w:w="96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-0.85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油性漆</w:t>
            </w:r>
          </w:p>
        </w:tc>
        <w:tc>
          <w:tcPr>
            <w:tcW w:w="876"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t/a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3.2</w:t>
            </w:r>
          </w:p>
        </w:tc>
        <w:tc>
          <w:tcPr>
            <w:tcW w:w="1328" w:type="dxa"/>
            <w:shd w:val="clear" w:color="auto" w:fill="auto"/>
            <w:vAlign w:val="center"/>
          </w:tcPr>
          <w:p>
            <w:pPr>
              <w:adjustRightInd w:val="0"/>
              <w:snapToGrid w:val="0"/>
              <w:ind w:right="32"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0.009</w:t>
            </w:r>
          </w:p>
        </w:tc>
        <w:tc>
          <w:tcPr>
            <w:tcW w:w="1329" w:type="dxa"/>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0.010</w:t>
            </w:r>
          </w:p>
        </w:tc>
        <w:tc>
          <w:tcPr>
            <w:tcW w:w="1139" w:type="dxa"/>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2.85</w:t>
            </w:r>
          </w:p>
        </w:tc>
        <w:tc>
          <w:tcPr>
            <w:tcW w:w="965"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稀释剂</w:t>
            </w:r>
          </w:p>
        </w:tc>
        <w:tc>
          <w:tcPr>
            <w:tcW w:w="876"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t/a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1.6</w:t>
            </w:r>
          </w:p>
        </w:tc>
        <w:tc>
          <w:tcPr>
            <w:tcW w:w="1328"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0.0045</w:t>
            </w:r>
          </w:p>
        </w:tc>
        <w:tc>
          <w:tcPr>
            <w:tcW w:w="132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0.0050</w:t>
            </w:r>
          </w:p>
        </w:tc>
        <w:tc>
          <w:tcPr>
            <w:tcW w:w="113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1.425</w:t>
            </w:r>
          </w:p>
        </w:tc>
        <w:tc>
          <w:tcPr>
            <w:tcW w:w="96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-0.175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塑粉</w:t>
            </w:r>
          </w:p>
        </w:tc>
        <w:tc>
          <w:tcPr>
            <w:tcW w:w="876"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t/a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14</w:t>
            </w:r>
          </w:p>
        </w:tc>
        <w:tc>
          <w:tcPr>
            <w:tcW w:w="1328"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0.042</w:t>
            </w:r>
          </w:p>
        </w:tc>
        <w:tc>
          <w:tcPr>
            <w:tcW w:w="132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0.043</w:t>
            </w:r>
          </w:p>
        </w:tc>
        <w:tc>
          <w:tcPr>
            <w:tcW w:w="113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12.75</w:t>
            </w:r>
          </w:p>
        </w:tc>
        <w:tc>
          <w:tcPr>
            <w:tcW w:w="96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润滑油</w:t>
            </w:r>
          </w:p>
        </w:tc>
        <w:tc>
          <w:tcPr>
            <w:tcW w:w="876"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t/a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0.34</w:t>
            </w:r>
          </w:p>
        </w:tc>
        <w:tc>
          <w:tcPr>
            <w:tcW w:w="1328"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w:t>
            </w:r>
          </w:p>
        </w:tc>
        <w:tc>
          <w:tcPr>
            <w:tcW w:w="132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w:t>
            </w:r>
          </w:p>
        </w:tc>
        <w:tc>
          <w:tcPr>
            <w:tcW w:w="113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w:t>
            </w:r>
          </w:p>
        </w:tc>
        <w:tc>
          <w:tcPr>
            <w:tcW w:w="96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抹布</w:t>
            </w:r>
          </w:p>
        </w:tc>
        <w:tc>
          <w:tcPr>
            <w:tcW w:w="876"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t/a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0.03</w:t>
            </w:r>
          </w:p>
        </w:tc>
        <w:tc>
          <w:tcPr>
            <w:tcW w:w="2657" w:type="dxa"/>
            <w:gridSpan w:val="2"/>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监测当月使用量约2.5kg</w:t>
            </w:r>
          </w:p>
        </w:tc>
        <w:tc>
          <w:tcPr>
            <w:tcW w:w="113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w:t>
            </w:r>
          </w:p>
        </w:tc>
        <w:tc>
          <w:tcPr>
            <w:tcW w:w="96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包装纸</w:t>
            </w:r>
          </w:p>
        </w:tc>
        <w:tc>
          <w:tcPr>
            <w:tcW w:w="876"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t</w:t>
            </w:r>
            <w:r>
              <w:rPr>
                <w:rFonts w:hint="default" w:ascii="Times New Roman" w:hAnsi="Times New Roman" w:cs="Times New Roman"/>
                <w:b w:val="0"/>
                <w:bCs w:val="0"/>
                <w:color w:val="auto"/>
                <w:kern w:val="2"/>
                <w:sz w:val="21"/>
                <w:szCs w:val="21"/>
                <w:lang w:val="en-US" w:eastAsia="zh-CN" w:bidi="ar-SA"/>
              </w:rPr>
              <w:t>/a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w:t>
            </w:r>
          </w:p>
        </w:tc>
        <w:tc>
          <w:tcPr>
            <w:tcW w:w="1328"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0.009</w:t>
            </w:r>
          </w:p>
        </w:tc>
        <w:tc>
          <w:tcPr>
            <w:tcW w:w="132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0.010</w:t>
            </w:r>
          </w:p>
        </w:tc>
        <w:tc>
          <w:tcPr>
            <w:tcW w:w="113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2.85</w:t>
            </w:r>
          </w:p>
        </w:tc>
        <w:tc>
          <w:tcPr>
            <w:tcW w:w="96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-0.15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其他配件（锁具、把手等）</w:t>
            </w:r>
          </w:p>
        </w:tc>
        <w:tc>
          <w:tcPr>
            <w:tcW w:w="876"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套</w:t>
            </w:r>
            <w:r>
              <w:rPr>
                <w:rFonts w:hint="default" w:ascii="Times New Roman" w:hAnsi="Times New Roman" w:cs="Times New Roman"/>
                <w:b w:val="0"/>
                <w:bCs w:val="0"/>
                <w:color w:val="auto"/>
                <w:kern w:val="2"/>
                <w:sz w:val="21"/>
                <w:szCs w:val="21"/>
                <w:lang w:val="en-US" w:eastAsia="zh-CN" w:bidi="ar-SA"/>
              </w:rPr>
              <w:t>/a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8000</w:t>
            </w:r>
          </w:p>
        </w:tc>
        <w:tc>
          <w:tcPr>
            <w:tcW w:w="1328"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24</w:t>
            </w:r>
          </w:p>
        </w:tc>
        <w:tc>
          <w:tcPr>
            <w:tcW w:w="132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25</w:t>
            </w:r>
          </w:p>
        </w:tc>
        <w:tc>
          <w:tcPr>
            <w:tcW w:w="113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7350</w:t>
            </w:r>
          </w:p>
        </w:tc>
        <w:tc>
          <w:tcPr>
            <w:tcW w:w="96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水</w:t>
            </w:r>
          </w:p>
        </w:tc>
        <w:tc>
          <w:tcPr>
            <w:tcW w:w="876"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t/a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710</w:t>
            </w:r>
          </w:p>
        </w:tc>
        <w:tc>
          <w:tcPr>
            <w:tcW w:w="1328"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2.22</w:t>
            </w:r>
          </w:p>
        </w:tc>
        <w:tc>
          <w:tcPr>
            <w:tcW w:w="132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2.25</w:t>
            </w:r>
          </w:p>
        </w:tc>
        <w:tc>
          <w:tcPr>
            <w:tcW w:w="113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670.5</w:t>
            </w:r>
          </w:p>
        </w:tc>
        <w:tc>
          <w:tcPr>
            <w:tcW w:w="96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电</w:t>
            </w:r>
          </w:p>
        </w:tc>
        <w:tc>
          <w:tcPr>
            <w:tcW w:w="876" w:type="dxa"/>
            <w:vAlign w:val="center"/>
          </w:tcPr>
          <w:p>
            <w:pPr>
              <w:widowControl/>
              <w:autoSpaceDE/>
              <w:autoSpaceDN/>
              <w:spacing w:before="0" w:after="0" w:line="240" w:lineRule="auto"/>
              <w:ind w:left="0" w:leftChars="0" w:right="0" w:rightChars="0"/>
              <w:jc w:val="center"/>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万度/a</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35</w:t>
            </w:r>
          </w:p>
        </w:tc>
        <w:tc>
          <w:tcPr>
            <w:tcW w:w="2657" w:type="dxa"/>
            <w:gridSpan w:val="2"/>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监测当月使用量约2.5万度</w:t>
            </w:r>
          </w:p>
        </w:tc>
        <w:tc>
          <w:tcPr>
            <w:tcW w:w="1139" w:type="dxa"/>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w:t>
            </w:r>
          </w:p>
        </w:tc>
        <w:tc>
          <w:tcPr>
            <w:tcW w:w="965"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3"/>
              </w:numPr>
              <w:ind w:firstLineChars="0"/>
              <w:rPr>
                <w:rFonts w:ascii="Times New Roman" w:hAnsi="Times New Roman" w:cs="Times New Roman"/>
                <w:szCs w:val="21"/>
              </w:rPr>
            </w:pPr>
          </w:p>
        </w:tc>
        <w:tc>
          <w:tcPr>
            <w:tcW w:w="1721"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天然气</w:t>
            </w:r>
          </w:p>
        </w:tc>
        <w:tc>
          <w:tcPr>
            <w:tcW w:w="876"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万m</w:t>
            </w:r>
            <w:r>
              <w:rPr>
                <w:rFonts w:hint="eastAsia" w:ascii="Times New Roman" w:hAnsi="Times New Roman" w:cs="Times New Roman"/>
                <w:b w:val="0"/>
                <w:bCs w:val="0"/>
                <w:color w:val="auto"/>
                <w:kern w:val="2"/>
                <w:sz w:val="21"/>
                <w:szCs w:val="21"/>
                <w:vertAlign w:val="superscript"/>
                <w:lang w:val="en-US" w:eastAsia="zh-CN" w:bidi="ar-SA"/>
              </w:rPr>
              <w:t>3</w:t>
            </w:r>
            <w:r>
              <w:rPr>
                <w:rFonts w:hint="eastAsia" w:ascii="Times New Roman" w:hAnsi="Times New Roman" w:cs="Times New Roman"/>
                <w:b w:val="0"/>
                <w:bCs w:val="0"/>
                <w:color w:val="auto"/>
                <w:kern w:val="2"/>
                <w:sz w:val="21"/>
                <w:szCs w:val="21"/>
                <w:lang w:val="en-US" w:eastAsia="zh-CN" w:bidi="ar-SA"/>
              </w:rPr>
              <w:t>/年</w:t>
            </w:r>
          </w:p>
        </w:tc>
        <w:tc>
          <w:tcPr>
            <w:tcW w:w="1155" w:type="dxa"/>
            <w:vAlign w:val="center"/>
          </w:tcPr>
          <w:p>
            <w:pPr>
              <w:widowControl/>
              <w:autoSpaceDE/>
              <w:autoSpaceDN/>
              <w:spacing w:before="0" w:after="0" w:line="240" w:lineRule="auto"/>
              <w:ind w:left="0" w:leftChars="0" w:right="0" w:rightChars="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10</w:t>
            </w:r>
          </w:p>
        </w:tc>
        <w:tc>
          <w:tcPr>
            <w:tcW w:w="2657" w:type="dxa"/>
            <w:gridSpan w:val="2"/>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监测当月使用量为1785.7m</w:t>
            </w:r>
            <w:r>
              <w:rPr>
                <w:rFonts w:hint="eastAsia" w:ascii="Times New Roman" w:hAnsi="Times New Roman" w:eastAsia="宋体" w:cs="Times New Roman"/>
                <w:kern w:val="2"/>
                <w:sz w:val="21"/>
                <w:szCs w:val="21"/>
                <w:highlight w:val="none"/>
                <w:vertAlign w:val="superscript"/>
                <w:lang w:val="en-US" w:eastAsia="zh-CN" w:bidi="ar-SA"/>
              </w:rPr>
              <w:t>3</w:t>
            </w:r>
          </w:p>
        </w:tc>
        <w:tc>
          <w:tcPr>
            <w:tcW w:w="1139" w:type="dxa"/>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2.143</w:t>
            </w:r>
          </w:p>
        </w:tc>
        <w:tc>
          <w:tcPr>
            <w:tcW w:w="965"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-7.857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33" w:type="dxa"/>
            <w:vAlign w:val="center"/>
          </w:tcPr>
          <w:p>
            <w:pPr>
              <w:pStyle w:val="111"/>
              <w:numPr>
                <w:ilvl w:val="0"/>
                <w:numId w:val="0"/>
              </w:num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备注</w:t>
            </w:r>
          </w:p>
        </w:tc>
        <w:tc>
          <w:tcPr>
            <w:tcW w:w="8513" w:type="dxa"/>
            <w:gridSpan w:val="7"/>
            <w:vAlign w:val="center"/>
          </w:tcPr>
          <w:p>
            <w:pPr>
              <w:jc w:val="both"/>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kern w:val="2"/>
                <w:sz w:val="21"/>
                <w:szCs w:val="21"/>
                <w:lang w:val="en-US" w:eastAsia="zh-CN" w:bidi="ar-SA"/>
              </w:rPr>
              <w:t>1、</w:t>
            </w:r>
            <w:r>
              <w:rPr>
                <w:rFonts w:hint="eastAsia" w:ascii="Times New Roman" w:hAnsi="Times New Roman" w:eastAsia="宋体" w:cs="Times New Roman"/>
                <w:i w:val="0"/>
                <w:iCs w:val="0"/>
                <w:color w:val="000000"/>
                <w:kern w:val="0"/>
                <w:sz w:val="22"/>
                <w:szCs w:val="22"/>
                <w:u w:val="none"/>
                <w:lang w:val="en-US" w:eastAsia="zh-CN" w:bidi="ar"/>
              </w:rPr>
              <w:t>本项目试运行至验收监测期间，暂未更换设备润滑油，约3年更换一次；</w:t>
            </w:r>
          </w:p>
          <w:p>
            <w:pPr>
              <w:jc w:val="both"/>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2、验收监测期间，使用的抹布未报废，结合当月使用量，折算年用量约0.03t/年；</w:t>
            </w:r>
          </w:p>
          <w:p>
            <w:pPr>
              <w:jc w:val="both"/>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3、验收监测期间，二氧化碳整瓶未使用完，结合当月使用量，折算年用量约48瓶/年；</w:t>
            </w:r>
          </w:p>
          <w:p>
            <w:pPr>
              <w:jc w:val="both"/>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4、验收监测期间，天然气的当月使用量为</w:t>
            </w:r>
            <w:r>
              <w:rPr>
                <w:rFonts w:hint="eastAsia" w:ascii="Times New Roman" w:hAnsi="Times New Roman" w:eastAsia="宋体" w:cs="Times New Roman"/>
                <w:kern w:val="2"/>
                <w:sz w:val="21"/>
                <w:szCs w:val="21"/>
                <w:highlight w:val="none"/>
                <w:lang w:val="en-US" w:eastAsia="zh-CN" w:bidi="ar-SA"/>
              </w:rPr>
              <w:t>1785.7m</w:t>
            </w:r>
            <w:r>
              <w:rPr>
                <w:rFonts w:hint="eastAsia" w:ascii="Times New Roman" w:hAnsi="Times New Roman" w:eastAsia="宋体" w:cs="Times New Roman"/>
                <w:kern w:val="2"/>
                <w:sz w:val="21"/>
                <w:szCs w:val="21"/>
                <w:highlight w:val="none"/>
                <w:vertAlign w:val="superscript"/>
                <w:lang w:val="en-US" w:eastAsia="zh-CN" w:bidi="ar-SA"/>
              </w:rPr>
              <w:t>3</w:t>
            </w:r>
            <w:r>
              <w:rPr>
                <w:rFonts w:hint="eastAsia" w:ascii="Times New Roman" w:hAnsi="Times New Roman" w:eastAsia="宋体" w:cs="Times New Roman"/>
                <w:i w:val="0"/>
                <w:iCs w:val="0"/>
                <w:color w:val="000000"/>
                <w:kern w:val="0"/>
                <w:sz w:val="22"/>
                <w:szCs w:val="22"/>
                <w:u w:val="none"/>
                <w:lang w:val="en-US" w:eastAsia="zh-CN" w:bidi="ar"/>
              </w:rPr>
              <w:t>，折算年用量为2.143</w:t>
            </w:r>
            <w:r>
              <w:rPr>
                <w:rFonts w:hint="eastAsia" w:ascii="Times New Roman" w:hAnsi="Times New Roman" w:cs="Times New Roman"/>
                <w:b w:val="0"/>
                <w:bCs w:val="0"/>
                <w:color w:val="auto"/>
                <w:kern w:val="2"/>
                <w:sz w:val="21"/>
                <w:szCs w:val="21"/>
                <w:lang w:val="en-US" w:eastAsia="zh-CN" w:bidi="ar-SA"/>
              </w:rPr>
              <w:t>万m</w:t>
            </w:r>
            <w:r>
              <w:rPr>
                <w:rFonts w:hint="eastAsia" w:ascii="Times New Roman" w:hAnsi="Times New Roman" w:cs="Times New Roman"/>
                <w:b w:val="0"/>
                <w:bCs w:val="0"/>
                <w:color w:val="auto"/>
                <w:kern w:val="2"/>
                <w:sz w:val="21"/>
                <w:szCs w:val="21"/>
                <w:vertAlign w:val="superscript"/>
                <w:lang w:val="en-US" w:eastAsia="zh-CN" w:bidi="ar-SA"/>
              </w:rPr>
              <w:t>3</w:t>
            </w:r>
            <w:r>
              <w:rPr>
                <w:rFonts w:hint="eastAsia" w:ascii="Times New Roman" w:hAnsi="Times New Roman" w:cs="Times New Roman"/>
                <w:b w:val="0"/>
                <w:bCs w:val="0"/>
                <w:color w:val="auto"/>
                <w:kern w:val="2"/>
                <w:sz w:val="21"/>
                <w:szCs w:val="21"/>
                <w:lang w:val="en-US" w:eastAsia="zh-CN" w:bidi="ar-SA"/>
              </w:rPr>
              <w:t>/年；</w:t>
            </w:r>
          </w:p>
          <w:p>
            <w:pPr>
              <w:jc w:val="both"/>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5、调试期间用量由企业提供</w:t>
            </w:r>
            <w:r>
              <w:rPr>
                <w:rFonts w:hint="eastAsia" w:ascii="Times New Roman" w:hAnsi="Times New Roman" w:eastAsia="宋体" w:cs="Times New Roman"/>
                <w:kern w:val="2"/>
                <w:sz w:val="21"/>
                <w:szCs w:val="21"/>
                <w:lang w:val="en-US" w:eastAsia="zh-CN" w:bidi="ar-SA"/>
              </w:rPr>
              <w:t>。</w:t>
            </w:r>
          </w:p>
        </w:tc>
      </w:tr>
    </w:tbl>
    <w:p>
      <w:pPr>
        <w:pStyle w:val="47"/>
        <w:keepNext w:val="0"/>
        <w:keepLines w:val="0"/>
        <w:pageBreakBefore w:val="0"/>
        <w:widowControl w:val="0"/>
        <w:kinsoku/>
        <w:wordWrap/>
        <w:overflowPunct/>
        <w:topLinePunct w:val="0"/>
        <w:autoSpaceDE/>
        <w:autoSpaceDN/>
        <w:bidi w:val="0"/>
        <w:adjustRightInd/>
        <w:snapToGrid/>
        <w:spacing w:beforeLines="0" w:afterLines="0" w:line="120" w:lineRule="exact"/>
        <w:ind w:firstLine="0" w:firstLineChars="0"/>
        <w:jc w:val="center"/>
        <w:textAlignment w:val="auto"/>
        <w:rPr>
          <w:rFonts w:ascii="Times New Roman" w:hAnsi="Times New Roman" w:cs="Times New Roman"/>
          <w:b/>
          <w:bCs/>
          <w:sz w:val="10"/>
          <w:szCs w:val="10"/>
          <w:highlight w:val="none"/>
        </w:rPr>
      </w:pPr>
    </w:p>
    <w:p>
      <w:pPr>
        <w:snapToGrid w:val="0"/>
        <w:spacing w:line="240" w:lineRule="auto"/>
        <w:ind w:firstLine="200" w:firstLineChars="200"/>
        <w:rPr>
          <w:rFonts w:hint="eastAsia" w:ascii="Times New Roman" w:hAnsi="Times New Roman" w:cs="Times New Roman"/>
          <w:sz w:val="10"/>
          <w:szCs w:val="10"/>
          <w:highlight w:val="none"/>
          <w:lang w:val="en-US" w:eastAsia="zh-CN"/>
        </w:rPr>
      </w:pP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根据企业提供资料及现场核查，试运行生产过程中原辅料种类与现有产能基本一致，各原辅材料用量与企业现实际产能相匹配，具体变化情况详见表3.3-1。</w:t>
      </w:r>
    </w:p>
    <w:p>
      <w:pPr>
        <w:pStyle w:val="5"/>
        <w:keepNext/>
        <w:keepLines/>
        <w:pageBreakBefore w:val="0"/>
        <w:widowControl w:val="0"/>
        <w:kinsoku/>
        <w:wordWrap/>
        <w:overflowPunct/>
        <w:topLinePunct w:val="0"/>
        <w:autoSpaceDE/>
        <w:autoSpaceDN/>
        <w:bidi w:val="0"/>
        <w:adjustRightInd/>
        <w:snapToGrid/>
        <w:spacing w:before="240" w:after="240" w:line="416" w:lineRule="auto"/>
        <w:textAlignment w:val="auto"/>
        <w:rPr>
          <w:rFonts w:eastAsia="宋体"/>
        </w:rPr>
      </w:pPr>
      <w:bookmarkStart w:id="33" w:name="_Toc14475"/>
      <w:r>
        <w:rPr>
          <w:rFonts w:eastAsia="宋体"/>
        </w:rPr>
        <w:t>3.4</w:t>
      </w:r>
      <w:r>
        <w:rPr>
          <w:rFonts w:hint="eastAsia" w:eastAsia="宋体"/>
        </w:rPr>
        <w:t>主要生产设备</w:t>
      </w:r>
      <w:bookmarkEnd w:id="33"/>
    </w:p>
    <w:p>
      <w:pPr>
        <w:jc w:val="center"/>
        <w:rPr>
          <w:rFonts w:hint="eastAsia" w:ascii="Times New Roman" w:hAnsi="Times New Roman" w:cs="Times New Roman" w:eastAsiaTheme="minorEastAsia"/>
          <w:b/>
          <w:bCs/>
          <w:kern w:val="2"/>
          <w:sz w:val="24"/>
          <w:szCs w:val="24"/>
          <w:lang w:val="en-US" w:eastAsia="zh-CN" w:bidi="ar-SA"/>
        </w:rPr>
      </w:pPr>
      <w:r>
        <w:rPr>
          <w:rFonts w:hint="eastAsia" w:ascii="Times New Roman" w:hAnsi="Times New Roman" w:cs="Times New Roman" w:eastAsiaTheme="minorEastAsia"/>
          <w:b/>
          <w:bCs/>
          <w:kern w:val="2"/>
          <w:sz w:val="24"/>
          <w:szCs w:val="24"/>
          <w:lang w:val="en-US" w:eastAsia="zh-CN" w:bidi="ar-SA"/>
        </w:rPr>
        <w:t>表3.</w:t>
      </w:r>
      <w:r>
        <w:rPr>
          <w:rFonts w:hint="eastAsia" w:ascii="Times New Roman" w:hAnsi="Times New Roman" w:cs="Times New Roman"/>
          <w:b/>
          <w:bCs/>
          <w:kern w:val="2"/>
          <w:sz w:val="24"/>
          <w:szCs w:val="24"/>
          <w:lang w:val="en-US" w:eastAsia="zh-CN" w:bidi="ar-SA"/>
        </w:rPr>
        <w:t>4</w:t>
      </w:r>
      <w:r>
        <w:rPr>
          <w:rFonts w:hint="eastAsia" w:ascii="Times New Roman" w:hAnsi="Times New Roman" w:cs="Times New Roman" w:eastAsiaTheme="minorEastAsia"/>
          <w:b/>
          <w:bCs/>
          <w:kern w:val="2"/>
          <w:sz w:val="24"/>
          <w:szCs w:val="24"/>
          <w:lang w:val="en-US" w:eastAsia="zh-CN" w:bidi="ar-SA"/>
        </w:rPr>
        <w:t>-1 项目主要生产设备</w:t>
      </w:r>
    </w:p>
    <w:tbl>
      <w:tblPr>
        <w:tblStyle w:val="99"/>
        <w:tblW w:w="5054"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751"/>
        <w:gridCol w:w="671"/>
        <w:gridCol w:w="1019"/>
        <w:gridCol w:w="894"/>
        <w:gridCol w:w="1387"/>
        <w:gridCol w:w="1319"/>
        <w:gridCol w:w="1208"/>
        <w:gridCol w:w="12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tblHeader/>
          <w:jc w:val="center"/>
        </w:trPr>
        <w:tc>
          <w:tcPr>
            <w:tcW w:w="750" w:type="dxa"/>
            <w:vAlign w:val="center"/>
          </w:tcPr>
          <w:p>
            <w:pPr>
              <w:snapToGrid w:val="0"/>
              <w:ind w:right="104"/>
              <w:jc w:val="center"/>
              <w:rPr>
                <w:rFonts w:hint="default" w:ascii="Times New Roman" w:hAnsi="Times New Roman" w:cs="Times New Roman"/>
                <w:b/>
                <w:highlight w:val="none"/>
              </w:rPr>
            </w:pPr>
            <w:r>
              <w:rPr>
                <w:rFonts w:hint="default" w:ascii="Times New Roman" w:hAnsi="Times New Roman" w:cs="Times New Roman"/>
                <w:b/>
                <w:highlight w:val="none"/>
              </w:rPr>
              <w:t>序号</w:t>
            </w:r>
          </w:p>
        </w:tc>
        <w:tc>
          <w:tcPr>
            <w:tcW w:w="1688" w:type="dxa"/>
            <w:gridSpan w:val="2"/>
            <w:vAlign w:val="center"/>
          </w:tcPr>
          <w:p>
            <w:pPr>
              <w:snapToGrid w:val="0"/>
              <w:ind w:right="104"/>
              <w:jc w:val="center"/>
              <w:rPr>
                <w:rFonts w:hint="default" w:ascii="Times New Roman" w:hAnsi="Times New Roman" w:cs="Times New Roman"/>
                <w:b/>
                <w:highlight w:val="none"/>
              </w:rPr>
            </w:pPr>
            <w:r>
              <w:rPr>
                <w:rFonts w:hint="default" w:ascii="Times New Roman" w:hAnsi="Times New Roman" w:cs="Times New Roman"/>
                <w:b/>
                <w:highlight w:val="none"/>
              </w:rPr>
              <w:t>设备名称</w:t>
            </w:r>
          </w:p>
        </w:tc>
        <w:tc>
          <w:tcPr>
            <w:tcW w:w="893" w:type="dxa"/>
            <w:vAlign w:val="center"/>
          </w:tcPr>
          <w:p>
            <w:pPr>
              <w:snapToGrid w:val="0"/>
              <w:ind w:right="104"/>
              <w:jc w:val="center"/>
              <w:rPr>
                <w:rFonts w:hint="default" w:ascii="Times New Roman" w:hAnsi="Times New Roman" w:cs="Times New Roman"/>
                <w:b/>
                <w:highlight w:val="none"/>
              </w:rPr>
            </w:pPr>
            <w:r>
              <w:rPr>
                <w:rFonts w:hint="default" w:ascii="Times New Roman" w:hAnsi="Times New Roman" w:cs="Times New Roman"/>
                <w:b/>
                <w:highlight w:val="none"/>
                <w:lang w:val="en-US" w:eastAsia="zh-CN"/>
              </w:rPr>
              <w:t>单位</w:t>
            </w:r>
          </w:p>
        </w:tc>
        <w:tc>
          <w:tcPr>
            <w:tcW w:w="1385" w:type="dxa"/>
            <w:vAlign w:val="center"/>
          </w:tcPr>
          <w:p>
            <w:pPr>
              <w:snapToGrid w:val="0"/>
              <w:ind w:right="104" w:rightChars="0"/>
              <w:jc w:val="center"/>
              <w:rPr>
                <w:rFonts w:hint="default" w:ascii="Times New Roman" w:hAnsi="Times New Roman" w:cs="Times New Roman" w:eastAsiaTheme="minorEastAsia"/>
                <w:b/>
                <w:kern w:val="2"/>
                <w:sz w:val="21"/>
                <w:szCs w:val="22"/>
                <w:highlight w:val="none"/>
                <w:lang w:val="en-US" w:eastAsia="zh-CN" w:bidi="ar-SA"/>
              </w:rPr>
            </w:pPr>
            <w:r>
              <w:rPr>
                <w:rFonts w:hint="default" w:ascii="Times New Roman" w:hAnsi="Times New Roman" w:cs="Times New Roman"/>
                <w:b/>
                <w:highlight w:val="none"/>
                <w:lang w:val="en-US" w:eastAsia="zh-CN"/>
              </w:rPr>
              <w:t>型号</w:t>
            </w:r>
            <w:r>
              <w:rPr>
                <w:rFonts w:hint="eastAsia" w:ascii="Times New Roman" w:hAnsi="Times New Roman" w:cs="Times New Roman"/>
                <w:b/>
                <w:highlight w:val="none"/>
                <w:lang w:val="en-US" w:eastAsia="zh-CN"/>
              </w:rPr>
              <w:t>/规格</w:t>
            </w:r>
          </w:p>
        </w:tc>
        <w:tc>
          <w:tcPr>
            <w:tcW w:w="1317" w:type="dxa"/>
            <w:vAlign w:val="center"/>
          </w:tcPr>
          <w:p>
            <w:pPr>
              <w:snapToGrid w:val="0"/>
              <w:ind w:right="104" w:rightChars="0"/>
              <w:jc w:val="center"/>
              <w:rPr>
                <w:rFonts w:hint="default" w:ascii="Times New Roman" w:hAnsi="Times New Roman" w:cs="Times New Roman" w:eastAsiaTheme="minorEastAsia"/>
                <w:b/>
                <w:kern w:val="2"/>
                <w:sz w:val="21"/>
                <w:szCs w:val="22"/>
                <w:highlight w:val="none"/>
                <w:lang w:val="en-US" w:eastAsia="zh-CN" w:bidi="ar-SA"/>
              </w:rPr>
            </w:pPr>
            <w:r>
              <w:rPr>
                <w:rFonts w:hint="default" w:ascii="Times New Roman" w:hAnsi="Times New Roman" w:cs="Times New Roman"/>
                <w:b/>
                <w:highlight w:val="none"/>
              </w:rPr>
              <w:t>环评中数量</w:t>
            </w:r>
          </w:p>
        </w:tc>
        <w:tc>
          <w:tcPr>
            <w:tcW w:w="1207" w:type="dxa"/>
            <w:vAlign w:val="center"/>
          </w:tcPr>
          <w:p>
            <w:pPr>
              <w:snapToGrid w:val="0"/>
              <w:ind w:right="104"/>
              <w:jc w:val="center"/>
              <w:rPr>
                <w:rFonts w:hint="default" w:ascii="Times New Roman" w:hAnsi="Times New Roman" w:cs="Times New Roman"/>
                <w:b/>
                <w:highlight w:val="none"/>
              </w:rPr>
            </w:pPr>
            <w:r>
              <w:rPr>
                <w:rFonts w:hint="default" w:ascii="Times New Roman" w:hAnsi="Times New Roman" w:cs="Times New Roman"/>
                <w:b/>
                <w:highlight w:val="none"/>
              </w:rPr>
              <w:t>实际数量</w:t>
            </w:r>
          </w:p>
        </w:tc>
        <w:tc>
          <w:tcPr>
            <w:tcW w:w="1270" w:type="dxa"/>
            <w:vAlign w:val="center"/>
          </w:tcPr>
          <w:p>
            <w:pPr>
              <w:snapToGrid w:val="0"/>
              <w:ind w:right="104"/>
              <w:jc w:val="center"/>
              <w:rPr>
                <w:rFonts w:hint="default" w:ascii="Times New Roman" w:hAnsi="Times New Roman" w:cs="Times New Roman"/>
                <w:b/>
                <w:highlight w:val="none"/>
              </w:rPr>
            </w:pPr>
            <w:r>
              <w:rPr>
                <w:rFonts w:hint="default" w:ascii="Times New Roman" w:hAnsi="Times New Roman" w:cs="Times New Roman"/>
                <w:b/>
                <w:highlight w:val="none"/>
              </w:rPr>
              <w:t>变化情况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75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1</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冲床</w:t>
            </w:r>
          </w:p>
        </w:tc>
        <w:tc>
          <w:tcPr>
            <w:tcW w:w="893"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功率：48kW</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24</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24</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75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2</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锯角机</w:t>
            </w:r>
          </w:p>
        </w:tc>
        <w:tc>
          <w:tcPr>
            <w:tcW w:w="893"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功率：6kW</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3</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3</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开槽机</w:t>
            </w:r>
          </w:p>
        </w:tc>
        <w:tc>
          <w:tcPr>
            <w:tcW w:w="893"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功率：4kW</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4</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开平机</w:t>
            </w:r>
          </w:p>
        </w:tc>
        <w:tc>
          <w:tcPr>
            <w:tcW w:w="893"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功率：2kW</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5</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剪板机</w:t>
            </w:r>
          </w:p>
        </w:tc>
        <w:tc>
          <w:tcPr>
            <w:tcW w:w="893"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功率：4kW</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6</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折弯机</w:t>
            </w:r>
          </w:p>
        </w:tc>
        <w:tc>
          <w:tcPr>
            <w:tcW w:w="893"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功率：10kW</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5</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6</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7</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折边机</w:t>
            </w:r>
          </w:p>
        </w:tc>
        <w:tc>
          <w:tcPr>
            <w:tcW w:w="893"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功率：6kW</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3</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3</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8</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激光切割机</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功率：4kW</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3</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9</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滚花机</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功率：2kW</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10</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焊机</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功率：16kW</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8</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8</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11</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喷漆流水线</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12</w:t>
            </w:r>
          </w:p>
        </w:tc>
        <w:tc>
          <w:tcPr>
            <w:tcW w:w="670" w:type="dxa"/>
            <w:vMerge w:val="restart"/>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包括</w:t>
            </w:r>
          </w:p>
        </w:tc>
        <w:tc>
          <w:tcPr>
            <w:tcW w:w="1018"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喷台</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13</w:t>
            </w:r>
          </w:p>
        </w:tc>
        <w:tc>
          <w:tcPr>
            <w:tcW w:w="670" w:type="dxa"/>
            <w:vMerge w:val="continue"/>
            <w:vAlign w:val="center"/>
          </w:tcPr>
          <w:p>
            <w:pPr>
              <w:snapToGrid w:val="0"/>
              <w:ind w:right="104" w:rightChars="0"/>
              <w:jc w:val="center"/>
              <w:rPr>
                <w:rFonts w:hint="default" w:ascii="Times New Roman" w:hAnsi="Times New Roman" w:cs="Times New Roman"/>
                <w:b w:val="0"/>
                <w:bCs/>
                <w:highlight w:val="none"/>
                <w:lang w:val="en-US" w:eastAsia="zh-CN"/>
              </w:rPr>
            </w:pPr>
          </w:p>
        </w:tc>
        <w:tc>
          <w:tcPr>
            <w:tcW w:w="1018"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喷枪</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14</w:t>
            </w:r>
          </w:p>
        </w:tc>
        <w:tc>
          <w:tcPr>
            <w:tcW w:w="670" w:type="dxa"/>
            <w:vMerge w:val="continue"/>
            <w:vAlign w:val="center"/>
          </w:tcPr>
          <w:p>
            <w:pPr>
              <w:snapToGrid w:val="0"/>
              <w:ind w:right="104" w:rightChars="0"/>
              <w:jc w:val="center"/>
              <w:rPr>
                <w:rFonts w:hint="default" w:ascii="Times New Roman" w:hAnsi="Times New Roman" w:cs="Times New Roman"/>
                <w:b w:val="0"/>
                <w:bCs/>
                <w:highlight w:val="none"/>
                <w:lang w:val="en-US" w:eastAsia="zh-CN"/>
              </w:rPr>
            </w:pPr>
          </w:p>
        </w:tc>
        <w:tc>
          <w:tcPr>
            <w:tcW w:w="1018"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烘道</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15</w:t>
            </w:r>
          </w:p>
        </w:tc>
        <w:tc>
          <w:tcPr>
            <w:tcW w:w="670" w:type="dxa"/>
            <w:vMerge w:val="continue"/>
            <w:vAlign w:val="center"/>
          </w:tcPr>
          <w:p>
            <w:pPr>
              <w:snapToGrid w:val="0"/>
              <w:ind w:right="104" w:rightChars="0"/>
              <w:jc w:val="center"/>
              <w:rPr>
                <w:rFonts w:hint="default" w:ascii="Times New Roman" w:hAnsi="Times New Roman" w:cs="Times New Roman"/>
                <w:b w:val="0"/>
                <w:bCs/>
                <w:highlight w:val="none"/>
                <w:lang w:val="en-US" w:eastAsia="zh-CN"/>
              </w:rPr>
            </w:pPr>
          </w:p>
        </w:tc>
        <w:tc>
          <w:tcPr>
            <w:tcW w:w="1018"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燃烧机</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16</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喷塑流水线</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17</w:t>
            </w:r>
          </w:p>
        </w:tc>
        <w:tc>
          <w:tcPr>
            <w:tcW w:w="670" w:type="dxa"/>
            <w:vMerge w:val="restart"/>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包括</w:t>
            </w:r>
          </w:p>
        </w:tc>
        <w:tc>
          <w:tcPr>
            <w:tcW w:w="1018"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喷台</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18</w:t>
            </w:r>
          </w:p>
        </w:tc>
        <w:tc>
          <w:tcPr>
            <w:tcW w:w="670" w:type="dxa"/>
            <w:vMerge w:val="continue"/>
            <w:vAlign w:val="center"/>
          </w:tcPr>
          <w:p>
            <w:pPr>
              <w:snapToGrid w:val="0"/>
              <w:ind w:right="104" w:rightChars="0"/>
              <w:jc w:val="center"/>
              <w:rPr>
                <w:rFonts w:hint="default" w:ascii="Times New Roman" w:hAnsi="Times New Roman" w:cs="Times New Roman"/>
                <w:b w:val="0"/>
                <w:bCs/>
                <w:highlight w:val="none"/>
                <w:lang w:val="en-US" w:eastAsia="zh-CN"/>
              </w:rPr>
            </w:pPr>
          </w:p>
        </w:tc>
        <w:tc>
          <w:tcPr>
            <w:tcW w:w="1018"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喷枪</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70"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19</w:t>
            </w:r>
          </w:p>
        </w:tc>
        <w:tc>
          <w:tcPr>
            <w:tcW w:w="670" w:type="dxa"/>
            <w:vMerge w:val="continue"/>
            <w:vAlign w:val="center"/>
          </w:tcPr>
          <w:p>
            <w:pPr>
              <w:snapToGrid w:val="0"/>
              <w:ind w:right="104" w:rightChars="0"/>
              <w:jc w:val="center"/>
              <w:rPr>
                <w:rFonts w:hint="default" w:ascii="Times New Roman" w:hAnsi="Times New Roman" w:cs="Times New Roman"/>
                <w:b w:val="0"/>
                <w:bCs/>
                <w:highlight w:val="none"/>
                <w:lang w:val="en-US" w:eastAsia="zh-CN"/>
              </w:rPr>
            </w:pPr>
          </w:p>
        </w:tc>
        <w:tc>
          <w:tcPr>
            <w:tcW w:w="1018"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烘道</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20</w:t>
            </w:r>
          </w:p>
        </w:tc>
        <w:tc>
          <w:tcPr>
            <w:tcW w:w="670" w:type="dxa"/>
            <w:vMerge w:val="continue"/>
            <w:vAlign w:val="center"/>
          </w:tcPr>
          <w:p>
            <w:pPr>
              <w:snapToGrid w:val="0"/>
              <w:ind w:right="104" w:rightChars="0"/>
              <w:jc w:val="center"/>
              <w:rPr>
                <w:rFonts w:hint="default" w:ascii="Times New Roman" w:hAnsi="Times New Roman" w:cs="Times New Roman"/>
                <w:b w:val="0"/>
                <w:bCs/>
                <w:highlight w:val="none"/>
                <w:lang w:val="en-US" w:eastAsia="zh-CN"/>
              </w:rPr>
            </w:pPr>
          </w:p>
        </w:tc>
        <w:tc>
          <w:tcPr>
            <w:tcW w:w="1018"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燃烧机</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21</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冷压胶合机</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功率：2kW</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2</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22</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装配流水线</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23</w:t>
            </w:r>
          </w:p>
        </w:tc>
        <w:tc>
          <w:tcPr>
            <w:tcW w:w="1688" w:type="dxa"/>
            <w:gridSpan w:val="2"/>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螺杆空压机</w:t>
            </w:r>
          </w:p>
        </w:tc>
        <w:tc>
          <w:tcPr>
            <w:tcW w:w="893" w:type="dxa"/>
            <w:vAlign w:val="center"/>
          </w:tcPr>
          <w:p>
            <w:pPr>
              <w:snapToGrid w:val="0"/>
              <w:ind w:right="104" w:rightChars="0"/>
              <w:jc w:val="center"/>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台</w:t>
            </w:r>
          </w:p>
        </w:tc>
        <w:tc>
          <w:tcPr>
            <w:tcW w:w="1385"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功率：2kW</w:t>
            </w:r>
          </w:p>
        </w:tc>
        <w:tc>
          <w:tcPr>
            <w:tcW w:w="131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07"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1</w:t>
            </w:r>
          </w:p>
        </w:tc>
        <w:tc>
          <w:tcPr>
            <w:tcW w:w="1270" w:type="dxa"/>
            <w:vAlign w:val="center"/>
          </w:tcPr>
          <w:p>
            <w:pPr>
              <w:snapToGrid w:val="0"/>
              <w:ind w:right="104" w:rightChars="0"/>
              <w:jc w:val="center"/>
              <w:rPr>
                <w:rFonts w:hint="default" w:ascii="Times New Roman" w:hAnsi="Times New Roman" w:cs="Times New Roman"/>
                <w:b w:val="0"/>
                <w:bCs/>
                <w:highlight w:val="none"/>
                <w:lang w:val="en-US" w:eastAsia="zh-CN"/>
              </w:rPr>
            </w:pPr>
            <w:r>
              <w:rPr>
                <w:rFonts w:hint="default" w:ascii="Times New Roman" w:hAnsi="Times New Roman" w:cs="Times New Roman"/>
                <w:b w:val="0"/>
                <w:bCs/>
                <w:highlight w:val="none"/>
                <w:lang w:val="en-US" w:eastAsia="zh-CN"/>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397" w:hRule="atLeast"/>
          <w:jc w:val="center"/>
        </w:trPr>
        <w:tc>
          <w:tcPr>
            <w:tcW w:w="0" w:type="auto"/>
            <w:vAlign w:val="center"/>
          </w:tcPr>
          <w:p>
            <w:pPr>
              <w:snapToGrid w:val="0"/>
              <w:ind w:right="104" w:rightChars="0"/>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备注</w:t>
            </w:r>
          </w:p>
        </w:tc>
        <w:tc>
          <w:tcPr>
            <w:tcW w:w="7760" w:type="dxa"/>
            <w:gridSpan w:val="7"/>
            <w:vAlign w:val="center"/>
          </w:tcPr>
          <w:p>
            <w:pPr>
              <w:snapToGrid w:val="0"/>
              <w:ind w:right="104" w:rightChars="0"/>
              <w:jc w:val="left"/>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w:t>
            </w:r>
            <w:r>
              <w:rPr>
                <w:rFonts w:hint="default" w:ascii="Times New Roman" w:hAnsi="Times New Roman" w:cs="Times New Roman"/>
                <w:color w:val="000000"/>
                <w:szCs w:val="21"/>
                <w:highlight w:val="none"/>
                <w:lang w:val="en-US" w:eastAsia="zh-CN"/>
              </w:rPr>
              <w:t>喷</w:t>
            </w:r>
            <w:r>
              <w:rPr>
                <w:rFonts w:hint="eastAsia" w:ascii="Times New Roman" w:hAnsi="Times New Roman" w:cs="Times New Roman"/>
                <w:color w:val="000000"/>
                <w:szCs w:val="21"/>
                <w:highlight w:val="none"/>
                <w:lang w:val="en-US" w:eastAsia="zh-CN"/>
              </w:rPr>
              <w:t>漆</w:t>
            </w:r>
            <w:r>
              <w:rPr>
                <w:rFonts w:hint="default" w:ascii="Times New Roman" w:hAnsi="Times New Roman" w:cs="Times New Roman"/>
                <w:color w:val="000000"/>
                <w:szCs w:val="21"/>
                <w:highlight w:val="none"/>
                <w:lang w:val="en-US" w:eastAsia="zh-CN"/>
              </w:rPr>
              <w:t>流水线含</w:t>
            </w:r>
            <w:r>
              <w:rPr>
                <w:rFonts w:hint="eastAsia" w:ascii="Times New Roman" w:hAnsi="Times New Roman" w:cs="Times New Roman"/>
                <w:color w:val="000000"/>
                <w:szCs w:val="21"/>
                <w:highlight w:val="none"/>
                <w:lang w:val="en-US" w:eastAsia="zh-CN"/>
              </w:rPr>
              <w:t>2</w:t>
            </w:r>
            <w:r>
              <w:rPr>
                <w:rFonts w:hint="default" w:ascii="Times New Roman" w:hAnsi="Times New Roman" w:cs="Times New Roman"/>
                <w:color w:val="000000"/>
                <w:szCs w:val="21"/>
                <w:highlight w:val="none"/>
                <w:lang w:val="en-US" w:eastAsia="zh-CN"/>
              </w:rPr>
              <w:t>个喷台，喷台规格为1m×1m，每个喷台配置</w:t>
            </w:r>
            <w:r>
              <w:rPr>
                <w:rFonts w:hint="eastAsia" w:ascii="Times New Roman" w:hAnsi="Times New Roman" w:cs="Times New Roman"/>
                <w:color w:val="000000"/>
                <w:szCs w:val="21"/>
                <w:highlight w:val="none"/>
                <w:lang w:val="en-US" w:eastAsia="zh-CN"/>
              </w:rPr>
              <w:t>一</w:t>
            </w:r>
            <w:r>
              <w:rPr>
                <w:rFonts w:hint="default" w:ascii="Times New Roman" w:hAnsi="Times New Roman" w:cs="Times New Roman"/>
                <w:color w:val="000000"/>
                <w:szCs w:val="21"/>
                <w:highlight w:val="none"/>
                <w:lang w:val="en-US" w:eastAsia="zh-CN"/>
              </w:rPr>
              <w:t>把喷枪，共设置1条烘道，烘道规格为25m×1.5m×1.5m，采用天然气</w:t>
            </w:r>
            <w:r>
              <w:rPr>
                <w:rFonts w:hint="eastAsia" w:ascii="Times New Roman" w:hAnsi="Times New Roman" w:cs="Times New Roman"/>
                <w:color w:val="000000"/>
                <w:szCs w:val="21"/>
                <w:highlight w:val="none"/>
                <w:lang w:val="en-US" w:eastAsia="zh-CN"/>
              </w:rPr>
              <w:t>直接</w:t>
            </w:r>
            <w:r>
              <w:rPr>
                <w:rFonts w:hint="default" w:ascii="Times New Roman" w:hAnsi="Times New Roman" w:cs="Times New Roman"/>
                <w:color w:val="000000"/>
                <w:szCs w:val="21"/>
                <w:highlight w:val="none"/>
                <w:lang w:val="en-US" w:eastAsia="zh-CN"/>
              </w:rPr>
              <w:t>加热。</w:t>
            </w:r>
          </w:p>
          <w:p>
            <w:pPr>
              <w:snapToGrid w:val="0"/>
              <w:ind w:right="104" w:rightChars="0"/>
              <w:jc w:val="left"/>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w:t>
            </w:r>
            <w:r>
              <w:rPr>
                <w:rFonts w:hint="default" w:ascii="Times New Roman" w:hAnsi="Times New Roman" w:cs="Times New Roman"/>
                <w:color w:val="000000"/>
                <w:szCs w:val="21"/>
                <w:highlight w:val="none"/>
                <w:lang w:val="en-US" w:eastAsia="zh-CN"/>
              </w:rPr>
              <w:t>喷塑流水线含</w:t>
            </w:r>
            <w:r>
              <w:rPr>
                <w:rFonts w:hint="eastAsia" w:ascii="Times New Roman" w:hAnsi="Times New Roman" w:cs="Times New Roman"/>
                <w:color w:val="000000"/>
                <w:szCs w:val="21"/>
                <w:highlight w:val="none"/>
                <w:lang w:val="en-US" w:eastAsia="zh-CN"/>
              </w:rPr>
              <w:t>2</w:t>
            </w:r>
            <w:r>
              <w:rPr>
                <w:rFonts w:hint="default" w:ascii="Times New Roman" w:hAnsi="Times New Roman" w:cs="Times New Roman"/>
                <w:color w:val="000000"/>
                <w:szCs w:val="21"/>
                <w:highlight w:val="none"/>
                <w:lang w:val="en-US" w:eastAsia="zh-CN"/>
              </w:rPr>
              <w:t>个喷台，喷台规格为1m×1m，每个喷台配置一把喷枪，共设置1条烘道，烘道规格为25m×1.5m×1.5m，采用天然气</w:t>
            </w:r>
            <w:r>
              <w:rPr>
                <w:rFonts w:hint="eastAsia" w:ascii="Times New Roman" w:hAnsi="Times New Roman" w:cs="Times New Roman"/>
                <w:color w:val="000000"/>
                <w:szCs w:val="21"/>
                <w:highlight w:val="none"/>
                <w:lang w:val="en-US" w:eastAsia="zh-CN"/>
              </w:rPr>
              <w:t>直接</w:t>
            </w:r>
            <w:r>
              <w:rPr>
                <w:rFonts w:hint="default" w:ascii="Times New Roman" w:hAnsi="Times New Roman" w:cs="Times New Roman"/>
                <w:color w:val="000000"/>
                <w:szCs w:val="21"/>
                <w:highlight w:val="none"/>
                <w:lang w:val="en-US" w:eastAsia="zh-CN"/>
              </w:rPr>
              <w:t>加热。</w:t>
            </w:r>
          </w:p>
          <w:p>
            <w:pPr>
              <w:snapToGrid w:val="0"/>
              <w:ind w:right="104" w:rightChars="0"/>
              <w:jc w:val="left"/>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全厂总计两条烘道。</w:t>
            </w:r>
          </w:p>
        </w:tc>
      </w:tr>
    </w:tbl>
    <w:p>
      <w:pPr>
        <w:snapToGrid w:val="0"/>
        <w:spacing w:line="360" w:lineRule="auto"/>
        <w:ind w:firstLine="200" w:firstLineChars="200"/>
        <w:rPr>
          <w:rFonts w:hint="eastAsia" w:ascii="Times New Roman" w:hAnsi="Times New Roman" w:cs="Times New Roman"/>
          <w:sz w:val="10"/>
          <w:szCs w:val="10"/>
          <w:highlight w:val="none"/>
          <w:lang w:val="en-US" w:eastAsia="zh-CN"/>
        </w:rPr>
      </w:pP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根据企业提供资料及现场核查，项目生产设备及型号与环评基本一致</w:t>
      </w:r>
      <w:r>
        <w:rPr>
          <w:rFonts w:hint="eastAsia" w:ascii="Times New Roman" w:hAnsi="Times New Roman" w:eastAsia="宋体" w:cs="Times New Roman"/>
          <w:color w:val="000000"/>
          <w:kern w:val="0"/>
          <w:sz w:val="24"/>
          <w:szCs w:val="24"/>
          <w:highlight w:val="none"/>
          <w:lang w:eastAsia="zh-CN"/>
        </w:rPr>
        <w:t>，</w:t>
      </w:r>
      <w:r>
        <w:rPr>
          <w:rFonts w:hint="eastAsia" w:ascii="Times New Roman" w:hAnsi="Times New Roman" w:cs="Times New Roman"/>
          <w:sz w:val="24"/>
          <w:szCs w:val="24"/>
          <w:highlight w:val="none"/>
          <w:lang w:val="en-US" w:eastAsia="zh-CN"/>
        </w:rPr>
        <w:t>锯角机减少1台，开平机增加1台，折弯机增加1台，激光切割机增加1台，冷压胶合机增加1台，增加的设备主要作为备用设备，</w:t>
      </w:r>
      <w:r>
        <w:rPr>
          <w:rFonts w:hint="eastAsia" w:ascii="Times New Roman" w:hAnsi="Times New Roman" w:eastAsia="宋体" w:cs="Times New Roman"/>
          <w:color w:val="000000"/>
          <w:kern w:val="0"/>
          <w:sz w:val="24"/>
          <w:szCs w:val="24"/>
          <w:highlight w:val="none"/>
          <w:lang w:val="en-US" w:eastAsia="zh-CN"/>
        </w:rPr>
        <w:t>设备的变动不新增产能，年产8000樘非标门，不新增污染物及污染物排放量，不属于重大变动</w:t>
      </w:r>
      <w:r>
        <w:rPr>
          <w:rFonts w:hint="eastAsia" w:ascii="Times New Roman" w:hAnsi="Times New Roman" w:cs="Times New Roman"/>
          <w:sz w:val="24"/>
          <w:szCs w:val="24"/>
          <w:highlight w:val="none"/>
          <w:lang w:val="en-US" w:eastAsia="zh-CN"/>
        </w:rPr>
        <w:t>。各设备数量变化情况详见表3.4-1。</w:t>
      </w:r>
    </w:p>
    <w:p>
      <w:pPr>
        <w:pStyle w:val="5"/>
        <w:rPr>
          <w:rFonts w:eastAsia="宋体"/>
          <w:highlight w:val="none"/>
        </w:rPr>
      </w:pPr>
      <w:bookmarkStart w:id="34" w:name="_Toc2058"/>
      <w:bookmarkStart w:id="35" w:name="_Toc31825"/>
      <w:r>
        <w:rPr>
          <w:rFonts w:eastAsia="宋体"/>
          <w:highlight w:val="none"/>
        </w:rPr>
        <w:t>3.</w:t>
      </w:r>
      <w:r>
        <w:rPr>
          <w:rFonts w:hint="eastAsia" w:eastAsia="宋体"/>
          <w:highlight w:val="none"/>
          <w:lang w:val="en-US" w:eastAsia="zh-CN"/>
        </w:rPr>
        <w:t>5</w:t>
      </w:r>
      <w:r>
        <w:rPr>
          <w:rFonts w:eastAsia="宋体"/>
          <w:highlight w:val="none"/>
        </w:rPr>
        <w:t>水源及水平衡</w:t>
      </w:r>
      <w:bookmarkEnd w:id="34"/>
      <w:bookmarkEnd w:id="35"/>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lang w:val="en-US" w:eastAsia="zh-CN"/>
        </w:rPr>
        <w:t>本项目用水主要</w:t>
      </w:r>
      <w:r>
        <w:rPr>
          <w:rFonts w:hint="eastAsia" w:ascii="Times New Roman" w:hAnsi="Times New Roman" w:cs="Times New Roman"/>
          <w:sz w:val="24"/>
          <w:szCs w:val="24"/>
          <w:highlight w:val="none"/>
          <w:lang w:val="en-US" w:eastAsia="zh-CN"/>
        </w:rPr>
        <w:t>为水帘用水、有机废气喷淋用水、以及职工日常生活用水。</w:t>
      </w:r>
    </w:p>
    <w:p>
      <w:p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（1）项目用水情况</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水帘用水：本项目设2个喷台，每个水帘喷台贮水池贮水量约为0.8m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。为保证循环水水质和水帘漆雾处理效果，水帘废水需定期更换，约每3天更换一次，则水帘用水量约为160m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w:t>
      </w:r>
    </w:p>
    <w:p>
      <w:p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有机废气喷淋用水：</w:t>
      </w:r>
      <w:r>
        <w:rPr>
          <w:rFonts w:hint="default" w:ascii="Times New Roman" w:hAnsi="Times New Roman" w:cs="Times New Roman"/>
          <w:color w:val="auto"/>
          <w:sz w:val="24"/>
          <w:szCs w:val="24"/>
          <w:lang w:val="en-US" w:eastAsia="zh-CN"/>
        </w:rPr>
        <w:t>本项目有机废气设置1个喷淋塔，喷淋塔储水量为1m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，喷淋塔中用水每5天更换一次，则喷淋</w:t>
      </w:r>
      <w:r>
        <w:rPr>
          <w:rFonts w:hint="eastAsia" w:ascii="Times New Roman" w:hAnsi="Times New Roman" w:cs="Times New Roman"/>
          <w:color w:val="auto"/>
          <w:sz w:val="24"/>
          <w:szCs w:val="24"/>
          <w:lang w:val="en-US" w:eastAsia="zh-CN"/>
        </w:rPr>
        <w:t>用水</w:t>
      </w:r>
      <w:r>
        <w:rPr>
          <w:rFonts w:hint="default" w:ascii="Times New Roman" w:hAnsi="Times New Roman" w:cs="Times New Roman"/>
          <w:color w:val="auto"/>
          <w:sz w:val="24"/>
          <w:szCs w:val="24"/>
          <w:lang w:val="en-US" w:eastAsia="zh-CN"/>
        </w:rPr>
        <w:t>量为</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0t/a。</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sz w:val="24"/>
          <w:szCs w:val="24"/>
          <w:highlight w:val="none"/>
          <w:lang w:val="en-US" w:eastAsia="zh-CN"/>
        </w:rPr>
        <w:t>本项目劳动定员30人</w:t>
      </w:r>
      <w:r>
        <w:rPr>
          <w:rFonts w:hint="eastAsia" w:ascii="Times New Roman" w:hAnsi="Times New Roman" w:cs="Times New Roman"/>
          <w:color w:val="auto"/>
          <w:sz w:val="24"/>
          <w:szCs w:val="24"/>
          <w:lang w:val="en-US" w:eastAsia="zh-CN"/>
        </w:rPr>
        <w:t>，生活用水量按5</w:t>
      </w:r>
      <w:r>
        <w:rPr>
          <w:rFonts w:hint="default" w:ascii="Times New Roman" w:hAnsi="Times New Roman" w:cs="Times New Roman"/>
          <w:color w:val="auto"/>
          <w:sz w:val="24"/>
          <w:szCs w:val="24"/>
          <w:lang w:val="en-US" w:eastAsia="zh-CN"/>
        </w:rPr>
        <w:t>0L/</w:t>
      </w:r>
      <w:r>
        <w:rPr>
          <w:rFonts w:hint="eastAsia" w:ascii="Times New Roman" w:hAnsi="Times New Roman" w:cs="Times New Roman"/>
          <w:color w:val="auto"/>
          <w:sz w:val="24"/>
          <w:szCs w:val="24"/>
          <w:lang w:val="en-US" w:eastAsia="zh-CN"/>
        </w:rPr>
        <w:t>人</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日计，则生活用水约为450</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p>
    <w:p>
      <w:pPr>
        <w:snapToGri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项目</w:t>
      </w:r>
      <w:r>
        <w:rPr>
          <w:rFonts w:hint="eastAsia" w:ascii="Times New Roman" w:hAnsi="Times New Roman" w:cs="Times New Roman"/>
          <w:color w:val="auto"/>
          <w:sz w:val="24"/>
          <w:szCs w:val="24"/>
          <w:lang w:val="en-US" w:eastAsia="zh-CN"/>
        </w:rPr>
        <w:t>废水产生及排放情况</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本项目产生的废水主要为水帘废水、有机废气喷淋废水和员工生活污水。</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水帘废水：水帘废水定期更换，约每3天更换一次，水帘用水量总计约160m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/a，日常蒸发损耗约10%，则水帘废水产生量约为144m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w:t>
      </w:r>
    </w:p>
    <w:p>
      <w:pPr>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lang w:val="en-US" w:eastAsia="zh-CN"/>
        </w:rPr>
        <w:t>有机废气喷淋废水：有机废气</w:t>
      </w:r>
      <w:r>
        <w:rPr>
          <w:rFonts w:hint="default" w:ascii="Times New Roman" w:hAnsi="Times New Roman" w:cs="Times New Roman"/>
          <w:color w:val="auto"/>
          <w:sz w:val="24"/>
          <w:szCs w:val="24"/>
          <w:lang w:val="en-US" w:eastAsia="zh-CN"/>
        </w:rPr>
        <w:t>喷淋塔中用水每5天更换一次，喷淋</w:t>
      </w:r>
      <w:r>
        <w:rPr>
          <w:rFonts w:hint="eastAsia" w:ascii="Times New Roman" w:hAnsi="Times New Roman" w:cs="Times New Roman"/>
          <w:color w:val="auto"/>
          <w:sz w:val="24"/>
          <w:szCs w:val="24"/>
          <w:lang w:val="en-US" w:eastAsia="zh-CN"/>
        </w:rPr>
        <w:t>用水</w:t>
      </w:r>
      <w:r>
        <w:rPr>
          <w:rFonts w:hint="default" w:ascii="Times New Roman" w:hAnsi="Times New Roman" w:cs="Times New Roman"/>
          <w:color w:val="auto"/>
          <w:sz w:val="24"/>
          <w:szCs w:val="24"/>
          <w:lang w:val="en-US" w:eastAsia="zh-CN"/>
        </w:rPr>
        <w:t>量为</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0t/a</w:t>
      </w:r>
      <w:r>
        <w:rPr>
          <w:rFonts w:hint="eastAsia" w:ascii="Times New Roman" w:hAnsi="Times New Roman" w:cs="Times New Roman"/>
          <w:color w:val="auto"/>
          <w:sz w:val="24"/>
          <w:szCs w:val="24"/>
          <w:lang w:val="en-US" w:eastAsia="zh-CN"/>
        </w:rPr>
        <w:t>，日常蒸发损耗约10%，则有机废气喷淋废水产生量约为54t/a。</w:t>
      </w:r>
    </w:p>
    <w:p>
      <w:pPr>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生活用水量为</w:t>
      </w:r>
      <w:r>
        <w:rPr>
          <w:rFonts w:hint="eastAsia" w:ascii="Times New Roman" w:hAnsi="Times New Roman" w:cs="Times New Roman"/>
          <w:color w:val="auto"/>
          <w:sz w:val="24"/>
          <w:szCs w:val="24"/>
          <w:lang w:val="en-US" w:eastAsia="zh-CN"/>
        </w:rPr>
        <w:t>450</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，污水产生量按80%算，则生活污水产生量为360t/a</w:t>
      </w:r>
      <w:r>
        <w:rPr>
          <w:rFonts w:hint="eastAsia" w:ascii="Times New Roman" w:hAnsi="Times New Roman" w:cs="Times New Roman"/>
          <w:color w:val="auto"/>
          <w:sz w:val="24"/>
          <w:szCs w:val="24"/>
          <w:highlight w:val="none"/>
          <w:lang w:val="en-US" w:eastAsia="zh-CN"/>
        </w:rPr>
        <w:t>。</w:t>
      </w:r>
    </w:p>
    <w:p>
      <w:pPr>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color w:val="auto"/>
          <w:sz w:val="24"/>
          <w:szCs w:val="24"/>
        </w:rPr>
        <w:t>项目水平衡图见图3.</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rPr>
        <w:t>-1</w:t>
      </w:r>
      <w:r>
        <w:rPr>
          <w:rFonts w:hint="eastAsia" w:ascii="Times New Roman" w:hAnsi="Times New Roman" w:cs="Times New Roman"/>
          <w:sz w:val="24"/>
          <w:szCs w:val="24"/>
          <w:highlight w:val="none"/>
        </w:rPr>
        <w:t>。</w:t>
      </w:r>
    </w:p>
    <w:p>
      <w:pPr>
        <w:snapToGrid w:val="0"/>
        <w:spacing w:line="360" w:lineRule="auto"/>
        <w:rPr>
          <w:rFonts w:hint="eastAsia" w:eastAsiaTheme="minorEastAsia"/>
          <w:lang w:eastAsia="zh-CN"/>
        </w:rPr>
      </w:pPr>
      <w:r>
        <w:rPr>
          <w:rFonts w:hint="eastAsia" w:eastAsiaTheme="minorEastAsia"/>
          <w:lang w:eastAsia="zh-CN"/>
        </w:rPr>
        <w:drawing>
          <wp:inline distT="0" distB="0" distL="114300" distR="114300">
            <wp:extent cx="5268595" cy="1195705"/>
            <wp:effectExtent l="0" t="0" r="8255" b="4445"/>
            <wp:docPr id="1" name="图片 1" descr="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平衡"/>
                    <pic:cNvPicPr>
                      <a:picLocks noChangeAspect="1"/>
                    </pic:cNvPicPr>
                  </pic:nvPicPr>
                  <pic:blipFill>
                    <a:blip r:embed="rId23"/>
                    <a:stretch>
                      <a:fillRect/>
                    </a:stretch>
                  </pic:blipFill>
                  <pic:spPr>
                    <a:xfrm>
                      <a:off x="0" y="0"/>
                      <a:ext cx="5268595" cy="1195705"/>
                    </a:xfrm>
                    <a:prstGeom prst="rect">
                      <a:avLst/>
                    </a:prstGeom>
                  </pic:spPr>
                </pic:pic>
              </a:graphicData>
            </a:graphic>
          </wp:inline>
        </w:drawing>
      </w:r>
    </w:p>
    <w:p>
      <w:pPr>
        <w:snapToGrid w:val="0"/>
        <w:spacing w:line="360" w:lineRule="auto"/>
        <w:jc w:val="center"/>
        <w:rPr>
          <w:rFonts w:ascii="Times New Roman" w:hAnsi="Times New Roman" w:eastAsia="宋体"/>
          <w:b/>
          <w:highlight w:val="none"/>
        </w:rPr>
      </w:pPr>
      <w:r>
        <w:rPr>
          <w:rFonts w:ascii="Times New Roman" w:hAnsi="Times New Roman" w:eastAsia="宋体"/>
          <w:b/>
          <w:highlight w:val="none"/>
        </w:rPr>
        <w:t xml:space="preserve">图 </w:t>
      </w:r>
      <w:r>
        <w:rPr>
          <w:rFonts w:ascii="Times New Roman" w:hAnsi="Times New Roman" w:eastAsia="宋体" w:cs="Times New Roman"/>
          <w:b/>
          <w:highlight w:val="none"/>
        </w:rPr>
        <w:t>3.</w:t>
      </w:r>
      <w:r>
        <w:rPr>
          <w:rFonts w:hint="eastAsia" w:ascii="Times New Roman" w:hAnsi="Times New Roman" w:eastAsia="宋体" w:cs="Times New Roman"/>
          <w:b/>
          <w:highlight w:val="none"/>
          <w:lang w:val="en-US" w:eastAsia="zh-CN"/>
        </w:rPr>
        <w:t>5</w:t>
      </w:r>
      <w:r>
        <w:rPr>
          <w:rFonts w:ascii="Times New Roman" w:hAnsi="Times New Roman" w:eastAsia="宋体" w:cs="Times New Roman"/>
          <w:b/>
          <w:highlight w:val="none"/>
        </w:rPr>
        <w:t xml:space="preserve">-1  </w:t>
      </w:r>
      <w:r>
        <w:rPr>
          <w:rFonts w:ascii="Times New Roman" w:hAnsi="Times New Roman" w:eastAsia="宋体"/>
          <w:b/>
          <w:highlight w:val="none"/>
        </w:rPr>
        <w:t>项目水平衡图（单位：</w:t>
      </w:r>
      <w:r>
        <w:rPr>
          <w:rFonts w:ascii="Times New Roman" w:hAnsi="Times New Roman" w:eastAsia="宋体" w:cs="Times New Roman"/>
          <w:b/>
          <w:highlight w:val="none"/>
        </w:rPr>
        <w:t>t/a</w:t>
      </w:r>
      <w:r>
        <w:rPr>
          <w:rFonts w:ascii="Times New Roman" w:hAnsi="Times New Roman" w:eastAsia="宋体"/>
          <w:b/>
          <w:highlight w:val="none"/>
        </w:rPr>
        <w:t>）</w:t>
      </w:r>
    </w:p>
    <w:p>
      <w:pPr>
        <w:pStyle w:val="5"/>
        <w:rPr>
          <w:rFonts w:eastAsia="宋体"/>
        </w:rPr>
      </w:pPr>
      <w:bookmarkStart w:id="36" w:name="_Toc20407"/>
      <w:bookmarkStart w:id="37" w:name="_Toc20701"/>
      <w:bookmarkStart w:id="38" w:name="_Hlk535413610"/>
      <w:bookmarkStart w:id="39" w:name="_Hlk523347195"/>
      <w:r>
        <w:rPr>
          <w:rFonts w:eastAsia="宋体"/>
        </w:rPr>
        <w:t>3.</w:t>
      </w:r>
      <w:r>
        <w:rPr>
          <w:rFonts w:hint="eastAsia" w:eastAsia="宋体"/>
          <w:lang w:val="en-US" w:eastAsia="zh-CN"/>
        </w:rPr>
        <w:t>6</w:t>
      </w:r>
      <w:r>
        <w:rPr>
          <w:rFonts w:eastAsia="宋体"/>
        </w:rPr>
        <w:t>生产工艺</w:t>
      </w:r>
      <w:bookmarkEnd w:id="36"/>
      <w:bookmarkEnd w:id="37"/>
    </w:p>
    <w:bookmarkEnd w:id="38"/>
    <w:p>
      <w:pPr>
        <w:numPr>
          <w:ilvl w:val="0"/>
          <w:numId w:val="0"/>
        </w:numPr>
        <w:tabs>
          <w:tab w:val="left" w:pos="5382"/>
        </w:tabs>
        <w:spacing w:line="360" w:lineRule="auto"/>
        <w:ind w:firstLine="240" w:firstLineChars="100"/>
        <w:rPr>
          <w:rFonts w:hint="eastAsia" w:ascii="Times New Roman" w:hAnsi="Times New Roman" w:cs="Times New Roman"/>
          <w:sz w:val="24"/>
          <w:szCs w:val="24"/>
          <w:lang w:eastAsia="zh-CN"/>
        </w:rPr>
      </w:pPr>
      <w:r>
        <w:rPr>
          <w:rFonts w:hint="eastAsia" w:ascii="Times New Roman" w:hAnsi="Times New Roman" w:cs="Times New Roman"/>
          <w:sz w:val="24"/>
          <w:szCs w:val="24"/>
          <w:lang w:val="en-US" w:eastAsia="zh-CN"/>
        </w:rPr>
        <w:t>一、</w:t>
      </w:r>
      <w:r>
        <w:rPr>
          <w:rFonts w:hint="eastAsia" w:ascii="Times New Roman" w:hAnsi="Times New Roman" w:cs="Times New Roman"/>
          <w:sz w:val="24"/>
          <w:szCs w:val="24"/>
        </w:rPr>
        <w:t>生产工艺具体</w:t>
      </w:r>
      <w:r>
        <w:rPr>
          <w:rFonts w:ascii="Times New Roman" w:hAnsi="Times New Roman" w:cs="Times New Roman"/>
          <w:sz w:val="24"/>
          <w:szCs w:val="24"/>
        </w:rPr>
        <w:t>见下图3.</w:t>
      </w:r>
      <w:r>
        <w:rPr>
          <w:rFonts w:hint="eastAsia" w:ascii="Times New Roman" w:hAnsi="Times New Roman" w:cs="Times New Roman"/>
          <w:sz w:val="24"/>
          <w:szCs w:val="24"/>
          <w:lang w:val="en-US" w:eastAsia="zh-CN"/>
        </w:rPr>
        <w:t>6</w:t>
      </w:r>
      <w:r>
        <w:rPr>
          <w:rFonts w:ascii="Times New Roman" w:hAnsi="Times New Roman" w:cs="Times New Roman"/>
          <w:sz w:val="24"/>
          <w:szCs w:val="24"/>
        </w:rPr>
        <w:t>-</w:t>
      </w:r>
      <w:r>
        <w:rPr>
          <w:rFonts w:hint="eastAsia" w:ascii="Times New Roman" w:hAnsi="Times New Roman" w:cs="Times New Roman"/>
          <w:sz w:val="24"/>
          <w:szCs w:val="24"/>
        </w:rPr>
        <w:t>1</w:t>
      </w:r>
      <w:r>
        <w:rPr>
          <w:rFonts w:ascii="Times New Roman" w:hAnsi="Times New Roman" w:cs="Times New Roman"/>
          <w:sz w:val="24"/>
          <w:szCs w:val="24"/>
        </w:rPr>
        <w:t>：</w:t>
      </w:r>
      <w:r>
        <w:rPr>
          <w:rFonts w:hint="eastAsia" w:ascii="Times New Roman" w:hAnsi="Times New Roman" w:cs="Times New Roman"/>
          <w:sz w:val="24"/>
          <w:szCs w:val="24"/>
          <w:lang w:eastAsia="zh-CN"/>
        </w:rPr>
        <w:tab/>
      </w:r>
    </w:p>
    <w:p>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67325" cy="1871980"/>
            <wp:effectExtent l="0" t="0" r="9525" b="13970"/>
            <wp:docPr id="2" name="图片 2"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艺流程图"/>
                    <pic:cNvPicPr>
                      <a:picLocks noChangeAspect="1"/>
                    </pic:cNvPicPr>
                  </pic:nvPicPr>
                  <pic:blipFill>
                    <a:blip r:embed="rId24"/>
                    <a:stretch>
                      <a:fillRect/>
                    </a:stretch>
                  </pic:blipFill>
                  <pic:spPr>
                    <a:xfrm>
                      <a:off x="0" y="0"/>
                      <a:ext cx="5267325" cy="1871980"/>
                    </a:xfrm>
                    <a:prstGeom prst="rect">
                      <a:avLst/>
                    </a:prstGeom>
                  </pic:spPr>
                </pic:pic>
              </a:graphicData>
            </a:graphic>
          </wp:inline>
        </w:drawing>
      </w:r>
    </w:p>
    <w:p>
      <w:pPr>
        <w:spacing w:line="360" w:lineRule="auto"/>
        <w:ind w:left="480"/>
        <w:jc w:val="center"/>
        <w:rPr>
          <w:rFonts w:hint="eastAsia" w:ascii="Times New Roman" w:hAnsi="Times New Roman" w:cs="Times New Roman"/>
          <w:b/>
          <w:bCs/>
          <w:sz w:val="24"/>
          <w:szCs w:val="24"/>
        </w:rPr>
      </w:pPr>
      <w:r>
        <w:rPr>
          <w:rFonts w:ascii="Times New Roman" w:hAnsi="Times New Roman" w:cs="Times New Roman"/>
          <w:b/>
          <w:bCs/>
          <w:sz w:val="24"/>
          <w:szCs w:val="24"/>
        </w:rPr>
        <w:t>图3.</w:t>
      </w:r>
      <w:r>
        <w:rPr>
          <w:rFonts w:hint="eastAsia" w:ascii="Times New Roman" w:hAnsi="Times New Roman" w:cs="Times New Roman"/>
          <w:b/>
          <w:bCs/>
          <w:sz w:val="24"/>
          <w:szCs w:val="24"/>
          <w:lang w:val="en-US" w:eastAsia="zh-CN"/>
        </w:rPr>
        <w:t>6</w:t>
      </w:r>
      <w:r>
        <w:rPr>
          <w:rFonts w:ascii="Times New Roman" w:hAnsi="Times New Roman" w:cs="Times New Roman"/>
          <w:b/>
          <w:bCs/>
          <w:sz w:val="24"/>
          <w:szCs w:val="24"/>
        </w:rPr>
        <w:t>-</w:t>
      </w:r>
      <w:r>
        <w:rPr>
          <w:rFonts w:hint="eastAsia" w:ascii="Times New Roman" w:hAnsi="Times New Roman" w:cs="Times New Roman"/>
          <w:b/>
          <w:bCs/>
          <w:sz w:val="24"/>
          <w:szCs w:val="24"/>
        </w:rPr>
        <w:t>1</w:t>
      </w:r>
      <w:r>
        <w:rPr>
          <w:rFonts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门框、门面</w:t>
      </w:r>
      <w:r>
        <w:rPr>
          <w:rFonts w:hint="eastAsia" w:ascii="Times New Roman" w:hAnsi="Times New Roman" w:cs="Times New Roman"/>
          <w:b/>
          <w:bCs/>
          <w:sz w:val="24"/>
          <w:szCs w:val="24"/>
        </w:rPr>
        <w:t>生产工艺流程</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主要工艺流程简述：</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开平、剪切：按照所需要的长度进行切割，以制成相应板材。</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开槽：利用开槽机将对产品进行相应处理。</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锯角：利用锯角机将对产品进行锯角处理。</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冲压：利用冲床冲制门面或门框上的各种窗孔。</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折弯：根据门面或门框需要，将镀锌板材折弯成型。</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焊接：将框架、固定板等辅件组焊成为门框。</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滚花：利用滚花机将客户要求的花纹图案压制成型。</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切割：根据所需要的尺寸进行进一步切割。</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胶合：将加工好的成型门面与蜂窝纸（金属门专用）用胶水粘结在一起，人工将胶水均匀的涂覆在门面和蜂窝纸上即可进行黏贴，胶合后通过冷压胶合机进行压合，胶合采用聚氨酯胶，全程都在常温下进行。</w:t>
      </w:r>
    </w:p>
    <w:bookmarkEnd w:id="39"/>
    <w:p>
      <w:pPr>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drawing>
          <wp:inline distT="0" distB="0" distL="114300" distR="114300">
            <wp:extent cx="5271770" cy="1612900"/>
            <wp:effectExtent l="0" t="0" r="5080" b="6350"/>
            <wp:docPr id="7" name="图片 7" descr="工艺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艺流程图2"/>
                    <pic:cNvPicPr>
                      <a:picLocks noChangeAspect="1"/>
                    </pic:cNvPicPr>
                  </pic:nvPicPr>
                  <pic:blipFill>
                    <a:blip r:embed="rId25"/>
                    <a:stretch>
                      <a:fillRect/>
                    </a:stretch>
                  </pic:blipFill>
                  <pic:spPr>
                    <a:xfrm>
                      <a:off x="0" y="0"/>
                      <a:ext cx="5271770" cy="1612900"/>
                    </a:xfrm>
                    <a:prstGeom prst="rect">
                      <a:avLst/>
                    </a:prstGeom>
                  </pic:spPr>
                </pic:pic>
              </a:graphicData>
            </a:graphic>
          </wp:inline>
        </w:drawing>
      </w:r>
    </w:p>
    <w:p>
      <w:pPr>
        <w:spacing w:line="360" w:lineRule="auto"/>
        <w:jc w:val="center"/>
        <w:rPr>
          <w:rFonts w:hint="eastAsia" w:ascii="Times New Roman" w:hAnsi="Times New Roman" w:cs="Times New Roman"/>
          <w:b/>
          <w:bCs/>
          <w:sz w:val="24"/>
          <w:szCs w:val="24"/>
        </w:rPr>
      </w:pPr>
      <w:r>
        <w:rPr>
          <w:rFonts w:ascii="Times New Roman" w:hAnsi="Times New Roman" w:cs="Times New Roman"/>
          <w:b/>
          <w:bCs/>
          <w:sz w:val="24"/>
          <w:szCs w:val="24"/>
        </w:rPr>
        <w:t>图3.</w:t>
      </w:r>
      <w:r>
        <w:rPr>
          <w:rFonts w:hint="eastAsia" w:ascii="Times New Roman" w:hAnsi="Times New Roman" w:cs="Times New Roman"/>
          <w:b/>
          <w:bCs/>
          <w:sz w:val="24"/>
          <w:szCs w:val="24"/>
          <w:lang w:val="en-US" w:eastAsia="zh-CN"/>
        </w:rPr>
        <w:t>6</w:t>
      </w:r>
      <w:r>
        <w:rPr>
          <w:rFonts w:ascii="Times New Roman" w:hAnsi="Times New Roman" w:cs="Times New Roman"/>
          <w:b/>
          <w:bCs/>
          <w:sz w:val="24"/>
          <w:szCs w:val="24"/>
        </w:rPr>
        <w:t>-</w:t>
      </w:r>
      <w:r>
        <w:rPr>
          <w:rFonts w:hint="eastAsia" w:ascii="Times New Roman" w:hAnsi="Times New Roman" w:cs="Times New Roman"/>
          <w:b/>
          <w:bCs/>
          <w:sz w:val="24"/>
          <w:szCs w:val="24"/>
        </w:rPr>
        <w:t>1</w:t>
      </w:r>
      <w:r>
        <w:rPr>
          <w:rFonts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门框、门面</w:t>
      </w:r>
      <w:r>
        <w:rPr>
          <w:rFonts w:hint="eastAsia" w:ascii="Times New Roman" w:hAnsi="Times New Roman" w:cs="Times New Roman"/>
          <w:b/>
          <w:bCs/>
          <w:sz w:val="24"/>
          <w:szCs w:val="24"/>
        </w:rPr>
        <w:t>生产工艺流程</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主要工艺流程简述：</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喷塑：利用喷枪将塑粉喷涂在工件上，共计2个水帘喷台，共配置2把喷枪。</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固化：项目喷塑后利用自动化流水线输送至烘道内烘干（采用天然气直接加热），本项目使用环氧、聚酯树酯热固性粉末涂料（不含溶剂成分），静电粉末喷涂后的塑粉烘烤固化温度为130℃-150℃。</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喷漆：将外购的油漆和稀释剂在调漆房里调配，设置密闭喷房、采用水帘柜喷台进行喷涂，共计2个水帘喷台，共配置2把喷枪。操作者将工件依次摆放在流水线上，手持喷枪进行喷涂。</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烘干：喷漆完成后的工件通过流水线进入烘道内烘干（采用天然气直接加热），烘干温度约为160℃左右，时长约20min，工件表面涂覆漆料中的固份在烘道内固化成膜，其余的有机溶剂组成全部挥发成为有机废气。</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拉丝：本项目采用人工干拉丝，全过程不涉水。</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装配：将涂装之后的门框、门面与外购配件（锁具、把手等）装配形成成品。</w:t>
      </w:r>
    </w:p>
    <w:p>
      <w:pPr>
        <w:snapToGrid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包装：将成品进行打包入库。</w:t>
      </w:r>
    </w:p>
    <w:p>
      <w:pPr>
        <w:snapToGrid w:val="0"/>
        <w:spacing w:line="360" w:lineRule="auto"/>
        <w:rPr>
          <w:rFonts w:hint="eastAsia" w:ascii="Times New Roman" w:hAnsi="Times New Roman" w:cs="Times New Roman"/>
          <w:color w:val="auto"/>
          <w:sz w:val="24"/>
          <w:szCs w:val="24"/>
          <w:lang w:val="en-US" w:eastAsia="zh-CN"/>
        </w:rPr>
        <w:sectPr>
          <w:footerReference r:id="rId8"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eastAsia="宋体"/>
          <w:color w:val="auto"/>
          <w:highlight w:val="yellow"/>
        </w:rPr>
      </w:pPr>
      <w:bookmarkStart w:id="40" w:name="_Toc31567"/>
      <w:r>
        <w:rPr>
          <w:rFonts w:eastAsia="宋体"/>
        </w:rPr>
        <w:t>3.</w:t>
      </w:r>
      <w:r>
        <w:rPr>
          <w:rFonts w:eastAsia="宋体"/>
          <w:color w:val="auto"/>
        </w:rPr>
        <w:t>7</w:t>
      </w:r>
      <w:r>
        <w:rPr>
          <w:rFonts w:eastAsia="宋体"/>
          <w:color w:val="auto"/>
          <w:highlight w:val="none"/>
        </w:rPr>
        <w:t>项目变动情况</w:t>
      </w:r>
      <w:bookmarkEnd w:id="40"/>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经现场调查及与建设单位的核实，</w:t>
      </w:r>
      <w:r>
        <w:rPr>
          <w:rFonts w:hint="eastAsia" w:ascii="Times New Roman" w:hAnsi="Times New Roman" w:cs="Times New Roman"/>
          <w:sz w:val="24"/>
          <w:szCs w:val="24"/>
          <w:lang w:val="en-US" w:eastAsia="zh-CN"/>
        </w:rPr>
        <w:t>对照关于印发《污染影响类建设项目重大变动清单（试行）》的通知（环办环评函〔</w:t>
      </w:r>
      <w:r>
        <w:rPr>
          <w:rFonts w:hint="default" w:ascii="Times New Roman" w:hAnsi="Times New Roman" w:cs="Times New Roman"/>
          <w:sz w:val="24"/>
          <w:szCs w:val="24"/>
          <w:lang w:val="en-US" w:eastAsia="zh-CN"/>
        </w:rPr>
        <w:t>2020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688 </w:t>
      </w:r>
      <w:r>
        <w:rPr>
          <w:rFonts w:hint="eastAsia" w:ascii="Times New Roman" w:hAnsi="Times New Roman" w:cs="Times New Roman"/>
          <w:sz w:val="24"/>
          <w:szCs w:val="24"/>
          <w:lang w:val="en-US" w:eastAsia="zh-CN"/>
        </w:rPr>
        <w:t>号）中《污染影响类建设项目重大变动清单》（试行）要求，本项目不存在重大变动</w:t>
      </w:r>
      <w:r>
        <w:rPr>
          <w:rFonts w:hint="eastAsia" w:ascii="Times New Roman" w:hAnsi="Times New Roman" w:cs="Times New Roman"/>
          <w:sz w:val="24"/>
          <w:szCs w:val="24"/>
        </w:rPr>
        <w:t>。</w:t>
      </w:r>
      <w:r>
        <w:rPr>
          <w:rFonts w:ascii="Times New Roman" w:hAnsi="Times New Roman" w:cs="Times New Roman"/>
          <w:sz w:val="24"/>
          <w:szCs w:val="24"/>
        </w:rPr>
        <w:t>具体变化情况见表3.7-1。</w:t>
      </w:r>
    </w:p>
    <w:p>
      <w:pPr>
        <w:widowControl/>
        <w:adjustRightInd w:val="0"/>
        <w:snapToGrid w:val="0"/>
        <w:spacing w:line="360" w:lineRule="auto"/>
        <w:ind w:firstLine="422" w:firstLineChars="20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表3.7-1 项目</w:t>
      </w:r>
      <w:r>
        <w:rPr>
          <w:rFonts w:ascii="Times New Roman" w:hAnsi="Times New Roman" w:eastAsia="宋体" w:cs="Times New Roman"/>
          <w:b/>
          <w:bCs/>
          <w:kern w:val="0"/>
          <w:szCs w:val="21"/>
        </w:rPr>
        <w:t>实际</w:t>
      </w:r>
      <w:r>
        <w:rPr>
          <w:rFonts w:hint="eastAsia" w:ascii="Times New Roman" w:hAnsi="Times New Roman" w:eastAsia="宋体" w:cs="Times New Roman"/>
          <w:b/>
          <w:bCs/>
          <w:kern w:val="0"/>
          <w:szCs w:val="21"/>
        </w:rPr>
        <w:t>建设</w:t>
      </w:r>
      <w:r>
        <w:rPr>
          <w:rFonts w:ascii="Times New Roman" w:hAnsi="Times New Roman" w:eastAsia="宋体" w:cs="Times New Roman"/>
          <w:b/>
          <w:bCs/>
          <w:kern w:val="0"/>
          <w:szCs w:val="21"/>
        </w:rPr>
        <w:t>与环评</w:t>
      </w:r>
      <w:r>
        <w:rPr>
          <w:rFonts w:hint="eastAsia" w:ascii="Times New Roman" w:hAnsi="Times New Roman" w:eastAsia="宋体" w:cs="Times New Roman"/>
          <w:b/>
          <w:bCs/>
          <w:kern w:val="0"/>
          <w:szCs w:val="21"/>
        </w:rPr>
        <w:t>报告</w:t>
      </w:r>
      <w:r>
        <w:rPr>
          <w:rFonts w:ascii="Times New Roman" w:hAnsi="Times New Roman" w:eastAsia="宋体" w:cs="Times New Roman"/>
          <w:b/>
          <w:bCs/>
          <w:kern w:val="0"/>
          <w:szCs w:val="21"/>
        </w:rPr>
        <w:t>变更情况一览表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3320"/>
        <w:gridCol w:w="4170"/>
        <w:gridCol w:w="3880"/>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blHeader/>
        </w:trPr>
        <w:tc>
          <w:tcPr>
            <w:tcW w:w="942" w:type="dxa"/>
            <w:vAlign w:val="center"/>
          </w:tcPr>
          <w:p>
            <w:pPr>
              <w:keepNext w:val="0"/>
              <w:keepLines w:val="0"/>
              <w:widowControl/>
              <w:suppressLineNumbers w:val="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类别</w:t>
            </w:r>
          </w:p>
        </w:tc>
        <w:tc>
          <w:tcPr>
            <w:tcW w:w="3320" w:type="dxa"/>
            <w:vAlign w:val="center"/>
          </w:tcPr>
          <w:p>
            <w:pPr>
              <w:keepNext w:val="0"/>
              <w:keepLines w:val="0"/>
              <w:widowControl/>
              <w:suppressLineNumbers w:val="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环评及批复要求</w:t>
            </w:r>
          </w:p>
        </w:tc>
        <w:tc>
          <w:tcPr>
            <w:tcW w:w="4170" w:type="dxa"/>
            <w:vAlign w:val="center"/>
          </w:tcPr>
          <w:p>
            <w:pPr>
              <w:keepNext w:val="0"/>
              <w:keepLines w:val="0"/>
              <w:widowControl/>
              <w:suppressLineNumbers w:val="0"/>
              <w:jc w:val="center"/>
              <w:rPr>
                <w:rFonts w:hint="eastAsia" w:ascii="宋体" w:hAnsi="宋体" w:eastAsia="宋体" w:cs="宋体"/>
                <w:b/>
                <w:bCs/>
                <w:color w:val="000000"/>
                <w:kern w:val="0"/>
                <w:sz w:val="20"/>
                <w:szCs w:val="20"/>
                <w:highlight w:val="none"/>
                <w:lang w:val="en-US" w:eastAsia="zh-CN" w:bidi="ar"/>
              </w:rPr>
            </w:pPr>
            <w:r>
              <w:rPr>
                <w:rFonts w:hint="eastAsia" w:ascii="宋体" w:hAnsi="宋体" w:eastAsia="宋体" w:cs="宋体"/>
                <w:b/>
                <w:bCs/>
                <w:color w:val="000000"/>
                <w:kern w:val="0"/>
                <w:sz w:val="20"/>
                <w:szCs w:val="20"/>
                <w:highlight w:val="none"/>
                <w:lang w:val="en-US" w:eastAsia="zh-CN" w:bidi="ar"/>
              </w:rPr>
              <w:t>实际建设情况</w:t>
            </w:r>
          </w:p>
        </w:tc>
        <w:tc>
          <w:tcPr>
            <w:tcW w:w="3880" w:type="dxa"/>
            <w:vAlign w:val="center"/>
          </w:tcPr>
          <w:p>
            <w:pPr>
              <w:keepNext w:val="0"/>
              <w:keepLines w:val="0"/>
              <w:widowControl/>
              <w:suppressLineNumbers w:val="0"/>
              <w:jc w:val="center"/>
              <w:rPr>
                <w:rFonts w:ascii="Times New Roman" w:hAnsi="Times New Roman" w:cs="Times New Roman"/>
                <w:b/>
                <w:bCs/>
                <w:sz w:val="21"/>
                <w:szCs w:val="21"/>
                <w:vertAlign w:val="baseline"/>
              </w:rPr>
            </w:pPr>
            <w:r>
              <w:rPr>
                <w:rFonts w:hint="eastAsia" w:ascii="宋体" w:hAnsi="宋体" w:eastAsia="宋体" w:cs="宋体"/>
                <w:b/>
                <w:bCs/>
                <w:color w:val="000000"/>
                <w:kern w:val="0"/>
                <w:sz w:val="20"/>
                <w:szCs w:val="20"/>
                <w:lang w:val="en-US" w:eastAsia="zh-CN" w:bidi="ar"/>
              </w:rPr>
              <w:t>重大变动清单</w:t>
            </w:r>
          </w:p>
        </w:tc>
        <w:tc>
          <w:tcPr>
            <w:tcW w:w="1862" w:type="dxa"/>
            <w:vAlign w:val="center"/>
          </w:tcPr>
          <w:p>
            <w:pPr>
              <w:keepNext w:val="0"/>
              <w:keepLines w:val="0"/>
              <w:widowControl/>
              <w:suppressLineNumbers w:val="0"/>
              <w:jc w:val="center"/>
              <w:rPr>
                <w:rFonts w:ascii="Times New Roman" w:hAnsi="Times New Roman" w:cs="Times New Roman"/>
                <w:b/>
                <w:bCs/>
                <w:sz w:val="21"/>
                <w:szCs w:val="21"/>
                <w:vertAlign w:val="baseline"/>
              </w:rPr>
            </w:pPr>
            <w:r>
              <w:rPr>
                <w:rFonts w:hint="eastAsia" w:ascii="宋体" w:hAnsi="宋体" w:eastAsia="宋体" w:cs="宋体"/>
                <w:b/>
                <w:bCs/>
                <w:color w:val="000000"/>
                <w:kern w:val="0"/>
                <w:sz w:val="20"/>
                <w:szCs w:val="20"/>
                <w:lang w:val="en-US" w:eastAsia="zh-CN" w:bidi="ar"/>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42" w:type="dxa"/>
            <w:vAlign w:val="center"/>
          </w:tcPr>
          <w:p>
            <w:pPr>
              <w:spacing w:line="259" w:lineRule="auto"/>
              <w:jc w:val="center"/>
              <w:rPr>
                <w:rFonts w:hint="eastAsia" w:ascii="Times New Roman" w:hAnsi="Times New Roman"/>
                <w:lang w:eastAsia="zh-CN"/>
              </w:rPr>
            </w:pPr>
            <w:r>
              <w:rPr>
                <w:rFonts w:hint="eastAsia" w:ascii="Times New Roman" w:hAnsi="Times New Roman"/>
                <w:lang w:eastAsia="zh-CN"/>
              </w:rPr>
              <w:t>性质</w:t>
            </w:r>
          </w:p>
        </w:tc>
        <w:tc>
          <w:tcPr>
            <w:tcW w:w="3320" w:type="dxa"/>
            <w:vAlign w:val="center"/>
          </w:tcPr>
          <w:p>
            <w:pPr>
              <w:spacing w:line="259" w:lineRule="auto"/>
              <w:jc w:val="left"/>
              <w:rPr>
                <w:rFonts w:hint="default" w:ascii="Times New Roman" w:hAnsi="Times New Roman"/>
                <w:lang w:val="en-US" w:eastAsia="zh-CN"/>
              </w:rPr>
            </w:pPr>
            <w:r>
              <w:rPr>
                <w:rFonts w:hint="eastAsia" w:ascii="Times New Roman" w:hAnsi="Times New Roman"/>
                <w:lang w:val="en-US" w:eastAsia="zh-CN"/>
              </w:rPr>
              <w:t>新建（迁建）</w:t>
            </w:r>
          </w:p>
        </w:tc>
        <w:tc>
          <w:tcPr>
            <w:tcW w:w="4170" w:type="dxa"/>
            <w:vAlign w:val="center"/>
          </w:tcPr>
          <w:p>
            <w:pPr>
              <w:spacing w:line="259" w:lineRule="auto"/>
              <w:jc w:val="left"/>
              <w:rPr>
                <w:rFonts w:ascii="Times New Roman" w:hAnsi="Times New Roman"/>
                <w:highlight w:val="none"/>
              </w:rPr>
            </w:pPr>
            <w:r>
              <w:rPr>
                <w:rFonts w:hint="eastAsia" w:ascii="Times New Roman" w:hAnsi="Times New Roman"/>
                <w:lang w:val="en-US" w:eastAsia="zh-CN"/>
              </w:rPr>
              <w:t>新建（迁建）</w:t>
            </w:r>
          </w:p>
        </w:tc>
        <w:tc>
          <w:tcPr>
            <w:tcW w:w="3880" w:type="dxa"/>
            <w:vAlign w:val="center"/>
          </w:tcPr>
          <w:p>
            <w:pPr>
              <w:spacing w:line="259" w:lineRule="auto"/>
              <w:jc w:val="left"/>
              <w:rPr>
                <w:rFonts w:ascii="Times New Roman" w:hAnsi="Times New Roman"/>
              </w:rPr>
            </w:pPr>
            <w:r>
              <w:rPr>
                <w:rFonts w:hint="eastAsia" w:ascii="Times New Roman" w:hAnsi="Times New Roman"/>
                <w:lang w:val="en-US" w:eastAsia="zh-CN"/>
              </w:rPr>
              <w:t>1、</w:t>
            </w:r>
            <w:r>
              <w:rPr>
                <w:rFonts w:ascii="Times New Roman" w:hAnsi="Times New Roman"/>
              </w:rPr>
              <w:t>建设项目开发、使用功能发生变化的</w:t>
            </w:r>
          </w:p>
        </w:tc>
        <w:tc>
          <w:tcPr>
            <w:tcW w:w="1862" w:type="dxa"/>
            <w:vAlign w:val="center"/>
          </w:tcPr>
          <w:p>
            <w:pPr>
              <w:spacing w:line="259" w:lineRule="auto"/>
              <w:jc w:val="center"/>
              <w:rPr>
                <w:rFonts w:hint="eastAsia" w:ascii="Times New Roman" w:hAnsi="Times New Roman"/>
                <w:lang w:eastAsia="zh-C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restart"/>
            <w:vAlign w:val="center"/>
          </w:tcPr>
          <w:p>
            <w:pPr>
              <w:spacing w:line="259" w:lineRule="auto"/>
              <w:jc w:val="center"/>
              <w:rPr>
                <w:rFonts w:hint="eastAsia" w:ascii="Times New Roman" w:hAnsi="Times New Roman"/>
                <w:lang w:eastAsia="zh-CN"/>
              </w:rPr>
            </w:pPr>
            <w:r>
              <w:rPr>
                <w:rFonts w:hint="eastAsia" w:ascii="Times New Roman" w:hAnsi="Times New Roman"/>
              </w:rPr>
              <w:t>规模</w:t>
            </w:r>
          </w:p>
        </w:tc>
        <w:tc>
          <w:tcPr>
            <w:tcW w:w="3320" w:type="dxa"/>
            <w:vMerge w:val="restart"/>
            <w:vAlign w:val="center"/>
          </w:tcPr>
          <w:p>
            <w:pPr>
              <w:spacing w:line="259" w:lineRule="auto"/>
              <w:jc w:val="left"/>
              <w:rPr>
                <w:rFonts w:hint="default" w:ascii="Times New Roman" w:hAnsi="Times New Roman"/>
                <w:lang w:val="en-US"/>
              </w:rPr>
            </w:pPr>
            <w:r>
              <w:rPr>
                <w:rFonts w:hint="eastAsia" w:ascii="Times New Roman" w:hAnsi="Times New Roman"/>
                <w:lang w:val="en-US" w:eastAsia="zh-CN"/>
              </w:rPr>
              <w:t>年产8000樘非标门</w:t>
            </w:r>
          </w:p>
        </w:tc>
        <w:tc>
          <w:tcPr>
            <w:tcW w:w="4170" w:type="dxa"/>
            <w:vMerge w:val="restart"/>
            <w:vAlign w:val="center"/>
          </w:tcPr>
          <w:p>
            <w:pPr>
              <w:spacing w:line="259" w:lineRule="auto"/>
              <w:jc w:val="left"/>
              <w:rPr>
                <w:rFonts w:ascii="Times New Roman" w:hAnsi="Times New Roman"/>
                <w:highlight w:val="yellow"/>
              </w:rPr>
            </w:pPr>
            <w:r>
              <w:rPr>
                <w:rFonts w:hint="eastAsia" w:ascii="Times New Roman" w:hAnsi="Times New Roman"/>
                <w:lang w:val="en-US" w:eastAsia="zh-CN"/>
              </w:rPr>
              <w:t>年产8000樘非标门</w:t>
            </w:r>
          </w:p>
        </w:tc>
        <w:tc>
          <w:tcPr>
            <w:tcW w:w="3880" w:type="dxa"/>
            <w:vAlign w:val="center"/>
          </w:tcPr>
          <w:p>
            <w:pPr>
              <w:spacing w:line="259" w:lineRule="auto"/>
              <w:jc w:val="left"/>
              <w:rPr>
                <w:rFonts w:ascii="Times New Roman" w:hAnsi="Times New Roman"/>
              </w:rPr>
            </w:pPr>
            <w:r>
              <w:rPr>
                <w:rFonts w:hint="eastAsia" w:ascii="Times New Roman" w:hAnsi="Times New Roman"/>
                <w:lang w:val="en-US" w:eastAsia="zh-CN"/>
              </w:rPr>
              <w:t>2、</w:t>
            </w:r>
            <w:r>
              <w:rPr>
                <w:rFonts w:ascii="Times New Roman" w:hAnsi="Times New Roman"/>
              </w:rPr>
              <w:t>生产、处置或储存能力增大 30%及以上的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42" w:type="dxa"/>
            <w:vMerge w:val="continue"/>
            <w:vAlign w:val="center"/>
          </w:tcPr>
          <w:p>
            <w:pPr>
              <w:spacing w:line="259" w:lineRule="auto"/>
              <w:jc w:val="center"/>
              <w:rPr>
                <w:rFonts w:hint="eastAsia" w:ascii="Times New Roman" w:hAnsi="Times New Roman"/>
              </w:rPr>
            </w:pPr>
          </w:p>
        </w:tc>
        <w:tc>
          <w:tcPr>
            <w:tcW w:w="3320" w:type="dxa"/>
            <w:vMerge w:val="continue"/>
            <w:vAlign w:val="center"/>
          </w:tcPr>
          <w:p>
            <w:pPr>
              <w:spacing w:line="259" w:lineRule="auto"/>
              <w:jc w:val="left"/>
              <w:rPr>
                <w:rFonts w:ascii="Times New Roman" w:hAnsi="Times New Roman"/>
              </w:rPr>
            </w:pPr>
          </w:p>
        </w:tc>
        <w:tc>
          <w:tcPr>
            <w:tcW w:w="417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ascii="Times New Roman" w:hAnsi="Times New Roman"/>
              </w:rPr>
            </w:pPr>
            <w:r>
              <w:rPr>
                <w:rFonts w:hint="eastAsia" w:ascii="Times New Roman" w:hAnsi="Times New Roman"/>
                <w:lang w:val="en-US" w:eastAsia="zh-CN"/>
              </w:rPr>
              <w:t>3、生产、处置或储存能力增大，导致废水第一类污染物排放量增加的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942" w:type="dxa"/>
            <w:vMerge w:val="continue"/>
            <w:vAlign w:val="center"/>
          </w:tcPr>
          <w:p>
            <w:pPr>
              <w:spacing w:line="259" w:lineRule="auto"/>
              <w:jc w:val="center"/>
              <w:rPr>
                <w:rFonts w:hint="eastAsia" w:ascii="Times New Roman" w:hAnsi="Times New Roman"/>
              </w:rPr>
            </w:pPr>
          </w:p>
        </w:tc>
        <w:tc>
          <w:tcPr>
            <w:tcW w:w="3320" w:type="dxa"/>
            <w:vMerge w:val="continue"/>
            <w:vAlign w:val="center"/>
          </w:tcPr>
          <w:p>
            <w:pPr>
              <w:spacing w:line="259" w:lineRule="auto"/>
              <w:jc w:val="left"/>
              <w:rPr>
                <w:rFonts w:ascii="Times New Roman" w:hAnsi="Times New Roman"/>
              </w:rPr>
            </w:pPr>
          </w:p>
        </w:tc>
        <w:tc>
          <w:tcPr>
            <w:tcW w:w="417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ascii="Times New Roman" w:hAnsi="Times New Roman"/>
              </w:rPr>
            </w:pPr>
            <w:r>
              <w:rPr>
                <w:rFonts w:hint="eastAsia" w:ascii="Times New Roman" w:hAnsi="Times New Roman"/>
                <w:lang w:val="en-US" w:eastAsia="zh-CN"/>
              </w:rPr>
              <w:t>4、位于环境质量不达标区的建设项目生产、处置或储存能力增大，导致相应污染物排放量增加的；位于达标区的建设项目生产、处置或储存能力增大</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942" w:type="dxa"/>
            <w:vAlign w:val="center"/>
          </w:tcPr>
          <w:p>
            <w:pPr>
              <w:spacing w:line="259" w:lineRule="auto"/>
              <w:jc w:val="center"/>
              <w:rPr>
                <w:rFonts w:hint="eastAsia" w:ascii="Times New Roman" w:hAnsi="Times New Roman"/>
              </w:rPr>
            </w:pPr>
            <w:r>
              <w:rPr>
                <w:rFonts w:hint="eastAsia" w:ascii="Times New Roman" w:hAnsi="Times New Roman"/>
                <w:lang w:val="en-US" w:eastAsia="zh-CN"/>
              </w:rPr>
              <w:t>地点</w:t>
            </w:r>
          </w:p>
        </w:tc>
        <w:tc>
          <w:tcPr>
            <w:tcW w:w="3320" w:type="dxa"/>
            <w:vAlign w:val="center"/>
          </w:tcPr>
          <w:p>
            <w:pPr>
              <w:spacing w:line="259" w:lineRule="auto"/>
              <w:jc w:val="left"/>
              <w:rPr>
                <w:rFonts w:ascii="Times New Roman" w:hAnsi="Times New Roman"/>
              </w:rPr>
            </w:pPr>
            <w:r>
              <w:rPr>
                <w:rFonts w:hint="eastAsia" w:ascii="Times New Roman" w:hAnsi="Times New Roman"/>
                <w:lang w:val="en-US" w:eastAsia="zh-CN"/>
              </w:rPr>
              <w:t>浙江省金华市永康市西城街道西周路18号</w:t>
            </w:r>
          </w:p>
        </w:tc>
        <w:tc>
          <w:tcPr>
            <w:tcW w:w="4170" w:type="dxa"/>
            <w:vAlign w:val="center"/>
          </w:tcPr>
          <w:p>
            <w:pPr>
              <w:spacing w:line="259" w:lineRule="auto"/>
              <w:jc w:val="left"/>
              <w:rPr>
                <w:rFonts w:hint="default" w:ascii="Times New Roman" w:hAnsi="Times New Roman"/>
                <w:lang w:val="en-US" w:eastAsia="zh-CN"/>
              </w:rPr>
            </w:pPr>
            <w:r>
              <w:rPr>
                <w:rFonts w:hint="eastAsia" w:ascii="Times New Roman" w:hAnsi="Times New Roman"/>
                <w:lang w:val="en-US" w:eastAsia="zh-CN"/>
              </w:rPr>
              <w:t>浙江省金华市永康市西城街道西周路18号，实际焊接车间设置在厂房1F，不会导致环境防护距离变动</w:t>
            </w: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5</w:t>
            </w:r>
            <w:r>
              <w:rPr>
                <w:rFonts w:hint="eastAsia" w:ascii="Times New Roman" w:hAnsi="Times New Roman"/>
                <w:lang w:val="en-US" w:eastAsia="zh-CN"/>
              </w:rPr>
              <w:t>、重新选址；在原厂址附近调整</w:t>
            </w:r>
            <w:r>
              <w:rPr>
                <w:rFonts w:hint="default" w:ascii="Times New Roman" w:hAnsi="Times New Roman"/>
                <w:lang w:val="en-US" w:eastAsia="zh-CN"/>
              </w:rPr>
              <w:t>(</w:t>
            </w:r>
            <w:r>
              <w:rPr>
                <w:rFonts w:hint="eastAsia" w:ascii="Times New Roman" w:hAnsi="Times New Roman"/>
                <w:lang w:val="en-US" w:eastAsia="zh-CN"/>
              </w:rPr>
              <w:t>包括总平面布置变化</w:t>
            </w:r>
            <w:r>
              <w:rPr>
                <w:rFonts w:hint="default" w:ascii="Times New Roman" w:hAnsi="Times New Roman"/>
                <w:lang w:val="en-US" w:eastAsia="zh-CN"/>
              </w:rPr>
              <w:t>)</w:t>
            </w:r>
            <w:r>
              <w:rPr>
                <w:rFonts w:hint="eastAsia" w:ascii="Times New Roman" w:hAnsi="Times New Roman"/>
                <w:lang w:val="en-US" w:eastAsia="zh-CN"/>
              </w:rPr>
              <w:t>导致环境防护距离范围变化且新增敏感点的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Align w:val="center"/>
          </w:tcPr>
          <w:p>
            <w:pPr>
              <w:spacing w:line="259" w:lineRule="auto"/>
              <w:jc w:val="center"/>
              <w:rPr>
                <w:rFonts w:hint="eastAsia" w:ascii="Times New Roman" w:hAnsi="Times New Roman"/>
              </w:rPr>
            </w:pPr>
            <w:r>
              <w:rPr>
                <w:rFonts w:hint="eastAsia" w:ascii="Times New Roman" w:hAnsi="Times New Roman"/>
                <w:lang w:val="en-US" w:eastAsia="zh-CN"/>
              </w:rPr>
              <w:t>生产工艺</w:t>
            </w:r>
          </w:p>
        </w:tc>
        <w:tc>
          <w:tcPr>
            <w:tcW w:w="3320" w:type="dxa"/>
            <w:vAlign w:val="center"/>
          </w:tcPr>
          <w:p>
            <w:pPr>
              <w:spacing w:line="259" w:lineRule="auto"/>
              <w:jc w:val="left"/>
              <w:rPr>
                <w:rFonts w:ascii="Times New Roman" w:hAnsi="Times New Roman" w:eastAsiaTheme="minorEastAsia" w:cstheme="minorBidi"/>
                <w:kern w:val="2"/>
                <w:sz w:val="21"/>
                <w:szCs w:val="22"/>
                <w:lang w:val="en-US" w:eastAsia="zh-CN" w:bidi="ar-SA"/>
              </w:rPr>
            </w:pPr>
            <w:r>
              <w:rPr>
                <w:rFonts w:hint="eastAsia" w:ascii="Times New Roman" w:hAnsi="Times New Roman"/>
                <w:lang w:val="en-US" w:eastAsia="zh-CN"/>
              </w:rPr>
              <w:t>生产工艺详见章节</w:t>
            </w:r>
            <w:r>
              <w:rPr>
                <w:rFonts w:hint="default" w:ascii="Times New Roman" w:hAnsi="Times New Roman"/>
                <w:lang w:val="en-US" w:eastAsia="zh-CN"/>
              </w:rPr>
              <w:t>3.</w:t>
            </w:r>
            <w:r>
              <w:rPr>
                <w:rFonts w:hint="eastAsia" w:ascii="Times New Roman" w:hAnsi="Times New Roman"/>
                <w:lang w:val="en-US" w:eastAsia="zh-CN"/>
              </w:rPr>
              <w:t>6；原辅材料详见表</w:t>
            </w:r>
            <w:r>
              <w:rPr>
                <w:rFonts w:hint="default" w:ascii="Times New Roman" w:hAnsi="Times New Roman"/>
                <w:lang w:val="en-US" w:eastAsia="zh-CN"/>
              </w:rPr>
              <w:t>3.3-1</w:t>
            </w:r>
            <w:r>
              <w:rPr>
                <w:rFonts w:hint="eastAsia" w:ascii="Times New Roman" w:hAnsi="Times New Roman"/>
                <w:lang w:val="en-US" w:eastAsia="zh-CN"/>
              </w:rPr>
              <w:t xml:space="preserve">；主要生产设备详见表3.4-1 </w:t>
            </w:r>
          </w:p>
        </w:tc>
        <w:tc>
          <w:tcPr>
            <w:tcW w:w="4170" w:type="dxa"/>
            <w:vAlign w:val="center"/>
          </w:tcPr>
          <w:p>
            <w:pPr>
              <w:spacing w:line="259" w:lineRule="auto"/>
              <w:jc w:val="left"/>
              <w:rPr>
                <w:rFonts w:hint="eastAsia" w:ascii="Times New Roman" w:hAnsi="Times New Roman"/>
                <w:lang w:val="en-US" w:eastAsia="zh-CN"/>
              </w:rPr>
            </w:pPr>
            <w:r>
              <w:rPr>
                <w:rFonts w:hint="eastAsia" w:ascii="Times New Roman" w:hAnsi="Times New Roman"/>
                <w:lang w:val="en-US" w:eastAsia="zh-CN"/>
              </w:rPr>
              <w:t>已建项目生产工艺、原辅材料与环评一致；主要生产设备与环评基本一致</w:t>
            </w:r>
            <w:r>
              <w:rPr>
                <w:rFonts w:hint="eastAsia" w:ascii="Times New Roman" w:hAnsi="Times New Roman"/>
                <w:highlight w:val="none"/>
                <w:lang w:val="en-US" w:eastAsia="zh-CN"/>
              </w:rPr>
              <w:t>，</w:t>
            </w:r>
            <w:r>
              <w:rPr>
                <w:rFonts w:hint="eastAsia" w:ascii="Times New Roman" w:hAnsi="Times New Roman"/>
                <w:lang w:val="en-US" w:eastAsia="zh-CN"/>
              </w:rPr>
              <w:t>生产工艺详见章节</w:t>
            </w:r>
            <w:r>
              <w:rPr>
                <w:rFonts w:hint="default" w:ascii="Times New Roman" w:hAnsi="Times New Roman"/>
                <w:lang w:val="en-US" w:eastAsia="zh-CN"/>
              </w:rPr>
              <w:t>3.</w:t>
            </w:r>
            <w:r>
              <w:rPr>
                <w:rFonts w:hint="eastAsia" w:ascii="Times New Roman" w:hAnsi="Times New Roman"/>
                <w:lang w:val="en-US" w:eastAsia="zh-CN"/>
              </w:rPr>
              <w:t>6；原辅材料详见表</w:t>
            </w:r>
            <w:r>
              <w:rPr>
                <w:rFonts w:hint="default" w:ascii="Times New Roman" w:hAnsi="Times New Roman"/>
                <w:lang w:val="en-US" w:eastAsia="zh-CN"/>
              </w:rPr>
              <w:t>3.3-1</w:t>
            </w:r>
            <w:r>
              <w:rPr>
                <w:rFonts w:hint="eastAsia" w:ascii="Times New Roman" w:hAnsi="Times New Roman"/>
                <w:lang w:val="en-US" w:eastAsia="zh-CN"/>
              </w:rPr>
              <w:t>；主要生产设备详见表3.4-1。</w:t>
            </w:r>
          </w:p>
          <w:p>
            <w:pPr>
              <w:spacing w:line="259" w:lineRule="auto"/>
              <w:jc w:val="left"/>
              <w:rPr>
                <w:rFonts w:hint="default" w:ascii="Times New Roman" w:hAnsi="Times New Roman" w:eastAsiaTheme="minorEastAsia" w:cstheme="minorBidi"/>
                <w:kern w:val="2"/>
                <w:sz w:val="21"/>
                <w:szCs w:val="22"/>
                <w:lang w:val="en-US" w:eastAsia="zh-CN" w:bidi="ar-SA"/>
              </w:rPr>
            </w:pPr>
            <w:r>
              <w:rPr>
                <w:rFonts w:hint="default" w:ascii="Times New Roman" w:hAnsi="Times New Roman"/>
                <w:b w:val="0"/>
                <w:bCs w:val="0"/>
                <w:highlight w:val="none"/>
                <w:lang w:val="en-US" w:eastAsia="zh-CN"/>
              </w:rPr>
              <w:t>根据企业提供资料及现场核查，</w:t>
            </w:r>
            <w:r>
              <w:rPr>
                <w:rFonts w:hint="eastAsia" w:ascii="Times New Roman" w:hAnsi="Times New Roman"/>
                <w:lang w:val="en-US" w:eastAsia="zh-CN"/>
              </w:rPr>
              <w:t>锯角机减少1台，开平机增加1台，折弯机增加1台，激光切割机增加1台，冷压胶合机增加1台，增加的设备主要作为备用设备，设备的变动不新增产能，年产8000樘非标门，不新增污染物及污染物排放量，不属于重大变动。</w:t>
            </w:r>
          </w:p>
        </w:tc>
        <w:tc>
          <w:tcPr>
            <w:tcW w:w="3880" w:type="dxa"/>
            <w:vAlign w:val="center"/>
          </w:tcPr>
          <w:p>
            <w:pPr>
              <w:spacing w:line="259" w:lineRule="auto"/>
              <w:jc w:val="left"/>
              <w:rPr>
                <w:rFonts w:ascii="Times New Roman" w:hAnsi="Times New Roman"/>
              </w:rPr>
            </w:pPr>
            <w:r>
              <w:rPr>
                <w:rFonts w:hint="default" w:ascii="Times New Roman" w:hAnsi="Times New Roman"/>
                <w:lang w:val="en-US" w:eastAsia="zh-CN"/>
              </w:rPr>
              <w:t>6</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 xml:space="preserve">、主要原辅材料、燃料变化，导致以下情形之一： </w:t>
            </w:r>
          </w:p>
          <w:p>
            <w:pPr>
              <w:spacing w:line="259" w:lineRule="auto"/>
              <w:jc w:val="left"/>
              <w:rPr>
                <w:rFonts w:hint="default" w:ascii="Times New Roman" w:hAnsi="Times New Roman"/>
                <w:lang w:val="en-US" w:eastAsia="zh-CN"/>
              </w:rPr>
            </w:pPr>
            <w:r>
              <w:rPr>
                <w:rFonts w:hint="eastAsia" w:ascii="Times New Roman" w:hAnsi="Times New Roman"/>
                <w:lang w:val="en-US" w:eastAsia="zh-CN"/>
              </w:rPr>
              <w:t>（</w:t>
            </w:r>
            <w:r>
              <w:rPr>
                <w:rFonts w:hint="default" w:ascii="Times New Roman" w:hAnsi="Times New Roman"/>
                <w:lang w:val="en-US" w:eastAsia="zh-CN"/>
              </w:rPr>
              <w:t>1</w:t>
            </w:r>
            <w:r>
              <w:rPr>
                <w:rFonts w:hint="eastAsia" w:ascii="Times New Roman" w:hAnsi="Times New Roman"/>
                <w:highlight w:val="none"/>
                <w:lang w:val="en-US" w:eastAsia="zh-CN"/>
              </w:rPr>
              <w:t>）新增排放污染物种类</w:t>
            </w:r>
            <w:r>
              <w:rPr>
                <w:rFonts w:hint="eastAsia" w:ascii="Times New Roman" w:hAnsi="Times New Roman"/>
                <w:lang w:val="en-US" w:eastAsia="zh-CN"/>
              </w:rPr>
              <w:t>的</w:t>
            </w:r>
            <w:r>
              <w:rPr>
                <w:rFonts w:hint="default" w:ascii="Times New Roman" w:hAnsi="Times New Roman"/>
                <w:lang w:val="en-US" w:eastAsia="zh-CN"/>
              </w:rPr>
              <w:t>(</w:t>
            </w:r>
            <w:r>
              <w:rPr>
                <w:rFonts w:hint="eastAsia" w:ascii="Times New Roman" w:hAnsi="Times New Roman"/>
                <w:lang w:val="en-US" w:eastAsia="zh-CN"/>
              </w:rPr>
              <w:t>毒性、挥发性降低的除外</w:t>
            </w:r>
            <w:r>
              <w:rPr>
                <w:rFonts w:hint="default" w:ascii="Times New Roman" w:hAnsi="Times New Roman"/>
                <w:lang w:val="en-US" w:eastAsia="zh-CN"/>
              </w:rPr>
              <w:t>)</w:t>
            </w:r>
          </w:p>
          <w:p>
            <w:pPr>
              <w:spacing w:line="259" w:lineRule="auto"/>
              <w:jc w:val="left"/>
              <w:rPr>
                <w:rFonts w:ascii="Times New Roman" w:hAnsi="Times New Roman"/>
              </w:rPr>
            </w:pPr>
            <w:r>
              <w:rPr>
                <w:rFonts w:hint="eastAsia" w:ascii="Times New Roman" w:hAnsi="Times New Roman"/>
                <w:lang w:val="en-US" w:eastAsia="zh-CN"/>
              </w:rPr>
              <w:t>（</w:t>
            </w:r>
            <w:r>
              <w:rPr>
                <w:rFonts w:hint="default" w:ascii="Times New Roman" w:hAnsi="Times New Roman"/>
                <w:lang w:val="en-US" w:eastAsia="zh-CN"/>
              </w:rPr>
              <w:t>2</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、主要原辅材料、燃料变化，导致位于环境质量不达标区的建设项目相应污染物排放量增加的</w:t>
            </w:r>
          </w:p>
          <w:p>
            <w:pPr>
              <w:spacing w:line="259" w:lineRule="auto"/>
              <w:jc w:val="left"/>
              <w:rPr>
                <w:rFonts w:ascii="Times New Roman" w:hAnsi="Times New Roman"/>
              </w:rPr>
            </w:pPr>
            <w:r>
              <w:rPr>
                <w:rFonts w:hint="eastAsia" w:ascii="Times New Roman" w:hAnsi="Times New Roman"/>
                <w:lang w:val="en-US" w:eastAsia="zh-CN"/>
              </w:rPr>
              <w:t>（</w:t>
            </w:r>
            <w:r>
              <w:rPr>
                <w:rFonts w:hint="default" w:ascii="Times New Roman" w:hAnsi="Times New Roman"/>
                <w:lang w:val="en-US" w:eastAsia="zh-CN"/>
              </w:rPr>
              <w:t>3</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、主要原辅材料、燃料变化，导致废水第一类污染物排放量增加的</w:t>
            </w:r>
          </w:p>
          <w:p>
            <w:pPr>
              <w:spacing w:line="259" w:lineRule="auto"/>
              <w:jc w:val="left"/>
              <w:rPr>
                <w:rFonts w:hint="default" w:ascii="Times New Roman" w:hAnsi="Times New Roman"/>
                <w:lang w:val="en-US" w:eastAsia="zh-CN"/>
              </w:rPr>
            </w:pPr>
            <w:r>
              <w:rPr>
                <w:rFonts w:hint="eastAsia" w:ascii="Times New Roman" w:hAnsi="Times New Roman"/>
                <w:lang w:val="en-US" w:eastAsia="zh-CN"/>
              </w:rPr>
              <w:t>（</w:t>
            </w:r>
            <w:r>
              <w:rPr>
                <w:rFonts w:hint="default" w:ascii="Times New Roman" w:hAnsi="Times New Roman"/>
                <w:lang w:val="en-US" w:eastAsia="zh-CN"/>
              </w:rPr>
              <w:t>4</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、主要原辅材料、燃料变化，导致其他污染物排放量增加</w:t>
            </w:r>
            <w:r>
              <w:rPr>
                <w:rFonts w:hint="default" w:ascii="Times New Roman" w:hAnsi="Times New Roman"/>
                <w:lang w:val="en-US" w:eastAsia="zh-CN"/>
              </w:rPr>
              <w:t xml:space="preserve">10% </w:t>
            </w:r>
            <w:r>
              <w:rPr>
                <w:rFonts w:hint="eastAsia" w:ascii="Times New Roman" w:hAnsi="Times New Roman"/>
                <w:lang w:val="en-US" w:eastAsia="zh-CN"/>
              </w:rPr>
              <w:t>及以上的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restart"/>
            <w:vAlign w:val="center"/>
          </w:tcPr>
          <w:p>
            <w:pPr>
              <w:spacing w:line="259" w:lineRule="auto"/>
              <w:jc w:val="center"/>
              <w:rPr>
                <w:rFonts w:hint="eastAsia" w:ascii="Times New Roman" w:hAnsi="Times New Roman"/>
              </w:rPr>
            </w:pPr>
            <w:r>
              <w:rPr>
                <w:rFonts w:hint="eastAsia" w:ascii="Times New Roman" w:hAnsi="Times New Roman"/>
                <w:lang w:val="en-US" w:eastAsia="zh-CN"/>
              </w:rPr>
              <w:t>环境保护设施</w:t>
            </w:r>
          </w:p>
        </w:tc>
        <w:tc>
          <w:tcPr>
            <w:tcW w:w="3320" w:type="dxa"/>
            <w:vMerge w:val="restart"/>
            <w:vAlign w:val="center"/>
          </w:tcPr>
          <w:p>
            <w:pPr>
              <w:spacing w:line="259" w:lineRule="auto"/>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废水方面：</w:t>
            </w:r>
          </w:p>
          <w:p>
            <w:pPr>
              <w:numPr>
                <w:ilvl w:val="0"/>
                <w:numId w:val="0"/>
              </w:numPr>
              <w:spacing w:line="259" w:lineRule="auto"/>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eastAsia="zh-CN"/>
              </w:rPr>
              <w:t>）</w:t>
            </w:r>
            <w:r>
              <w:rPr>
                <w:rFonts w:hint="eastAsia" w:ascii="Times New Roman" w:hAnsi="Times New Roman" w:eastAsia="宋体" w:cs="Times New Roman"/>
                <w:color w:val="000000"/>
                <w:kern w:val="0"/>
                <w:sz w:val="21"/>
                <w:szCs w:val="21"/>
                <w:lang w:val="en-US" w:eastAsia="zh-CN" w:bidi="ar"/>
              </w:rPr>
              <w:t>本项目生产废水经过污水处理设施处理，生活污水经厂区化粪池预处理，分别达到《污水综合排放标准》（GB8978-1996）中的三级标准后，汇同后纳管通过永康市城市污水处理厂集中处理，处理达标后排入永康江</w:t>
            </w:r>
            <w:r>
              <w:rPr>
                <w:rFonts w:hint="default" w:ascii="Times New Roman" w:hAnsi="Times New Roman" w:cs="Times New Roman"/>
                <w:highlight w:val="none"/>
                <w:lang w:eastAsia="zh-CN"/>
              </w:rPr>
              <w:t>。</w:t>
            </w:r>
          </w:p>
          <w:p>
            <w:pPr>
              <w:numPr>
                <w:ilvl w:val="0"/>
                <w:numId w:val="0"/>
              </w:numPr>
              <w:spacing w:line="259" w:lineRule="auto"/>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废气方面：</w:t>
            </w:r>
          </w:p>
          <w:p>
            <w:pPr>
              <w:numPr>
                <w:ilvl w:val="0"/>
                <w:numId w:val="4"/>
              </w:numPr>
              <w:spacing w:line="259" w:lineRule="auto"/>
              <w:jc w:val="left"/>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焊接工序废气无组织排放，加强通风处理</w:t>
            </w:r>
            <w:r>
              <w:rPr>
                <w:rFonts w:hint="eastAsia" w:ascii="Times New Roman" w:hAnsi="Times New Roman" w:eastAsia="宋体" w:cs="Times New Roman"/>
                <w:color w:val="000000"/>
                <w:kern w:val="0"/>
                <w:sz w:val="21"/>
                <w:szCs w:val="21"/>
                <w:lang w:val="en-US" w:eastAsia="zh-CN" w:bidi="ar"/>
              </w:rPr>
              <w:t>；</w:t>
            </w:r>
          </w:p>
          <w:p>
            <w:pPr>
              <w:numPr>
                <w:ilvl w:val="0"/>
                <w:numId w:val="4"/>
              </w:numPr>
              <w:spacing w:line="259" w:lineRule="auto"/>
              <w:jc w:val="left"/>
              <w:rPr>
                <w:rFonts w:hint="default" w:ascii="Times New Roman" w:hAnsi="Times New Roman" w:cs="Times New Roman"/>
                <w:highlight w:val="none"/>
                <w:lang w:val="en-US" w:eastAsia="zh-CN"/>
              </w:rPr>
            </w:pPr>
            <w:r>
              <w:rPr>
                <w:rFonts w:hint="eastAsia" w:ascii="Times New Roman" w:hAnsi="Times New Roman" w:eastAsia="宋体" w:cs="Times New Roman"/>
                <w:color w:val="000000"/>
                <w:kern w:val="0"/>
                <w:sz w:val="21"/>
                <w:szCs w:val="21"/>
                <w:lang w:val="en-US" w:eastAsia="zh-CN" w:bidi="ar"/>
              </w:rPr>
              <w:t>胶合工序废气</w:t>
            </w:r>
            <w:r>
              <w:rPr>
                <w:rFonts w:hint="default" w:ascii="Times New Roman" w:hAnsi="Times New Roman" w:eastAsia="宋体" w:cs="Times New Roman"/>
                <w:color w:val="000000"/>
                <w:kern w:val="0"/>
                <w:sz w:val="21"/>
                <w:szCs w:val="21"/>
                <w:lang w:val="en-US" w:eastAsia="zh-CN" w:bidi="ar"/>
              </w:rPr>
              <w:t>无组织排放，加强通风处理</w:t>
            </w:r>
            <w:r>
              <w:rPr>
                <w:rFonts w:hint="eastAsia" w:ascii="Times New Roman" w:hAnsi="Times New Roman" w:eastAsia="宋体" w:cs="Times New Roman"/>
                <w:color w:val="auto"/>
                <w:kern w:val="0"/>
                <w:sz w:val="21"/>
                <w:szCs w:val="21"/>
                <w:lang w:val="en-US" w:eastAsia="zh-CN" w:bidi="ar"/>
              </w:rPr>
              <w:t>；</w:t>
            </w:r>
          </w:p>
          <w:p>
            <w:pPr>
              <w:numPr>
                <w:ilvl w:val="0"/>
                <w:numId w:val="4"/>
              </w:numPr>
              <w:spacing w:line="259" w:lineRule="auto"/>
              <w:jc w:val="left"/>
              <w:rPr>
                <w:rFonts w:hint="default" w:ascii="Times New Roman" w:hAnsi="Times New Roman" w:cs="Times New Roman"/>
                <w:highlight w:val="none"/>
                <w:lang w:val="en-US" w:eastAsia="zh-CN"/>
              </w:rPr>
            </w:pPr>
            <w:r>
              <w:rPr>
                <w:rFonts w:hint="default" w:ascii="Times New Roman" w:hAnsi="Times New Roman" w:eastAsia="宋体" w:cs="Times New Roman"/>
                <w:color w:val="000000"/>
                <w:kern w:val="0"/>
                <w:sz w:val="21"/>
                <w:szCs w:val="21"/>
                <w:lang w:val="en-US" w:eastAsia="zh-CN" w:bidi="ar"/>
              </w:rPr>
              <w:t>喷漆废气先经水帘除漆雾，再与</w:t>
            </w:r>
            <w:r>
              <w:rPr>
                <w:rFonts w:hint="eastAsia" w:ascii="Times New Roman" w:hAnsi="Times New Roman" w:eastAsia="宋体" w:cs="Times New Roman"/>
                <w:color w:val="000000"/>
                <w:kern w:val="0"/>
                <w:sz w:val="21"/>
                <w:szCs w:val="21"/>
                <w:lang w:val="en-US" w:eastAsia="zh-CN" w:bidi="ar"/>
              </w:rPr>
              <w:t>调漆废气、烘干</w:t>
            </w:r>
            <w:r>
              <w:rPr>
                <w:rFonts w:hint="default" w:ascii="Times New Roman" w:hAnsi="Times New Roman" w:eastAsia="宋体" w:cs="Times New Roman"/>
                <w:color w:val="000000"/>
                <w:kern w:val="0"/>
                <w:sz w:val="21"/>
                <w:szCs w:val="21"/>
                <w:lang w:val="en-US" w:eastAsia="zh-CN" w:bidi="ar"/>
              </w:rPr>
              <w:t>废气</w:t>
            </w:r>
            <w:r>
              <w:rPr>
                <w:rFonts w:hint="eastAsia" w:ascii="Times New Roman" w:hAnsi="Times New Roman" w:eastAsia="宋体" w:cs="Times New Roman"/>
                <w:color w:val="000000"/>
                <w:kern w:val="0"/>
                <w:sz w:val="21"/>
                <w:szCs w:val="21"/>
                <w:lang w:val="en-US" w:eastAsia="zh-CN" w:bidi="ar"/>
              </w:rPr>
              <w:t>及固化废气</w:t>
            </w:r>
            <w:r>
              <w:rPr>
                <w:rFonts w:hint="default" w:ascii="Times New Roman" w:hAnsi="Times New Roman" w:eastAsia="宋体" w:cs="Times New Roman"/>
                <w:color w:val="000000"/>
                <w:kern w:val="0"/>
                <w:sz w:val="21"/>
                <w:szCs w:val="21"/>
                <w:lang w:val="en-US" w:eastAsia="zh-CN" w:bidi="ar"/>
              </w:rPr>
              <w:t>一并接入“水旋塔+干式过滤+活性炭吸附+脱附+催化燃烧处理装置”处理后引至不低于15m高排气筒（DA00</w:t>
            </w: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）排放；</w:t>
            </w:r>
            <w:r>
              <w:rPr>
                <w:rFonts w:hint="eastAsia" w:ascii="Times New Roman" w:hAnsi="Times New Roman" w:eastAsia="宋体" w:cs="Times New Roman"/>
                <w:color w:val="auto"/>
                <w:kern w:val="0"/>
                <w:sz w:val="21"/>
                <w:szCs w:val="21"/>
                <w:lang w:val="en-US" w:eastAsia="zh-CN" w:bidi="ar"/>
              </w:rPr>
              <w:t>；</w:t>
            </w:r>
          </w:p>
          <w:p>
            <w:pPr>
              <w:numPr>
                <w:ilvl w:val="0"/>
                <w:numId w:val="4"/>
              </w:numPr>
              <w:spacing w:line="259" w:lineRule="auto"/>
              <w:jc w:val="left"/>
              <w:rPr>
                <w:rFonts w:hint="default" w:ascii="Times New Roman" w:hAnsi="Times New Roman" w:cs="Times New Roman"/>
                <w:highlight w:val="none"/>
                <w:lang w:val="en-US" w:eastAsia="zh-CN"/>
              </w:rPr>
            </w:pPr>
            <w:r>
              <w:rPr>
                <w:rFonts w:hint="default" w:ascii="Times New Roman" w:hAnsi="Times New Roman" w:eastAsia="宋体" w:cs="Times New Roman"/>
                <w:color w:val="000000"/>
                <w:kern w:val="0"/>
                <w:sz w:val="21"/>
                <w:szCs w:val="21"/>
                <w:lang w:val="en-US" w:eastAsia="zh-CN" w:bidi="ar"/>
              </w:rPr>
              <w:t>喷塑废气收集后经“滤筒过滤+脉冲滤芯除尘”二级回收处理后通过15m高排气筒（DA002）排放</w:t>
            </w:r>
            <w:r>
              <w:rPr>
                <w:rFonts w:hint="eastAsia" w:ascii="Times New Roman" w:hAnsi="Times New Roman" w:eastAsia="宋体" w:cs="Times New Roman"/>
                <w:color w:val="000000"/>
                <w:kern w:val="0"/>
                <w:sz w:val="21"/>
                <w:szCs w:val="21"/>
                <w:lang w:val="en-US" w:eastAsia="zh-CN" w:bidi="ar"/>
              </w:rPr>
              <w:t>；</w:t>
            </w:r>
          </w:p>
          <w:p>
            <w:pPr>
              <w:spacing w:line="259" w:lineRule="auto"/>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噪声方面：</w:t>
            </w:r>
          </w:p>
          <w:p>
            <w:pPr>
              <w:numPr>
                <w:ilvl w:val="0"/>
                <w:numId w:val="0"/>
              </w:numPr>
              <w:spacing w:line="259" w:lineRule="auto"/>
              <w:jc w:val="left"/>
              <w:rPr>
                <w:rFonts w:hint="default" w:ascii="Times New Roman" w:hAnsi="Times New Roman" w:eastAsia="宋体" w:cs="Times New Roman"/>
                <w:bCs/>
                <w:highlight w:val="none"/>
                <w:lang w:bidi="zh-CN"/>
              </w:rPr>
            </w:pPr>
            <w:r>
              <w:rPr>
                <w:rFonts w:hint="default" w:ascii="Times New Roman" w:hAnsi="Times New Roman" w:eastAsia="宋体" w:cs="Times New Roman"/>
                <w:color w:val="000000"/>
                <w:kern w:val="0"/>
                <w:sz w:val="21"/>
                <w:szCs w:val="21"/>
                <w:lang w:val="en-US" w:eastAsia="zh-CN" w:bidi="ar"/>
              </w:rPr>
              <w:t>采用低噪声设备，合理车间布局，采取减振措施，加强设备维护和管理等</w:t>
            </w:r>
            <w:r>
              <w:rPr>
                <w:rFonts w:hint="default" w:ascii="Times New Roman" w:hAnsi="Times New Roman" w:eastAsia="宋体" w:cs="Times New Roman"/>
                <w:bCs/>
                <w:highlight w:val="none"/>
                <w:lang w:bidi="zh-CN"/>
              </w:rPr>
              <w:t>。</w:t>
            </w:r>
          </w:p>
          <w:p>
            <w:pPr>
              <w:numPr>
                <w:ilvl w:val="0"/>
                <w:numId w:val="0"/>
              </w:numPr>
              <w:spacing w:line="259" w:lineRule="auto"/>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固废方面：</w:t>
            </w:r>
          </w:p>
          <w:p>
            <w:pPr>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危险废物：厂房设置专门的危废仓库，危废定期委托有资质单位处置，位于厂房1F</w:t>
            </w:r>
            <w:r>
              <w:rPr>
                <w:rFonts w:hint="eastAsia" w:ascii="Times New Roman" w:hAnsi="Times New Roman" w:eastAsia="宋体" w:cs="Times New Roman"/>
                <w:color w:val="000000"/>
                <w:kern w:val="0"/>
                <w:sz w:val="21"/>
                <w:szCs w:val="21"/>
                <w:lang w:val="en-US" w:eastAsia="zh-CN" w:bidi="ar"/>
              </w:rPr>
              <w:t>；</w:t>
            </w:r>
          </w:p>
          <w:p>
            <w:pPr>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一般固废：设置一般固废仓库，一般固废定期外售给物资单位，位于厂房1F</w:t>
            </w:r>
            <w:r>
              <w:rPr>
                <w:rFonts w:hint="eastAsia" w:ascii="Times New Roman" w:hAnsi="Times New Roman" w:eastAsia="宋体" w:cs="Times New Roman"/>
                <w:color w:val="000000"/>
                <w:kern w:val="0"/>
                <w:sz w:val="21"/>
                <w:szCs w:val="21"/>
                <w:lang w:val="en-US" w:eastAsia="zh-CN" w:bidi="ar"/>
              </w:rPr>
              <w:t>；</w:t>
            </w:r>
          </w:p>
          <w:p>
            <w:pPr>
              <w:jc w:val="left"/>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eastAsia="宋体" w:cs="Times New Roman"/>
                <w:color w:val="000000"/>
                <w:kern w:val="0"/>
                <w:sz w:val="21"/>
                <w:szCs w:val="21"/>
                <w:lang w:val="en-US" w:eastAsia="zh-CN" w:bidi="ar"/>
              </w:rPr>
              <w:t>生活垃圾：委托环卫部门处置</w:t>
            </w:r>
            <w:r>
              <w:rPr>
                <w:rFonts w:hint="default"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13"/>
                <w:szCs w:val="13"/>
                <w:highlight w:val="none"/>
                <w:lang w:val="en-US" w:eastAsia="zh-CN" w:bidi="ar"/>
              </w:rPr>
              <w:t xml:space="preserve"> </w:t>
            </w:r>
          </w:p>
        </w:tc>
        <w:tc>
          <w:tcPr>
            <w:tcW w:w="4170" w:type="dxa"/>
            <w:vMerge w:val="restart"/>
            <w:vAlign w:val="center"/>
          </w:tcPr>
          <w:p>
            <w:pPr>
              <w:spacing w:line="259" w:lineRule="auto"/>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废水方面：</w:t>
            </w:r>
          </w:p>
          <w:p>
            <w:pPr>
              <w:numPr>
                <w:ilvl w:val="0"/>
                <w:numId w:val="0"/>
              </w:numPr>
              <w:spacing w:line="259" w:lineRule="auto"/>
              <w:jc w:val="left"/>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eastAsia" w:ascii="Times New Roman" w:hAnsi="Times New Roman" w:eastAsia="宋体" w:cs="Times New Roman"/>
                <w:color w:val="auto"/>
                <w:kern w:val="0"/>
                <w:sz w:val="21"/>
                <w:szCs w:val="21"/>
                <w:lang w:val="en-US" w:eastAsia="zh-CN" w:bidi="ar"/>
              </w:rPr>
              <w:t>本项目生产废水经过厂区污水处理设施处理，生活污水经厂区化粪池预处理，分别达到《污水综合排放标准》（GB8978-1996）中的三级标准后，汇同后纳管通过永康市城市污水处理厂集中处理，污水纳管标准执行《污水综合排放标准》（GB8978-1996）三级标准，其中氨氮、总磷执行《工业企业废水氮、磷污染物间接排放限值》（DB33/887-2013）中相关限值要求，经永康市城市污水处理厂处理达标后排入永康江</w:t>
            </w:r>
            <w:r>
              <w:rPr>
                <w:rFonts w:hint="default" w:ascii="Times New Roman" w:hAnsi="Times New Roman" w:cs="Times New Roman"/>
                <w:color w:val="auto"/>
                <w:highlight w:val="none"/>
                <w:lang w:eastAsia="zh-CN"/>
              </w:rPr>
              <w:t>。经原环评单位出具的《废水处理设施情况说明》确认现有处理设施可以满足废水处理要求</w:t>
            </w:r>
            <w:r>
              <w:rPr>
                <w:rFonts w:hint="eastAsia" w:ascii="Times New Roman" w:hAnsi="Times New Roman" w:cs="Times New Roman"/>
                <w:color w:val="auto"/>
                <w:highlight w:val="none"/>
                <w:lang w:eastAsia="zh-CN"/>
              </w:rPr>
              <w:t>。</w:t>
            </w:r>
          </w:p>
          <w:p>
            <w:pPr>
              <w:spacing w:line="259" w:lineRule="auto"/>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废气方面：</w:t>
            </w:r>
          </w:p>
          <w:p>
            <w:pPr>
              <w:numPr>
                <w:ilvl w:val="0"/>
                <w:numId w:val="5"/>
              </w:numPr>
              <w:spacing w:line="259" w:lineRule="auto"/>
              <w:jc w:val="left"/>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焊接工序废气无组织排放，车间内设有移动式排风扇；</w:t>
            </w:r>
          </w:p>
          <w:p>
            <w:pPr>
              <w:numPr>
                <w:ilvl w:val="0"/>
                <w:numId w:val="5"/>
              </w:numPr>
              <w:spacing w:line="259" w:lineRule="auto"/>
              <w:jc w:val="left"/>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kern w:val="0"/>
                <w:sz w:val="21"/>
                <w:szCs w:val="21"/>
                <w:lang w:val="en-US" w:eastAsia="zh-CN" w:bidi="ar"/>
              </w:rPr>
              <w:t>胶合工序废气无组织排放，车间内设有移动式排风扇；</w:t>
            </w:r>
          </w:p>
          <w:p>
            <w:pPr>
              <w:numPr>
                <w:ilvl w:val="0"/>
                <w:numId w:val="5"/>
              </w:numPr>
              <w:spacing w:line="259" w:lineRule="auto"/>
              <w:jc w:val="left"/>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lang w:val="en-US" w:eastAsia="zh-CN" w:bidi="ar"/>
              </w:rPr>
              <w:t>喷漆废气经水帘除漆雾，再与</w:t>
            </w:r>
            <w:r>
              <w:rPr>
                <w:rFonts w:hint="eastAsia" w:ascii="Times New Roman" w:hAnsi="Times New Roman" w:eastAsia="宋体" w:cs="Times New Roman"/>
                <w:color w:val="auto"/>
                <w:kern w:val="0"/>
                <w:sz w:val="21"/>
                <w:szCs w:val="21"/>
                <w:lang w:val="en-US" w:eastAsia="zh-CN" w:bidi="ar"/>
              </w:rPr>
              <w:t>调漆废气、烘干</w:t>
            </w:r>
            <w:r>
              <w:rPr>
                <w:rFonts w:hint="default" w:ascii="Times New Roman" w:hAnsi="Times New Roman" w:eastAsia="宋体" w:cs="Times New Roman"/>
                <w:color w:val="auto"/>
                <w:kern w:val="0"/>
                <w:sz w:val="21"/>
                <w:szCs w:val="21"/>
                <w:lang w:val="en-US" w:eastAsia="zh-CN" w:bidi="ar"/>
              </w:rPr>
              <w:t>废气</w:t>
            </w:r>
            <w:r>
              <w:rPr>
                <w:rFonts w:hint="eastAsia" w:ascii="Times New Roman" w:hAnsi="Times New Roman" w:eastAsia="宋体" w:cs="Times New Roman"/>
                <w:color w:val="auto"/>
                <w:kern w:val="0"/>
                <w:sz w:val="21"/>
                <w:szCs w:val="21"/>
                <w:lang w:val="en-US" w:eastAsia="zh-CN" w:bidi="ar"/>
              </w:rPr>
              <w:t>及固化废气、天然气燃烧废气</w:t>
            </w:r>
            <w:r>
              <w:rPr>
                <w:rFonts w:hint="default" w:ascii="Times New Roman" w:hAnsi="Times New Roman" w:eastAsia="宋体" w:cs="Times New Roman"/>
                <w:color w:val="auto"/>
                <w:kern w:val="0"/>
                <w:sz w:val="21"/>
                <w:szCs w:val="21"/>
                <w:lang w:val="en-US" w:eastAsia="zh-CN" w:bidi="ar"/>
              </w:rPr>
              <w:t>一并接入“水旋塔+干式过滤+活性炭吸附+脱附+催化燃烧处理装置”处理后引至15m高排气筒（DA00</w:t>
            </w: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）排放；</w:t>
            </w:r>
            <w:r>
              <w:rPr>
                <w:rFonts w:hint="eastAsia" w:ascii="Times New Roman" w:hAnsi="Times New Roman" w:eastAsia="宋体" w:cs="Times New Roman"/>
                <w:color w:val="auto"/>
                <w:kern w:val="0"/>
                <w:sz w:val="21"/>
                <w:szCs w:val="21"/>
                <w:lang w:val="en-US" w:eastAsia="zh-CN" w:bidi="ar"/>
              </w:rPr>
              <w:t>；</w:t>
            </w:r>
          </w:p>
          <w:p>
            <w:pPr>
              <w:numPr>
                <w:ilvl w:val="0"/>
                <w:numId w:val="5"/>
              </w:numPr>
              <w:spacing w:line="259" w:lineRule="auto"/>
              <w:jc w:val="left"/>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lang w:val="en-US" w:eastAsia="zh-CN" w:bidi="ar"/>
              </w:rPr>
              <w:t>喷塑废气收集后经“滤筒过滤+脉冲滤芯除尘”二级回收处理后通过15m高排气筒（DA002）排放</w:t>
            </w:r>
            <w:r>
              <w:rPr>
                <w:rFonts w:hint="default" w:ascii="Times New Roman" w:hAnsi="Times New Roman" w:cs="Times New Roman"/>
                <w:color w:val="auto"/>
                <w:szCs w:val="21"/>
                <w:highlight w:val="none"/>
                <w:lang w:val="en-US" w:eastAsia="zh-CN"/>
              </w:rPr>
              <w:t>。</w:t>
            </w:r>
          </w:p>
          <w:p>
            <w:pPr>
              <w:spacing w:line="259" w:lineRule="auto"/>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噪声方面：</w:t>
            </w:r>
          </w:p>
          <w:p>
            <w:pPr>
              <w:numPr>
                <w:ilvl w:val="0"/>
                <w:numId w:val="0"/>
              </w:numPr>
              <w:spacing w:line="259" w:lineRule="auto"/>
              <w:jc w:val="left"/>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bCs/>
                <w:color w:val="auto"/>
                <w:kern w:val="2"/>
                <w:sz w:val="21"/>
                <w:szCs w:val="21"/>
                <w:lang w:val="en-US" w:eastAsia="zh-CN" w:bidi="ar-SA"/>
              </w:rPr>
              <w:t>企业合理安排作业时间，减少对周边企业的噪声影响；平时加强设备的维护，确保设备处于良好的运转状态，杜绝因设备不正常运转时产生的高噪声现象</w:t>
            </w:r>
            <w:r>
              <w:rPr>
                <w:rFonts w:hint="default" w:ascii="Times New Roman" w:hAnsi="Times New Roman" w:cs="Times New Roman"/>
                <w:color w:val="auto"/>
                <w:highlight w:val="none"/>
                <w:lang w:val="en-US" w:eastAsia="zh-CN"/>
              </w:rPr>
              <w:t>。</w:t>
            </w:r>
          </w:p>
          <w:p>
            <w:pPr>
              <w:spacing w:line="259" w:lineRule="auto"/>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固废方面：</w:t>
            </w:r>
          </w:p>
          <w:p>
            <w:pPr>
              <w:spacing w:line="259" w:lineRule="auto"/>
              <w:jc w:val="left"/>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eastAsia="宋体" w:cs="Times New Roman"/>
                <w:color w:val="auto"/>
                <w:sz w:val="21"/>
                <w:szCs w:val="21"/>
                <w:lang w:eastAsia="zh-CN"/>
              </w:rPr>
              <w:t>一般固废仓库</w:t>
            </w:r>
            <w:r>
              <w:rPr>
                <w:rFonts w:hint="eastAsia" w:ascii="Times New Roman" w:hAnsi="Times New Roman" w:eastAsia="宋体" w:cs="Times New Roman"/>
                <w:color w:val="auto"/>
                <w:sz w:val="21"/>
                <w:szCs w:val="21"/>
                <w:lang w:val="en-US" w:eastAsia="zh-CN"/>
              </w:rPr>
              <w:t>位于厂区南侧，危废仓库位于厂区东南侧，约40m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bidi="ar"/>
              </w:rPr>
              <w:t>。危险废物（</w:t>
            </w:r>
            <w:r>
              <w:rPr>
                <w:rFonts w:hint="eastAsia" w:ascii="Times New Roman" w:hAnsi="Times New Roman" w:eastAsia="宋体" w:cs="Times New Roman"/>
                <w:color w:val="auto"/>
                <w:kern w:val="0"/>
                <w:sz w:val="21"/>
                <w:szCs w:val="21"/>
                <w:lang w:val="en-US" w:eastAsia="zh-CN" w:bidi="ar"/>
              </w:rPr>
              <w:t>漆渣、危险废包装桶、废润滑油、废油桶、废活性炭、废过滤棉、废催化剂、废抹布</w:t>
            </w:r>
            <w:r>
              <w:rPr>
                <w:rFonts w:hint="default" w:ascii="Times New Roman" w:hAnsi="Times New Roman" w:eastAsia="宋体" w:cs="Times New Roman"/>
                <w:color w:val="auto"/>
                <w:kern w:val="0"/>
                <w:sz w:val="21"/>
                <w:szCs w:val="21"/>
                <w:lang w:val="en-US" w:eastAsia="zh-CN" w:bidi="ar"/>
              </w:rPr>
              <w:t>）收集后暂存至危废仓库内，委托</w:t>
            </w:r>
            <w:r>
              <w:rPr>
                <w:rFonts w:hint="eastAsia" w:ascii="Times New Roman" w:hAnsi="Times New Roman" w:eastAsia="宋体" w:cs="Times New Roman"/>
                <w:color w:val="auto"/>
                <w:kern w:val="0"/>
                <w:sz w:val="21"/>
                <w:szCs w:val="21"/>
                <w:lang w:val="en-US" w:eastAsia="zh-CN" w:bidi="ar"/>
              </w:rPr>
              <w:t>永康供联三曜环保技术服务有限公司</w:t>
            </w:r>
            <w:r>
              <w:rPr>
                <w:rFonts w:hint="default" w:ascii="Times New Roman" w:hAnsi="Times New Roman" w:eastAsia="宋体" w:cs="Times New Roman"/>
                <w:color w:val="auto"/>
                <w:kern w:val="0"/>
                <w:sz w:val="21"/>
                <w:szCs w:val="21"/>
                <w:lang w:val="en-US" w:eastAsia="zh-CN" w:bidi="ar"/>
              </w:rPr>
              <w:t>进行处置；</w:t>
            </w:r>
            <w:r>
              <w:rPr>
                <w:rFonts w:hint="eastAsia" w:ascii="Times New Roman" w:hAnsi="Times New Roman" w:eastAsia="宋体" w:cs="Times New Roman"/>
                <w:color w:val="auto"/>
                <w:kern w:val="0"/>
                <w:sz w:val="21"/>
                <w:szCs w:val="21"/>
                <w:lang w:val="en-US" w:eastAsia="zh-CN" w:bidi="ar"/>
              </w:rPr>
              <w:t>一般固废（金属边角料、一般废包装物、废塑粉、废滤芯）</w:t>
            </w:r>
            <w:r>
              <w:rPr>
                <w:rFonts w:hint="default" w:ascii="Times New Roman" w:hAnsi="Times New Roman" w:eastAsia="宋体" w:cs="Times New Roman"/>
                <w:color w:val="auto"/>
                <w:kern w:val="0"/>
                <w:sz w:val="21"/>
                <w:szCs w:val="21"/>
                <w:lang w:val="en-US" w:eastAsia="zh-CN" w:bidi="ar"/>
              </w:rPr>
              <w:t>收集后出售给回收公司综合利用；生活垃圾由当地环卫部门统一清运处理</w:t>
            </w:r>
            <w:r>
              <w:rPr>
                <w:rFonts w:hint="eastAsia" w:ascii="Times New Roman" w:hAnsi="Times New Roman" w:cs="Times New Roman"/>
                <w:color w:val="auto"/>
                <w:highlight w:val="none"/>
                <w:lang w:val="en-US" w:eastAsia="zh-CN"/>
              </w:rPr>
              <w:t>。</w:t>
            </w: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7</w:t>
            </w:r>
            <w:r>
              <w:rPr>
                <w:rFonts w:hint="eastAsia" w:ascii="Times New Roman" w:hAnsi="Times New Roman"/>
                <w:lang w:val="en-US" w:eastAsia="zh-CN"/>
              </w:rPr>
              <w:t xml:space="preserve">、物料运输、装卸、贮存方式变化，导致大气污染物无组织排放量增加 </w:t>
            </w:r>
            <w:r>
              <w:rPr>
                <w:rFonts w:hint="default" w:ascii="Times New Roman" w:hAnsi="Times New Roman"/>
                <w:lang w:val="en-US" w:eastAsia="zh-CN"/>
              </w:rPr>
              <w:t>10%</w:t>
            </w:r>
            <w:r>
              <w:rPr>
                <w:rFonts w:hint="eastAsia" w:ascii="Times New Roman" w:hAnsi="Times New Roman"/>
                <w:lang w:val="en-US" w:eastAsia="zh-CN"/>
              </w:rPr>
              <w:t>及以上的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320" w:type="dxa"/>
            <w:vMerge w:val="continue"/>
            <w:vAlign w:val="center"/>
          </w:tcPr>
          <w:p>
            <w:pPr>
              <w:spacing w:line="259" w:lineRule="auto"/>
              <w:jc w:val="left"/>
              <w:rPr>
                <w:rFonts w:ascii="Times New Roman" w:hAnsi="Times New Roman"/>
              </w:rPr>
            </w:pPr>
          </w:p>
        </w:tc>
        <w:tc>
          <w:tcPr>
            <w:tcW w:w="417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8</w:t>
            </w:r>
            <w:r>
              <w:rPr>
                <w:rFonts w:hint="eastAsia" w:ascii="Times New Roman" w:hAnsi="Times New Roman"/>
                <w:lang w:val="en-US" w:eastAsia="zh-CN"/>
              </w:rPr>
              <w:t xml:space="preserve">、废气、废水污染防治措施变化，导致第 </w:t>
            </w:r>
            <w:r>
              <w:rPr>
                <w:rFonts w:hint="default" w:ascii="Times New Roman" w:hAnsi="Times New Roman"/>
                <w:lang w:val="en-US" w:eastAsia="zh-CN"/>
              </w:rPr>
              <w:t>6</w:t>
            </w:r>
            <w:r>
              <w:rPr>
                <w:rFonts w:hint="eastAsia" w:ascii="Times New Roman" w:hAnsi="Times New Roman"/>
                <w:lang w:val="en-US" w:eastAsia="zh-CN"/>
              </w:rPr>
              <w:t>条中所列情形之一</w:t>
            </w:r>
            <w:r>
              <w:rPr>
                <w:rFonts w:hint="default" w:ascii="Times New Roman" w:hAnsi="Times New Roman"/>
                <w:lang w:val="en-US" w:eastAsia="zh-CN"/>
              </w:rPr>
              <w:t>(</w:t>
            </w:r>
            <w:r>
              <w:rPr>
                <w:rFonts w:hint="eastAsia" w:ascii="Times New Roman" w:hAnsi="Times New Roman"/>
                <w:lang w:val="en-US" w:eastAsia="zh-CN"/>
              </w:rPr>
              <w:t>废气无组织排放改为有组织排放、污染防治措施强化或改进的除外</w:t>
            </w:r>
            <w:r>
              <w:rPr>
                <w:rFonts w:hint="default" w:ascii="Times New Roman" w:hAnsi="Times New Roman"/>
                <w:lang w:val="en-US" w:eastAsia="zh-CN"/>
              </w:rPr>
              <w:t>)</w:t>
            </w:r>
            <w:r>
              <w:rPr>
                <w:rFonts w:hint="eastAsia" w:ascii="Times New Roman" w:hAnsi="Times New Roman"/>
                <w:lang w:val="en-US" w:eastAsia="zh-CN"/>
              </w:rPr>
              <w:t>或大气污染物无组织排放量增加</w:t>
            </w:r>
            <w:r>
              <w:rPr>
                <w:rFonts w:hint="default" w:ascii="Times New Roman" w:hAnsi="Times New Roman"/>
                <w:lang w:val="en-US" w:eastAsia="zh-CN"/>
              </w:rPr>
              <w:t>10%</w:t>
            </w:r>
            <w:r>
              <w:rPr>
                <w:rFonts w:hint="eastAsia" w:ascii="Times New Roman" w:hAnsi="Times New Roman"/>
                <w:lang w:val="en-US" w:eastAsia="zh-CN"/>
              </w:rPr>
              <w:t xml:space="preserve">及以上的 </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320" w:type="dxa"/>
            <w:vMerge w:val="continue"/>
            <w:vAlign w:val="center"/>
          </w:tcPr>
          <w:p>
            <w:pPr>
              <w:spacing w:line="259" w:lineRule="auto"/>
              <w:jc w:val="left"/>
              <w:rPr>
                <w:rFonts w:ascii="Times New Roman" w:hAnsi="Times New Roman"/>
              </w:rPr>
            </w:pPr>
          </w:p>
        </w:tc>
        <w:tc>
          <w:tcPr>
            <w:tcW w:w="417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9</w:t>
            </w:r>
            <w:r>
              <w:rPr>
                <w:rFonts w:hint="eastAsia" w:ascii="Times New Roman" w:hAnsi="Times New Roman"/>
                <w:lang w:val="en-US" w:eastAsia="zh-CN"/>
              </w:rPr>
              <w:t>、新增废水直接排放口</w:t>
            </w:r>
            <w:r>
              <w:rPr>
                <w:rFonts w:hint="default" w:ascii="Times New Roman" w:hAnsi="Times New Roman"/>
                <w:lang w:val="en-US" w:eastAsia="zh-CN"/>
              </w:rPr>
              <w:t>;</w:t>
            </w:r>
            <w:r>
              <w:rPr>
                <w:rFonts w:hint="eastAsia" w:ascii="Times New Roman" w:hAnsi="Times New Roman"/>
                <w:lang w:val="en-US" w:eastAsia="zh-CN"/>
              </w:rPr>
              <w:t>废水由间接排放改为直接排放</w:t>
            </w:r>
            <w:r>
              <w:rPr>
                <w:rFonts w:hint="default" w:ascii="Times New Roman" w:hAnsi="Times New Roman"/>
                <w:lang w:val="en-US" w:eastAsia="zh-CN"/>
              </w:rPr>
              <w:t>;</w:t>
            </w:r>
            <w:r>
              <w:rPr>
                <w:rFonts w:hint="eastAsia" w:ascii="Times New Roman" w:hAnsi="Times New Roman"/>
                <w:lang w:val="en-US" w:eastAsia="zh-CN"/>
              </w:rPr>
              <w:t>废水直接排放口位置变化，导致不利环境影响加重的。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320" w:type="dxa"/>
            <w:vMerge w:val="continue"/>
            <w:vAlign w:val="center"/>
          </w:tcPr>
          <w:p>
            <w:pPr>
              <w:spacing w:line="259" w:lineRule="auto"/>
              <w:jc w:val="left"/>
              <w:rPr>
                <w:rFonts w:ascii="Times New Roman" w:hAnsi="Times New Roman"/>
              </w:rPr>
            </w:pPr>
          </w:p>
        </w:tc>
        <w:tc>
          <w:tcPr>
            <w:tcW w:w="417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10</w:t>
            </w:r>
            <w:r>
              <w:rPr>
                <w:rFonts w:hint="eastAsia" w:ascii="Times New Roman" w:hAnsi="Times New Roman"/>
                <w:lang w:val="en-US" w:eastAsia="zh-CN"/>
              </w:rPr>
              <w:t>、新增废气主要排放口</w:t>
            </w:r>
            <w:r>
              <w:rPr>
                <w:rFonts w:hint="default" w:ascii="Times New Roman" w:hAnsi="Times New Roman"/>
                <w:lang w:val="en-US" w:eastAsia="zh-CN"/>
              </w:rPr>
              <w:t>(</w:t>
            </w:r>
            <w:r>
              <w:rPr>
                <w:rFonts w:hint="eastAsia" w:ascii="Times New Roman" w:hAnsi="Times New Roman"/>
                <w:lang w:val="en-US" w:eastAsia="zh-CN"/>
              </w:rPr>
              <w:t>废气无组织排放改为有组织排放的除外</w:t>
            </w:r>
            <w:r>
              <w:rPr>
                <w:rFonts w:hint="default" w:ascii="Times New Roman" w:hAnsi="Times New Roman"/>
                <w:lang w:val="en-US" w:eastAsia="zh-CN"/>
              </w:rPr>
              <w:t>);</w:t>
            </w:r>
            <w:r>
              <w:rPr>
                <w:rFonts w:hint="eastAsia" w:ascii="Times New Roman" w:hAnsi="Times New Roman"/>
                <w:lang w:val="en-US" w:eastAsia="zh-CN"/>
              </w:rPr>
              <w:t>主要排放口排气筒高度降低</w:t>
            </w:r>
            <w:r>
              <w:rPr>
                <w:rFonts w:hint="default" w:ascii="Times New Roman" w:hAnsi="Times New Roman"/>
                <w:lang w:val="en-US" w:eastAsia="zh-CN"/>
              </w:rPr>
              <w:t>10%</w:t>
            </w:r>
            <w:r>
              <w:rPr>
                <w:rFonts w:hint="eastAsia" w:ascii="Times New Roman" w:hAnsi="Times New Roman"/>
                <w:lang w:val="en-US" w:eastAsia="zh-CN"/>
              </w:rPr>
              <w:t>及以上的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320" w:type="dxa"/>
            <w:vMerge w:val="continue"/>
            <w:vAlign w:val="center"/>
          </w:tcPr>
          <w:p>
            <w:pPr>
              <w:spacing w:line="259" w:lineRule="auto"/>
              <w:jc w:val="left"/>
              <w:rPr>
                <w:rFonts w:ascii="Times New Roman" w:hAnsi="Times New Roman"/>
              </w:rPr>
            </w:pPr>
          </w:p>
        </w:tc>
        <w:tc>
          <w:tcPr>
            <w:tcW w:w="417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11</w:t>
            </w:r>
            <w:r>
              <w:rPr>
                <w:rFonts w:hint="eastAsia" w:ascii="Times New Roman" w:hAnsi="Times New Roman"/>
                <w:lang w:val="en-US" w:eastAsia="zh-CN"/>
              </w:rPr>
              <w:t>、噪声、土壤或地下水污染防治措施变化，导致不利环境影响加重的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320" w:type="dxa"/>
            <w:vMerge w:val="continue"/>
            <w:vAlign w:val="center"/>
          </w:tcPr>
          <w:p>
            <w:pPr>
              <w:spacing w:line="259" w:lineRule="auto"/>
              <w:jc w:val="left"/>
              <w:rPr>
                <w:rFonts w:ascii="Times New Roman" w:hAnsi="Times New Roman"/>
              </w:rPr>
            </w:pPr>
          </w:p>
        </w:tc>
        <w:tc>
          <w:tcPr>
            <w:tcW w:w="417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12</w:t>
            </w:r>
            <w:r>
              <w:rPr>
                <w:rFonts w:hint="eastAsia" w:ascii="Times New Roman" w:hAnsi="Times New Roman"/>
                <w:lang w:val="en-US" w:eastAsia="zh-CN"/>
              </w:rPr>
              <w:t>、固体废物利用处置方式由委托外单位利用处置改为自行利用处置的</w:t>
            </w:r>
            <w:r>
              <w:rPr>
                <w:rFonts w:hint="default" w:ascii="Times New Roman" w:hAnsi="Times New Roman"/>
                <w:lang w:val="en-US" w:eastAsia="zh-CN"/>
              </w:rPr>
              <w:t>(</w:t>
            </w:r>
            <w:r>
              <w:rPr>
                <w:rFonts w:hint="eastAsia" w:ascii="Times New Roman" w:hAnsi="Times New Roman"/>
                <w:lang w:val="en-US" w:eastAsia="zh-CN"/>
              </w:rPr>
              <w:t>自行利用处置设施单独开展环境影响评价的除外</w:t>
            </w:r>
            <w:r>
              <w:rPr>
                <w:rFonts w:hint="default" w:ascii="Times New Roman" w:hAnsi="Times New Roman"/>
                <w:lang w:val="en-US" w:eastAsia="zh-CN"/>
              </w:rPr>
              <w:t>);</w:t>
            </w:r>
            <w:r>
              <w:rPr>
                <w:rFonts w:hint="eastAsia" w:ascii="Times New Roman" w:hAnsi="Times New Roman"/>
                <w:lang w:val="en-US" w:eastAsia="zh-CN"/>
              </w:rPr>
              <w:t>固体废物自行处置方式变化，导致不利环境影响加重的。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 w:type="dxa"/>
            <w:vMerge w:val="continue"/>
            <w:vAlign w:val="center"/>
          </w:tcPr>
          <w:p>
            <w:pPr>
              <w:spacing w:line="259" w:lineRule="auto"/>
              <w:jc w:val="center"/>
              <w:rPr>
                <w:rFonts w:hint="eastAsia" w:ascii="Times New Roman" w:hAnsi="Times New Roman"/>
              </w:rPr>
            </w:pPr>
          </w:p>
        </w:tc>
        <w:tc>
          <w:tcPr>
            <w:tcW w:w="3320" w:type="dxa"/>
            <w:vMerge w:val="continue"/>
            <w:vAlign w:val="center"/>
          </w:tcPr>
          <w:p>
            <w:pPr>
              <w:spacing w:line="259" w:lineRule="auto"/>
              <w:jc w:val="left"/>
              <w:rPr>
                <w:rFonts w:ascii="Times New Roman" w:hAnsi="Times New Roman"/>
              </w:rPr>
            </w:pPr>
          </w:p>
        </w:tc>
        <w:tc>
          <w:tcPr>
            <w:tcW w:w="4170" w:type="dxa"/>
            <w:vMerge w:val="continue"/>
            <w:vAlign w:val="center"/>
          </w:tcPr>
          <w:p>
            <w:pPr>
              <w:spacing w:line="259" w:lineRule="auto"/>
              <w:jc w:val="left"/>
              <w:rPr>
                <w:rFonts w:hint="eastAsia" w:ascii="Times New Roman" w:hAnsi="Times New Roman"/>
                <w:lang w:val="en-US" w:eastAsia="zh-CN"/>
              </w:rPr>
            </w:pPr>
          </w:p>
        </w:tc>
        <w:tc>
          <w:tcPr>
            <w:tcW w:w="3880" w:type="dxa"/>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13</w:t>
            </w:r>
            <w:r>
              <w:rPr>
                <w:rFonts w:hint="eastAsia" w:ascii="Times New Roman" w:hAnsi="Times New Roman"/>
                <w:lang w:val="en-US" w:eastAsia="zh-CN"/>
              </w:rPr>
              <w:t>、事故废水暂存能力或拦截设施变化，导致环境风险防范能力弱化或降低的</w:t>
            </w:r>
          </w:p>
        </w:tc>
        <w:tc>
          <w:tcPr>
            <w:tcW w:w="1862" w:type="dxa"/>
            <w:vAlign w:val="center"/>
          </w:tcPr>
          <w:p>
            <w:pPr>
              <w:spacing w:line="259" w:lineRule="auto"/>
              <w:jc w:val="center"/>
              <w:rPr>
                <w:rFonts w:ascii="Times New Roman" w:hAnsi="Times New Roman"/>
              </w:rPr>
            </w:pPr>
            <w:r>
              <w:rPr>
                <w:rFonts w:hint="eastAsia" w:ascii="Times New Roman" w:hAnsi="Times New Roman"/>
                <w:lang w:eastAsia="zh-CN"/>
              </w:rPr>
              <w:t>否</w:t>
            </w:r>
          </w:p>
        </w:tc>
      </w:tr>
    </w:tbl>
    <w:p>
      <w:pPr>
        <w:pStyle w:val="13"/>
        <w:rPr>
          <w:rFonts w:ascii="Times New Roman" w:hAnsi="Times New Roman" w:eastAsia="宋体" w:cs="Times New Roman"/>
          <w:b/>
          <w:bCs/>
          <w:kern w:val="0"/>
          <w:szCs w:val="21"/>
        </w:rPr>
        <w:sectPr>
          <w:headerReference r:id="rId9" w:type="default"/>
          <w:footerReference r:id="rId10" w:type="default"/>
          <w:pgSz w:w="16838" w:h="11906" w:orient="landscape"/>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pPr>
      <w:bookmarkStart w:id="41" w:name="_Toc11432"/>
      <w:r>
        <w:rPr>
          <w:rFonts w:hint="eastAsia"/>
        </w:rPr>
        <w:t>4环境保护设施</w:t>
      </w:r>
      <w:bookmarkEnd w:id="41"/>
    </w:p>
    <w:p>
      <w:pPr>
        <w:pStyle w:val="5"/>
        <w:rPr>
          <w:rFonts w:eastAsia="宋体"/>
        </w:rPr>
      </w:pPr>
      <w:bookmarkStart w:id="42" w:name="_Toc19392"/>
      <w:r>
        <w:rPr>
          <w:rFonts w:eastAsia="宋体"/>
        </w:rPr>
        <w:t>4.1污染物治理/处置设施</w:t>
      </w:r>
      <w:bookmarkEnd w:id="42"/>
    </w:p>
    <w:p>
      <w:pPr>
        <w:pStyle w:val="6"/>
      </w:pPr>
      <w:bookmarkStart w:id="43" w:name="_Toc17794"/>
      <w:r>
        <w:rPr>
          <w:rFonts w:hint="eastAsia"/>
        </w:rPr>
        <w:t>4.1.1废水</w:t>
      </w:r>
      <w:bookmarkEnd w:id="43"/>
    </w:p>
    <w:p>
      <w:pPr>
        <w:spacing w:line="360" w:lineRule="auto"/>
        <w:ind w:firstLine="480" w:firstLineChars="200"/>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lang w:val="en-US" w:eastAsia="zh-CN"/>
        </w:rPr>
        <w:t>本项目实施后</w:t>
      </w:r>
      <w:r>
        <w:rPr>
          <w:rFonts w:hint="eastAsia" w:ascii="Times New Roman" w:hAnsi="Times New Roman" w:eastAsia="宋体" w:cs="Times New Roman"/>
          <w:kern w:val="0"/>
          <w:sz w:val="24"/>
          <w:szCs w:val="24"/>
          <w:highlight w:val="none"/>
          <w:lang w:val="en-US" w:eastAsia="zh-CN"/>
        </w:rPr>
        <w:t>，项目废水主要为水帘废水、有机废气喷淋废水和生活污水。</w:t>
      </w:r>
    </w:p>
    <w:p>
      <w:pPr>
        <w:spacing w:line="360" w:lineRule="auto"/>
        <w:ind w:firstLine="480" w:firstLineChars="200"/>
        <w:rPr>
          <w:rFonts w:hint="eastAsia" w:ascii="Times New Roman" w:hAnsi="Times New Roman" w:cs="Times New Roman"/>
          <w:bCs/>
          <w:sz w:val="24"/>
          <w:szCs w:val="24"/>
          <w:highlight w:val="none"/>
          <w:lang w:val="en-US" w:eastAsia="zh-CN" w:bidi="zh-CN"/>
        </w:rPr>
      </w:pPr>
      <w:r>
        <w:rPr>
          <w:rFonts w:hint="eastAsia" w:ascii="Times New Roman" w:hAnsi="Times New Roman" w:cs="Times New Roman"/>
          <w:bCs/>
          <w:sz w:val="24"/>
          <w:szCs w:val="24"/>
          <w:highlight w:val="none"/>
          <w:lang w:val="en-US" w:eastAsia="zh-CN" w:bidi="zh-CN"/>
        </w:rPr>
        <w:t>厂区排水实行雨污分流；雨水经收集后排入市政雨水管网；水帘废水、有机废气喷淋废水经过污水处理设备处理，生活污水经化粪池预处理，分别达到纳管标准后，汇同排入市政管网，排入永康市城市污水处理厂，处理达标后排入永康江。</w:t>
      </w:r>
    </w:p>
    <w:p>
      <w:pPr>
        <w:spacing w:line="360" w:lineRule="auto"/>
        <w:ind w:firstLine="422" w:firstLineChars="20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表4.1</w:t>
      </w:r>
      <w:r>
        <w:rPr>
          <w:rFonts w:hint="eastAsia" w:ascii="Times New Roman" w:hAnsi="Times New Roman" w:eastAsia="宋体" w:cs="Times New Roman"/>
          <w:b/>
          <w:bCs/>
          <w:szCs w:val="21"/>
          <w:lang w:val="en-US" w:eastAsia="zh-CN"/>
        </w:rPr>
        <w:t>.1</w:t>
      </w:r>
      <w:r>
        <w:rPr>
          <w:rFonts w:hint="eastAsia" w:ascii="Times New Roman" w:hAnsi="Times New Roman" w:eastAsia="宋体" w:cs="Times New Roman"/>
          <w:b/>
          <w:bCs/>
          <w:szCs w:val="21"/>
        </w:rPr>
        <w:t>-1 废水来源及处理方式</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271"/>
        <w:gridCol w:w="1464"/>
        <w:gridCol w:w="1465"/>
        <w:gridCol w:w="1510"/>
        <w:gridCol w:w="16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08" w:type="dxa"/>
            <w:vMerge w:val="restart"/>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废水类别</w:t>
            </w:r>
          </w:p>
        </w:tc>
        <w:tc>
          <w:tcPr>
            <w:tcW w:w="1271" w:type="dxa"/>
            <w:vMerge w:val="restart"/>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产生工序</w:t>
            </w:r>
          </w:p>
        </w:tc>
        <w:tc>
          <w:tcPr>
            <w:tcW w:w="2929" w:type="dxa"/>
            <w:gridSpan w:val="2"/>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处理设施</w:t>
            </w:r>
          </w:p>
        </w:tc>
        <w:tc>
          <w:tcPr>
            <w:tcW w:w="1510" w:type="dxa"/>
            <w:vMerge w:val="restart"/>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主要污染因子</w:t>
            </w:r>
          </w:p>
        </w:tc>
        <w:tc>
          <w:tcPr>
            <w:tcW w:w="1698" w:type="dxa"/>
            <w:vMerge w:val="restart"/>
            <w:tcBorders>
              <w:tl2br w:val="nil"/>
              <w:tr2bl w:val="nil"/>
            </w:tcBorders>
            <w:vAlign w:val="center"/>
          </w:tcPr>
          <w:p>
            <w:pPr>
              <w:tabs>
                <w:tab w:val="left" w:pos="2820"/>
                <w:tab w:val="left" w:pos="2975"/>
                <w:tab w:val="center" w:pos="4707"/>
              </w:tabs>
              <w:spacing w:before="120" w:after="120" w:line="360" w:lineRule="exact"/>
              <w:ind w:left="-111" w:leftChars="-53"/>
              <w:jc w:val="center"/>
              <w:rPr>
                <w:rFonts w:ascii="Times New Roman" w:hAnsi="Times New Roman" w:eastAsia="宋体" w:cs="Times New Roman"/>
                <w:b/>
                <w:bCs/>
                <w:szCs w:val="21"/>
              </w:rPr>
            </w:pPr>
            <w:r>
              <w:rPr>
                <w:rFonts w:hint="eastAsia" w:ascii="Times New Roman" w:hAnsi="Times New Roman" w:eastAsia="宋体" w:cs="Times New Roman"/>
                <w:b/>
                <w:bCs/>
                <w:szCs w:val="21"/>
              </w:rPr>
              <w:t>排放规律及去向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08" w:type="dxa"/>
            <w:vMerge w:val="continue"/>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szCs w:val="21"/>
              </w:rPr>
            </w:pPr>
          </w:p>
        </w:tc>
        <w:tc>
          <w:tcPr>
            <w:tcW w:w="1271" w:type="dxa"/>
            <w:vMerge w:val="continue"/>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szCs w:val="21"/>
              </w:rPr>
            </w:pPr>
          </w:p>
        </w:tc>
        <w:tc>
          <w:tcPr>
            <w:tcW w:w="1464" w:type="dxa"/>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环评要求</w:t>
            </w:r>
          </w:p>
        </w:tc>
        <w:tc>
          <w:tcPr>
            <w:tcW w:w="1465" w:type="dxa"/>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实际建设</w:t>
            </w:r>
          </w:p>
        </w:tc>
        <w:tc>
          <w:tcPr>
            <w:tcW w:w="1510" w:type="dxa"/>
            <w:vMerge w:val="continue"/>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szCs w:val="21"/>
              </w:rPr>
            </w:pPr>
          </w:p>
        </w:tc>
        <w:tc>
          <w:tcPr>
            <w:tcW w:w="1698" w:type="dxa"/>
            <w:vMerge w:val="continue"/>
            <w:tcBorders>
              <w:tl2br w:val="nil"/>
              <w:tr2bl w:val="nil"/>
            </w:tcBorders>
            <w:vAlign w:val="center"/>
          </w:tcPr>
          <w:p>
            <w:pPr>
              <w:tabs>
                <w:tab w:val="left" w:pos="2820"/>
                <w:tab w:val="left" w:pos="2975"/>
                <w:tab w:val="center" w:pos="4707"/>
              </w:tabs>
              <w:spacing w:before="120" w:after="120" w:line="360" w:lineRule="exact"/>
              <w:ind w:left="-111" w:leftChars="-53"/>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tcBorders>
              <w:tl2br w:val="nil"/>
              <w:tr2bl w:val="nil"/>
            </w:tcBorders>
            <w:vAlign w:val="center"/>
          </w:tcPr>
          <w:p>
            <w:pPr>
              <w:tabs>
                <w:tab w:val="left" w:pos="2820"/>
                <w:tab w:val="left" w:pos="2975"/>
                <w:tab w:val="center" w:pos="4707"/>
              </w:tabs>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水帘废水</w:t>
            </w:r>
          </w:p>
        </w:tc>
        <w:tc>
          <w:tcPr>
            <w:tcW w:w="1271"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水帘</w:t>
            </w:r>
          </w:p>
        </w:tc>
        <w:tc>
          <w:tcPr>
            <w:tcW w:w="1464" w:type="dxa"/>
            <w:vMerge w:val="restart"/>
            <w:tcBorders>
              <w:tl2br w:val="nil"/>
              <w:tr2bl w:val="nil"/>
            </w:tcBorders>
            <w:vAlign w:val="center"/>
          </w:tcPr>
          <w:p>
            <w:pPr>
              <w:tabs>
                <w:tab w:val="left" w:pos="2820"/>
                <w:tab w:val="left" w:pos="2975"/>
                <w:tab w:val="center" w:pos="4707"/>
              </w:tabs>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经厂区内生产废水处理设施处理达标后纳入市政管网</w:t>
            </w:r>
          </w:p>
        </w:tc>
        <w:tc>
          <w:tcPr>
            <w:tcW w:w="1465" w:type="dxa"/>
            <w:vMerge w:val="restart"/>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经厂区内生产废水处理设施处理达标后纳入市政管网</w:t>
            </w:r>
          </w:p>
        </w:tc>
        <w:tc>
          <w:tcPr>
            <w:tcW w:w="1510"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szCs w:val="21"/>
                <w:lang w:eastAsia="zh-CN"/>
              </w:rPr>
            </w:pPr>
            <w:r>
              <w:rPr>
                <w:rFonts w:ascii="Times New Roman" w:hAnsi="Times New Roman" w:eastAsia="宋体" w:cs="Times New Roman"/>
                <w:szCs w:val="21"/>
              </w:rPr>
              <w:t>COD</w:t>
            </w:r>
            <w:r>
              <w:rPr>
                <w:rFonts w:ascii="Times New Roman" w:hAnsi="Times New Roman" w:eastAsia="宋体" w:cs="Times New Roman"/>
                <w:szCs w:val="21"/>
                <w:vertAlign w:val="subscript"/>
              </w:rPr>
              <w:t>Cr</w:t>
            </w:r>
            <w:r>
              <w:rPr>
                <w:rFonts w:ascii="Times New Roman" w:hAnsi="Times New Roman" w:eastAsia="宋体" w:cs="Times New Roman"/>
                <w:szCs w:val="21"/>
              </w:rPr>
              <w:t>、</w:t>
            </w:r>
            <w:r>
              <w:rPr>
                <w:rFonts w:hint="eastAsia" w:ascii="Times New Roman" w:hAnsi="Times New Roman" w:eastAsia="宋体" w:cs="Times New Roman"/>
                <w:szCs w:val="21"/>
                <w:lang w:val="en-US" w:eastAsia="zh-CN"/>
              </w:rPr>
              <w:t>石油类</w:t>
            </w:r>
          </w:p>
        </w:tc>
        <w:tc>
          <w:tcPr>
            <w:tcW w:w="1698" w:type="dxa"/>
            <w:tcBorders>
              <w:tl2br w:val="nil"/>
              <w:tr2bl w:val="nil"/>
            </w:tcBorders>
            <w:vAlign w:val="center"/>
          </w:tcPr>
          <w:p>
            <w:pPr>
              <w:tabs>
                <w:tab w:val="left" w:pos="2820"/>
                <w:tab w:val="left" w:pos="2975"/>
                <w:tab w:val="center" w:pos="4707"/>
              </w:tabs>
              <w:ind w:left="-111" w:leftChars="-53"/>
              <w:jc w:val="center"/>
              <w:rPr>
                <w:rFonts w:hint="eastAsia" w:ascii="Times New Roman" w:hAnsi="Times New Roman" w:eastAsia="宋体" w:cs="Times New Roman"/>
                <w:szCs w:val="21"/>
              </w:rPr>
            </w:pPr>
            <w:r>
              <w:rPr>
                <w:rFonts w:hint="eastAsia" w:ascii="Times New Roman" w:hAnsi="Times New Roman" w:eastAsia="宋体" w:cs="Times New Roman"/>
                <w:szCs w:val="21"/>
              </w:rPr>
              <w:t>间歇性排放，排入市政管网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tcBorders>
              <w:tl2br w:val="nil"/>
              <w:tr2bl w:val="nil"/>
            </w:tcBorders>
            <w:vAlign w:val="center"/>
          </w:tcPr>
          <w:p>
            <w:pPr>
              <w:tabs>
                <w:tab w:val="left" w:pos="2820"/>
                <w:tab w:val="left" w:pos="2975"/>
                <w:tab w:val="center" w:pos="4707"/>
              </w:tabs>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kern w:val="0"/>
                <w:sz w:val="21"/>
                <w:szCs w:val="21"/>
                <w:lang w:val="en-US" w:eastAsia="zh-CN" w:bidi="ar-SA"/>
              </w:rPr>
              <w:t>有机废气喷淋废水</w:t>
            </w:r>
          </w:p>
        </w:tc>
        <w:tc>
          <w:tcPr>
            <w:tcW w:w="1271" w:type="dxa"/>
            <w:tcBorders>
              <w:tl2br w:val="nil"/>
              <w:tr2bl w:val="nil"/>
            </w:tcBorders>
            <w:vAlign w:val="center"/>
          </w:tcPr>
          <w:p>
            <w:pPr>
              <w:tabs>
                <w:tab w:val="left" w:pos="2820"/>
                <w:tab w:val="left" w:pos="2975"/>
                <w:tab w:val="center" w:pos="4707"/>
              </w:tabs>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废气处理</w:t>
            </w:r>
          </w:p>
        </w:tc>
        <w:tc>
          <w:tcPr>
            <w:tcW w:w="1464" w:type="dxa"/>
            <w:vMerge w:val="continue"/>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kern w:val="0"/>
                <w:sz w:val="21"/>
                <w:szCs w:val="21"/>
                <w:lang w:val="en-US" w:eastAsia="zh-CN" w:bidi="ar-SA"/>
              </w:rPr>
            </w:pPr>
          </w:p>
        </w:tc>
        <w:tc>
          <w:tcPr>
            <w:tcW w:w="1465" w:type="dxa"/>
            <w:vMerge w:val="continue"/>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kern w:val="0"/>
                <w:sz w:val="21"/>
                <w:szCs w:val="21"/>
                <w:lang w:val="en-US" w:eastAsia="zh-CN" w:bidi="ar-SA"/>
              </w:rPr>
            </w:pPr>
          </w:p>
        </w:tc>
        <w:tc>
          <w:tcPr>
            <w:tcW w:w="1510"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COD</w:t>
            </w:r>
            <w:r>
              <w:rPr>
                <w:rFonts w:ascii="Times New Roman" w:hAnsi="Times New Roman" w:eastAsia="宋体" w:cs="Times New Roman"/>
                <w:szCs w:val="21"/>
                <w:vertAlign w:val="subscript"/>
              </w:rPr>
              <w:t>Cr</w:t>
            </w:r>
            <w:r>
              <w:rPr>
                <w:rFonts w:ascii="Times New Roman" w:hAnsi="Times New Roman" w:eastAsia="宋体" w:cs="Times New Roman"/>
                <w:szCs w:val="21"/>
              </w:rPr>
              <w:t>、</w:t>
            </w:r>
            <w:r>
              <w:rPr>
                <w:rFonts w:hint="eastAsia" w:ascii="Times New Roman" w:hAnsi="Times New Roman" w:eastAsia="宋体" w:cs="Times New Roman"/>
                <w:szCs w:val="21"/>
                <w:lang w:val="en-US" w:eastAsia="zh-CN"/>
              </w:rPr>
              <w:t>石油类</w:t>
            </w:r>
          </w:p>
        </w:tc>
        <w:tc>
          <w:tcPr>
            <w:tcW w:w="1698" w:type="dxa"/>
            <w:tcBorders>
              <w:tl2br w:val="nil"/>
              <w:tr2bl w:val="nil"/>
            </w:tcBorders>
            <w:vAlign w:val="center"/>
          </w:tcPr>
          <w:p>
            <w:pPr>
              <w:tabs>
                <w:tab w:val="left" w:pos="2820"/>
                <w:tab w:val="left" w:pos="2975"/>
                <w:tab w:val="center" w:pos="4707"/>
              </w:tabs>
              <w:ind w:left="-111" w:leftChars="-53"/>
              <w:jc w:val="center"/>
              <w:rPr>
                <w:rFonts w:hint="eastAsia" w:ascii="Times New Roman" w:hAnsi="Times New Roman" w:eastAsia="宋体" w:cs="Times New Roman"/>
                <w:szCs w:val="21"/>
              </w:rPr>
            </w:pPr>
            <w:r>
              <w:rPr>
                <w:rFonts w:hint="eastAsia" w:ascii="Times New Roman" w:hAnsi="Times New Roman" w:eastAsia="宋体" w:cs="Times New Roman"/>
                <w:szCs w:val="21"/>
              </w:rPr>
              <w:t>间歇性排放，排入市政管网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tcBorders>
              <w:tl2br w:val="nil"/>
              <w:tr2bl w:val="nil"/>
            </w:tcBorders>
            <w:vAlign w:val="center"/>
          </w:tcPr>
          <w:p>
            <w:pPr>
              <w:tabs>
                <w:tab w:val="left" w:pos="2820"/>
                <w:tab w:val="left" w:pos="2975"/>
                <w:tab w:val="center" w:pos="4707"/>
              </w:tabs>
              <w:jc w:val="center"/>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生活污水</w:t>
            </w:r>
          </w:p>
        </w:tc>
        <w:tc>
          <w:tcPr>
            <w:tcW w:w="1271"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生活用水</w:t>
            </w:r>
          </w:p>
        </w:tc>
        <w:tc>
          <w:tcPr>
            <w:tcW w:w="1464" w:type="dxa"/>
            <w:tcBorders>
              <w:tl2br w:val="nil"/>
              <w:tr2bl w:val="nil"/>
            </w:tcBorders>
            <w:vAlign w:val="center"/>
          </w:tcPr>
          <w:p>
            <w:pPr>
              <w:tabs>
                <w:tab w:val="left" w:pos="2820"/>
                <w:tab w:val="left" w:pos="2975"/>
                <w:tab w:val="center" w:pos="4707"/>
              </w:tabs>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kern w:val="0"/>
                <w:sz w:val="21"/>
                <w:szCs w:val="21"/>
                <w:lang w:val="en-US" w:eastAsia="zh-CN" w:bidi="ar-SA"/>
              </w:rPr>
              <w:t>生活污水经化粪池预处理后纳入市政管网</w:t>
            </w:r>
          </w:p>
        </w:tc>
        <w:tc>
          <w:tcPr>
            <w:tcW w:w="1465"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kern w:val="0"/>
                <w:sz w:val="21"/>
                <w:szCs w:val="21"/>
                <w:lang w:val="en-US" w:eastAsia="zh-CN" w:bidi="ar-SA"/>
              </w:rPr>
              <w:t>生活污水经化粪池预处理后纳入市政管网</w:t>
            </w:r>
          </w:p>
        </w:tc>
        <w:tc>
          <w:tcPr>
            <w:tcW w:w="1510"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COD</w:t>
            </w:r>
            <w:r>
              <w:rPr>
                <w:rFonts w:ascii="Times New Roman" w:hAnsi="Times New Roman" w:eastAsia="宋体" w:cs="Times New Roman"/>
                <w:szCs w:val="21"/>
                <w:vertAlign w:val="subscript"/>
              </w:rPr>
              <w:t>Cr</w:t>
            </w:r>
            <w:r>
              <w:rPr>
                <w:rFonts w:ascii="Times New Roman" w:hAnsi="Times New Roman" w:eastAsia="宋体" w:cs="Times New Roman"/>
                <w:szCs w:val="21"/>
              </w:rPr>
              <w:t>、氨氮</w:t>
            </w:r>
          </w:p>
        </w:tc>
        <w:tc>
          <w:tcPr>
            <w:tcW w:w="1698" w:type="dxa"/>
            <w:tcBorders>
              <w:tl2br w:val="nil"/>
              <w:tr2bl w:val="nil"/>
            </w:tcBorders>
            <w:vAlign w:val="center"/>
          </w:tcPr>
          <w:p>
            <w:pPr>
              <w:tabs>
                <w:tab w:val="left" w:pos="2820"/>
                <w:tab w:val="left" w:pos="2975"/>
                <w:tab w:val="center" w:pos="4707"/>
              </w:tabs>
              <w:ind w:left="-111" w:leftChars="-53"/>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间歇性排放，排入市政管网</w:t>
            </w:r>
          </w:p>
        </w:tc>
      </w:tr>
    </w:tbl>
    <w:p>
      <w:pPr>
        <w:snapToGrid w:val="0"/>
        <w:spacing w:line="360" w:lineRule="auto"/>
        <w:ind w:firstLine="482"/>
        <w:rPr>
          <w:rFonts w:hint="eastAsia" w:ascii="Times New Roman" w:hAnsi="Times New Roman" w:eastAsia="宋体" w:cs="Times New Roman"/>
          <w:kern w:val="0"/>
          <w:sz w:val="10"/>
          <w:szCs w:val="10"/>
          <w:lang w:val="en-US" w:eastAsia="zh-CN"/>
        </w:rPr>
      </w:pP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7" w:hRule="atLeast"/>
        </w:trPr>
        <w:tc>
          <w:tcPr>
            <w:tcW w:w="8516" w:type="dxa"/>
            <w:gridSpan w:val="2"/>
            <w:tcBorders>
              <w:tl2br w:val="nil"/>
              <w:tr2bl w:val="nil"/>
            </w:tcBorders>
            <w:vAlign w:val="top"/>
          </w:tcPr>
          <w:p>
            <w:pPr>
              <w:spacing w:line="360" w:lineRule="auto"/>
              <w:jc w:val="center"/>
              <w:rPr>
                <w:rFonts w:hint="eastAsia" w:ascii="Times New Roman" w:hAnsi="Times New Roman" w:eastAsia="宋体" w:cs="Times New Roman"/>
                <w:b/>
                <w:bCs/>
                <w:szCs w:val="21"/>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8516" w:type="dxa"/>
            <w:gridSpan w:val="2"/>
            <w:tcBorders>
              <w:tl2br w:val="nil"/>
              <w:tr2bl w:val="nil"/>
            </w:tcBorders>
            <w:vAlign w:val="top"/>
          </w:tcPr>
          <w:p>
            <w:pPr>
              <w:spacing w:line="360" w:lineRule="auto"/>
              <w:jc w:val="center"/>
              <w:rPr>
                <w:rFonts w:hint="eastAsia" w:ascii="Times New Roman" w:hAnsi="Times New Roman" w:eastAsia="宋体" w:cs="Times New Roman"/>
                <w:b/>
                <w:bCs/>
                <w:szCs w:val="21"/>
                <w:vertAlign w:val="baseline"/>
              </w:rPr>
            </w:pPr>
            <w:r>
              <w:rPr>
                <w:rFonts w:hint="eastAsia" w:ascii="Times New Roman" w:hAnsi="Times New Roman" w:eastAsia="宋体" w:cs="Times New Roman"/>
                <w:b/>
                <w:bCs/>
                <w:szCs w:val="21"/>
                <w:lang w:val="en-US" w:eastAsia="zh-CN"/>
              </w:rPr>
              <w:t xml:space="preserve">图 </w:t>
            </w:r>
            <w:r>
              <w:rPr>
                <w:rFonts w:hint="default" w:ascii="Times New Roman" w:hAnsi="Times New Roman" w:eastAsia="宋体" w:cs="Times New Roman"/>
                <w:b/>
                <w:bCs/>
                <w:szCs w:val="21"/>
                <w:lang w:val="en-US" w:eastAsia="zh-CN"/>
              </w:rPr>
              <w:t>4.</w:t>
            </w:r>
            <w:r>
              <w:rPr>
                <w:rFonts w:hint="eastAsia" w:ascii="Times New Roman" w:hAnsi="Times New Roman" w:eastAsia="宋体" w:cs="Times New Roman"/>
                <w:b/>
                <w:bCs/>
                <w:szCs w:val="21"/>
                <w:lang w:val="en-US" w:eastAsia="zh-CN"/>
              </w:rPr>
              <w:t>1.1</w:t>
            </w:r>
            <w:r>
              <w:rPr>
                <w:rFonts w:hint="default" w:ascii="Times New Roman" w:hAnsi="Times New Roman" w:eastAsia="宋体" w:cs="Times New Roman"/>
                <w:b/>
                <w:bCs/>
                <w:szCs w:val="21"/>
                <w:lang w:val="en-US" w:eastAsia="zh-CN"/>
              </w:rPr>
              <w:t>-</w:t>
            </w:r>
            <w:r>
              <w:rPr>
                <w:rFonts w:hint="eastAsia" w:ascii="Times New Roman" w:hAnsi="Times New Roman" w:eastAsia="宋体" w:cs="Times New Roman"/>
                <w:b/>
                <w:bCs/>
                <w:szCs w:val="21"/>
                <w:lang w:val="en-US" w:eastAsia="zh-CN"/>
              </w:rPr>
              <w:t>1废水处理工艺流程</w:t>
            </w:r>
            <w:r>
              <w:rPr>
                <w:rFonts w:hint="eastAsia" w:ascii="Times New Roman" w:hAnsi="Times New Roman" w:eastAsia="宋体" w:cs="Times New Roman"/>
                <w:b/>
                <w:bCs/>
                <w:szCs w:val="21"/>
                <w:highlight w:val="none"/>
                <w:lang w:val="en-US" w:eastAsia="zh-CN"/>
              </w:rPr>
              <w:t>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2" w:hRule="atLeast"/>
          <w:jc w:val="center"/>
        </w:trPr>
        <w:tc>
          <w:tcPr>
            <w:tcW w:w="4258" w:type="dxa"/>
            <w:shd w:val="clear" w:color="auto" w:fill="auto"/>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drawing>
                <wp:inline distT="0" distB="0" distL="114300" distR="114300">
                  <wp:extent cx="2551430" cy="1913890"/>
                  <wp:effectExtent l="0" t="0" r="1270" b="10160"/>
                  <wp:docPr id="8" name="图片 8" descr="废水处理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废水处理设施"/>
                          <pic:cNvPicPr>
                            <a:picLocks noChangeAspect="1"/>
                          </pic:cNvPicPr>
                        </pic:nvPicPr>
                        <pic:blipFill>
                          <a:blip r:embed="rId26"/>
                          <a:stretch>
                            <a:fillRect/>
                          </a:stretch>
                        </pic:blipFill>
                        <pic:spPr>
                          <a:xfrm>
                            <a:off x="0" y="0"/>
                            <a:ext cx="2551430" cy="1913890"/>
                          </a:xfrm>
                          <a:prstGeom prst="rect">
                            <a:avLst/>
                          </a:prstGeom>
                        </pic:spPr>
                      </pic:pic>
                    </a:graphicData>
                  </a:graphic>
                </wp:inline>
              </w:drawing>
            </w:r>
          </w:p>
        </w:tc>
        <w:tc>
          <w:tcPr>
            <w:tcW w:w="4258" w:type="dxa"/>
            <w:shd w:val="clear" w:color="auto" w:fill="auto"/>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drawing>
                <wp:inline distT="0" distB="0" distL="114300" distR="114300">
                  <wp:extent cx="2551430" cy="1913890"/>
                  <wp:effectExtent l="0" t="0" r="1270" b="10160"/>
                  <wp:docPr id="10" name="图片 10" descr="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排放口"/>
                          <pic:cNvPicPr>
                            <a:picLocks noChangeAspect="1"/>
                          </pic:cNvPicPr>
                        </pic:nvPicPr>
                        <pic:blipFill>
                          <a:blip r:embed="rId27"/>
                          <a:stretch>
                            <a:fillRect/>
                          </a:stretch>
                        </pic:blipFill>
                        <pic:spPr>
                          <a:xfrm>
                            <a:off x="0" y="0"/>
                            <a:ext cx="2551430" cy="1913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516" w:type="dxa"/>
            <w:gridSpan w:val="2"/>
            <w:shd w:val="clear" w:color="auto" w:fill="auto"/>
            <w:vAlign w:val="top"/>
          </w:tcPr>
          <w:p>
            <w:pPr>
              <w:spacing w:line="360" w:lineRule="auto"/>
              <w:jc w:val="center"/>
              <w:rPr>
                <w:rFonts w:hint="eastAsia" w:ascii="Times New Roman" w:hAnsi="Times New Roman" w:eastAsia="宋体" w:cs="Times New Roman"/>
                <w:b/>
                <w:bCs/>
                <w:kern w:val="2"/>
                <w:sz w:val="21"/>
                <w:szCs w:val="21"/>
                <w:vertAlign w:val="baseline"/>
                <w:lang w:val="en-US" w:eastAsia="zh-CN" w:bidi="ar-SA"/>
              </w:rPr>
            </w:pPr>
            <w:bookmarkStart w:id="44" w:name="_Toc16840"/>
            <w:r>
              <w:rPr>
                <w:rFonts w:hint="eastAsia" w:ascii="Times New Roman" w:hAnsi="Times New Roman" w:eastAsia="宋体" w:cs="Times New Roman"/>
                <w:b/>
                <w:bCs/>
                <w:szCs w:val="21"/>
                <w:lang w:val="en-US" w:eastAsia="zh-CN"/>
              </w:rPr>
              <w:t xml:space="preserve">图 </w:t>
            </w:r>
            <w:r>
              <w:rPr>
                <w:rFonts w:hint="default" w:ascii="Times New Roman" w:hAnsi="Times New Roman" w:eastAsia="宋体" w:cs="Times New Roman"/>
                <w:b/>
                <w:bCs/>
                <w:szCs w:val="21"/>
                <w:lang w:val="en-US" w:eastAsia="zh-CN"/>
              </w:rPr>
              <w:t>4.</w:t>
            </w:r>
            <w:r>
              <w:rPr>
                <w:rFonts w:hint="eastAsia" w:ascii="Times New Roman" w:hAnsi="Times New Roman" w:eastAsia="宋体" w:cs="Times New Roman"/>
                <w:b/>
                <w:bCs/>
                <w:szCs w:val="21"/>
                <w:lang w:val="en-US" w:eastAsia="zh-CN"/>
              </w:rPr>
              <w:t>1.1</w:t>
            </w:r>
            <w:r>
              <w:rPr>
                <w:rFonts w:hint="default" w:ascii="Times New Roman" w:hAnsi="Times New Roman" w:eastAsia="宋体" w:cs="Times New Roman"/>
                <w:b/>
                <w:bCs/>
                <w:szCs w:val="21"/>
                <w:lang w:val="en-US" w:eastAsia="zh-CN"/>
              </w:rPr>
              <w:t>-</w:t>
            </w:r>
            <w:r>
              <w:rPr>
                <w:rFonts w:hint="eastAsia" w:ascii="Times New Roman" w:hAnsi="Times New Roman" w:eastAsia="宋体" w:cs="Times New Roman"/>
                <w:b/>
                <w:bCs/>
                <w:szCs w:val="21"/>
                <w:lang w:val="en-US" w:eastAsia="zh-CN"/>
              </w:rPr>
              <w:t>2废水处理设施</w:t>
            </w:r>
            <w:r>
              <w:rPr>
                <w:rFonts w:hint="eastAsia" w:ascii="Times New Roman" w:hAnsi="Times New Roman" w:eastAsia="宋体" w:cs="Times New Roman"/>
                <w:b/>
                <w:bCs/>
                <w:szCs w:val="21"/>
                <w:highlight w:val="none"/>
                <w:lang w:val="en-US" w:eastAsia="zh-CN"/>
              </w:rPr>
              <w:t>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0" w:type="auto"/>
            <w:gridSpan w:val="2"/>
            <w:vAlign w:val="top"/>
          </w:tcPr>
          <w:p>
            <w:pPr>
              <w:spacing w:line="360" w:lineRule="auto"/>
              <w:jc w:val="center"/>
              <w:rPr>
                <w:rFonts w:hint="eastAsia" w:ascii="Times New Roman" w:hAnsi="Times New Roman" w:eastAsia="宋体" w:cs="Times New Roman"/>
                <w:b/>
                <w:bCs/>
                <w:kern w:val="2"/>
                <w:sz w:val="21"/>
                <w:szCs w:val="21"/>
                <w:lang w:val="en-US" w:eastAsia="zh-CN" w:bidi="ar-SA"/>
              </w:rPr>
            </w:pPr>
            <w:r>
              <w:drawing>
                <wp:inline distT="0" distB="0" distL="114300" distR="114300">
                  <wp:extent cx="5269865" cy="3369945"/>
                  <wp:effectExtent l="0" t="0" r="6985" b="190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28"/>
                          <a:stretch>
                            <a:fillRect/>
                          </a:stretch>
                        </pic:blipFill>
                        <pic:spPr>
                          <a:xfrm>
                            <a:off x="0" y="0"/>
                            <a:ext cx="5269865" cy="33699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0" w:type="auto"/>
            <w:gridSpan w:val="2"/>
            <w:vAlign w:val="top"/>
          </w:tcPr>
          <w:p>
            <w:pPr>
              <w:spacing w:line="36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szCs w:val="21"/>
                <w:lang w:val="en-US" w:eastAsia="zh-CN"/>
              </w:rPr>
              <w:t xml:space="preserve">图 </w:t>
            </w:r>
            <w:r>
              <w:rPr>
                <w:rFonts w:hint="default" w:ascii="Times New Roman" w:hAnsi="Times New Roman" w:eastAsia="宋体" w:cs="Times New Roman"/>
                <w:b/>
                <w:bCs/>
                <w:szCs w:val="21"/>
                <w:lang w:val="en-US" w:eastAsia="zh-CN"/>
              </w:rPr>
              <w:t>4.</w:t>
            </w:r>
            <w:r>
              <w:rPr>
                <w:rFonts w:hint="eastAsia" w:ascii="Times New Roman" w:hAnsi="Times New Roman" w:eastAsia="宋体" w:cs="Times New Roman"/>
                <w:b/>
                <w:bCs/>
                <w:szCs w:val="21"/>
                <w:lang w:val="en-US" w:eastAsia="zh-CN"/>
              </w:rPr>
              <w:t>1.1</w:t>
            </w:r>
            <w:r>
              <w:rPr>
                <w:rFonts w:hint="default" w:ascii="Times New Roman" w:hAnsi="Times New Roman" w:eastAsia="宋体" w:cs="Times New Roman"/>
                <w:b/>
                <w:bCs/>
                <w:szCs w:val="21"/>
                <w:lang w:val="en-US" w:eastAsia="zh-CN"/>
              </w:rPr>
              <w:t>-</w:t>
            </w:r>
            <w:r>
              <w:rPr>
                <w:rFonts w:hint="eastAsia" w:ascii="Times New Roman" w:hAnsi="Times New Roman" w:eastAsia="宋体" w:cs="Times New Roman"/>
                <w:b/>
                <w:bCs/>
                <w:szCs w:val="21"/>
                <w:lang w:val="en-US" w:eastAsia="zh-CN"/>
              </w:rPr>
              <w:t>3全厂废水（含初期雨水）流向示意图</w:t>
            </w:r>
          </w:p>
        </w:tc>
      </w:tr>
    </w:tbl>
    <w:p>
      <w:pPr>
        <w:pStyle w:val="6"/>
        <w:keepNext/>
        <w:keepLines/>
        <w:pageBreakBefore w:val="0"/>
        <w:widowControl w:val="0"/>
        <w:kinsoku/>
        <w:wordWrap/>
        <w:overflowPunct/>
        <w:topLinePunct w:val="0"/>
        <w:autoSpaceDE/>
        <w:autoSpaceDN/>
        <w:bidi w:val="0"/>
        <w:adjustRightInd/>
        <w:snapToGrid/>
        <w:spacing w:before="200" w:after="200" w:line="416" w:lineRule="auto"/>
        <w:textAlignment w:val="auto"/>
      </w:pPr>
      <w:r>
        <w:rPr>
          <w:rFonts w:hint="eastAsia"/>
        </w:rPr>
        <w:t>4.1.2废气</w:t>
      </w:r>
      <w:bookmarkEnd w:id="44"/>
    </w:p>
    <w:p>
      <w:pPr>
        <w:snapToGrid w:val="0"/>
        <w:spacing w:line="360" w:lineRule="auto"/>
        <w:ind w:firstLine="482"/>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本项目实施后</w:t>
      </w:r>
      <w:r>
        <w:rPr>
          <w:rFonts w:hint="eastAsia" w:ascii="Times New Roman" w:hAnsi="Times New Roman" w:eastAsia="宋体" w:cs="Times New Roman"/>
          <w:kern w:val="0"/>
          <w:sz w:val="24"/>
          <w:szCs w:val="24"/>
          <w:highlight w:val="none"/>
          <w:lang w:val="en-US" w:eastAsia="zh-CN"/>
        </w:rPr>
        <w:t>，项目废气主要为喷塑废气、调漆、喷漆、烘干、固化废气、</w:t>
      </w:r>
      <w:r>
        <w:rPr>
          <w:rFonts w:hint="eastAsia" w:ascii="Times New Roman" w:hAnsi="Times New Roman" w:cs="Times New Roman" w:eastAsiaTheme="minorEastAsia"/>
          <w:lang w:val="en-US" w:eastAsia="zh-CN"/>
        </w:rPr>
        <w:t>天然气燃烧废气</w:t>
      </w:r>
      <w:r>
        <w:rPr>
          <w:rFonts w:ascii="Times New Roman" w:hAnsi="Times New Roman" w:eastAsia="宋体" w:cs="Times New Roman"/>
          <w:sz w:val="24"/>
          <w:szCs w:val="24"/>
          <w:highlight w:val="none"/>
        </w:rPr>
        <w:t>。</w:t>
      </w:r>
      <w:r>
        <w:rPr>
          <w:rFonts w:hint="eastAsia" w:ascii="Times New Roman" w:hAnsi="Times New Roman" w:eastAsia="宋体" w:cs="Times New Roman"/>
          <w:kern w:val="0"/>
          <w:sz w:val="24"/>
          <w:szCs w:val="24"/>
          <w:highlight w:val="none"/>
        </w:rPr>
        <w:t>项目</w:t>
      </w:r>
      <w:r>
        <w:rPr>
          <w:rFonts w:hint="eastAsia" w:ascii="Times New Roman" w:hAnsi="Times New Roman" w:eastAsia="宋体" w:cs="Times New Roman"/>
          <w:kern w:val="0"/>
          <w:sz w:val="24"/>
          <w:szCs w:val="24"/>
        </w:rPr>
        <w:t>废气及治理情况见表4.1.2-1；废气处理工艺流程图及设施图片见图 4.1.2-1。</w:t>
      </w:r>
    </w:p>
    <w:p>
      <w:pPr>
        <w:jc w:val="center"/>
        <w:rPr>
          <w:rFonts w:hint="eastAsia" w:ascii="Times New Roman" w:hAnsi="Times New Roman" w:eastAsia="宋体" w:cs="Times New Roman"/>
          <w:b/>
          <w:bCs/>
          <w:szCs w:val="21"/>
        </w:rPr>
      </w:pPr>
    </w:p>
    <w:p>
      <w:pPr>
        <w:jc w:val="center"/>
        <w:rPr>
          <w:rFonts w:hint="eastAsia" w:ascii="Times New Roman" w:hAnsi="Times New Roman" w:eastAsia="宋体" w:cs="Times New Roman"/>
          <w:b/>
          <w:bCs/>
          <w:szCs w:val="21"/>
        </w:rPr>
      </w:pPr>
    </w:p>
    <w:p>
      <w:pPr>
        <w:jc w:val="center"/>
        <w:rPr>
          <w:rFonts w:hint="eastAsia" w:ascii="Times New Roman" w:hAnsi="Times New Roman" w:eastAsia="宋体" w:cs="Times New Roman"/>
          <w:b/>
          <w:bCs/>
          <w:szCs w:val="21"/>
        </w:rPr>
      </w:pPr>
    </w:p>
    <w:p>
      <w:pPr>
        <w:jc w:val="center"/>
        <w:rPr>
          <w:rFonts w:hint="eastAsia" w:ascii="Times New Roman" w:hAnsi="Times New Roman" w:eastAsia="宋体" w:cs="Times New Roman"/>
          <w:b/>
          <w:bCs/>
          <w:szCs w:val="21"/>
        </w:rPr>
      </w:pPr>
    </w:p>
    <w:p>
      <w:pPr>
        <w:jc w:val="center"/>
        <w:rPr>
          <w:rFonts w:hint="eastAsia" w:ascii="Times New Roman" w:hAnsi="Times New Roman" w:eastAsia="宋体" w:cs="Times New Roman"/>
          <w:b/>
          <w:bCs/>
          <w:szCs w:val="21"/>
        </w:rPr>
      </w:pPr>
    </w:p>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w:t>
      </w:r>
      <w:r>
        <w:rPr>
          <w:rFonts w:ascii="Times New Roman" w:hAnsi="Times New Roman" w:eastAsia="宋体" w:cs="Times New Roman"/>
          <w:b/>
          <w:bCs/>
          <w:szCs w:val="21"/>
        </w:rPr>
        <w:t>.1</w:t>
      </w:r>
      <w:r>
        <w:rPr>
          <w:rFonts w:hint="eastAsia" w:ascii="Times New Roman" w:hAnsi="Times New Roman" w:eastAsia="宋体" w:cs="Times New Roman"/>
          <w:b/>
          <w:bCs/>
          <w:szCs w:val="21"/>
        </w:rPr>
        <w:t>-2-</w:t>
      </w:r>
      <w:r>
        <w:rPr>
          <w:rFonts w:ascii="Times New Roman" w:hAnsi="Times New Roman" w:eastAsia="宋体" w:cs="Times New Roman"/>
          <w:b/>
          <w:bCs/>
          <w:szCs w:val="21"/>
        </w:rPr>
        <w:t>1</w:t>
      </w:r>
      <w:r>
        <w:rPr>
          <w:rFonts w:hint="eastAsia" w:ascii="Times New Roman" w:hAnsi="Times New Roman" w:eastAsia="宋体" w:cs="Times New Roman"/>
          <w:b/>
          <w:bCs/>
          <w:szCs w:val="21"/>
        </w:rPr>
        <w:t xml:space="preserve"> 废气来源及处理方式</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2"/>
        <w:gridCol w:w="788"/>
        <w:gridCol w:w="2348"/>
        <w:gridCol w:w="2323"/>
        <w:gridCol w:w="1413"/>
        <w:gridCol w:w="8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762" w:type="dxa"/>
            <w:vMerge w:val="restart"/>
            <w:tcBorders>
              <w:tl2br w:val="nil"/>
              <w:tr2bl w:val="nil"/>
            </w:tcBorders>
            <w:vAlign w:val="center"/>
          </w:tcPr>
          <w:p>
            <w:pPr>
              <w:jc w:val="center"/>
              <w:rPr>
                <w:rFonts w:hint="default" w:ascii="Times New Roman" w:hAnsi="Times New Roman" w:eastAsia="宋体" w:cs="Times New Roman"/>
                <w:b/>
                <w:bCs/>
                <w:kern w:val="2"/>
                <w:sz w:val="21"/>
                <w:szCs w:val="22"/>
                <w:highlight w:val="none"/>
                <w:lang w:val="en-US" w:eastAsia="zh-CN" w:bidi="ar-SA"/>
              </w:rPr>
            </w:pPr>
            <w:r>
              <w:rPr>
                <w:rFonts w:hint="default" w:ascii="Times New Roman" w:hAnsi="Times New Roman" w:eastAsia="宋体" w:cs="Times New Roman"/>
                <w:b/>
                <w:bCs/>
                <w:highlight w:val="none"/>
                <w:lang w:val="en-US" w:eastAsia="zh-CN"/>
              </w:rPr>
              <w:t>废气类型</w:t>
            </w:r>
          </w:p>
        </w:tc>
        <w:tc>
          <w:tcPr>
            <w:tcW w:w="788" w:type="dxa"/>
            <w:vMerge w:val="restart"/>
            <w:tcBorders>
              <w:tl2br w:val="nil"/>
              <w:tr2bl w:val="nil"/>
            </w:tcBorders>
            <w:vAlign w:val="center"/>
          </w:tcPr>
          <w:p>
            <w:pPr>
              <w:jc w:val="center"/>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产生</w:t>
            </w:r>
          </w:p>
          <w:p>
            <w:pPr>
              <w:jc w:val="center"/>
              <w:rPr>
                <w:rFonts w:hint="default" w:ascii="Times New Roman" w:hAnsi="Times New Roman" w:eastAsia="宋体" w:cs="Times New Roman"/>
                <w:b/>
                <w:bCs/>
                <w:kern w:val="2"/>
                <w:sz w:val="21"/>
                <w:szCs w:val="22"/>
                <w:highlight w:val="none"/>
                <w:lang w:val="en-US" w:eastAsia="zh-CN" w:bidi="ar-SA"/>
              </w:rPr>
            </w:pPr>
            <w:r>
              <w:rPr>
                <w:rFonts w:hint="default" w:ascii="Times New Roman" w:hAnsi="Times New Roman" w:eastAsia="宋体" w:cs="Times New Roman"/>
                <w:b/>
                <w:bCs/>
                <w:highlight w:val="none"/>
              </w:rPr>
              <w:t>工序</w:t>
            </w:r>
          </w:p>
        </w:tc>
        <w:tc>
          <w:tcPr>
            <w:tcW w:w="4671" w:type="dxa"/>
            <w:gridSpan w:val="2"/>
            <w:tcBorders>
              <w:tl2br w:val="nil"/>
              <w:tr2bl w:val="nil"/>
            </w:tcBorders>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处理设施</w:t>
            </w:r>
          </w:p>
        </w:tc>
        <w:tc>
          <w:tcPr>
            <w:tcW w:w="1413" w:type="dxa"/>
            <w:vMerge w:val="restart"/>
            <w:tcBorders>
              <w:tl2br w:val="nil"/>
              <w:tr2bl w:val="nil"/>
            </w:tcBorders>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主要污染因子</w:t>
            </w:r>
          </w:p>
        </w:tc>
        <w:tc>
          <w:tcPr>
            <w:tcW w:w="882" w:type="dxa"/>
            <w:vMerge w:val="restart"/>
            <w:tcBorders>
              <w:tl2br w:val="nil"/>
              <w:tr2bl w:val="nil"/>
            </w:tcBorders>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排放</w:t>
            </w:r>
          </w:p>
          <w:p>
            <w:pPr>
              <w:jc w:val="center"/>
              <w:rPr>
                <w:rFonts w:hint="default" w:ascii="Times New Roman" w:hAnsi="Times New Roman" w:eastAsia="宋体" w:cs="Times New Roman"/>
                <w:b/>
                <w:bCs/>
              </w:rPr>
            </w:pPr>
            <w:r>
              <w:rPr>
                <w:rFonts w:hint="default" w:ascii="Times New Roman" w:hAnsi="Times New Roman" w:eastAsia="宋体" w:cs="Times New Roman"/>
                <w:b/>
                <w:bCs/>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762" w:type="dxa"/>
            <w:vMerge w:val="continue"/>
            <w:tcBorders>
              <w:tl2br w:val="nil"/>
              <w:tr2bl w:val="nil"/>
            </w:tcBorders>
            <w:vAlign w:val="center"/>
          </w:tcPr>
          <w:p>
            <w:pPr>
              <w:rPr>
                <w:rFonts w:hint="default" w:ascii="Times New Roman" w:hAnsi="Times New Roman" w:eastAsia="宋体" w:cs="Times New Roman"/>
              </w:rPr>
            </w:pPr>
          </w:p>
        </w:tc>
        <w:tc>
          <w:tcPr>
            <w:tcW w:w="788" w:type="dxa"/>
            <w:vMerge w:val="continue"/>
            <w:tcBorders>
              <w:tl2br w:val="nil"/>
              <w:tr2bl w:val="nil"/>
            </w:tcBorders>
            <w:vAlign w:val="center"/>
          </w:tcPr>
          <w:p>
            <w:pPr>
              <w:rPr>
                <w:rFonts w:hint="default" w:ascii="Times New Roman" w:hAnsi="Times New Roman" w:eastAsia="宋体" w:cs="Times New Roman"/>
              </w:rPr>
            </w:pPr>
          </w:p>
        </w:tc>
        <w:tc>
          <w:tcPr>
            <w:tcW w:w="2348" w:type="dxa"/>
            <w:tcBorders>
              <w:tl2br w:val="nil"/>
              <w:tr2bl w:val="nil"/>
            </w:tcBorders>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环评要求</w:t>
            </w:r>
          </w:p>
        </w:tc>
        <w:tc>
          <w:tcPr>
            <w:tcW w:w="2323" w:type="dxa"/>
            <w:tcBorders>
              <w:tl2br w:val="nil"/>
              <w:tr2bl w:val="nil"/>
            </w:tcBorders>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实际建设</w:t>
            </w:r>
          </w:p>
        </w:tc>
        <w:tc>
          <w:tcPr>
            <w:tcW w:w="1413" w:type="dxa"/>
            <w:vMerge w:val="continue"/>
            <w:tcBorders>
              <w:tl2br w:val="nil"/>
              <w:tr2bl w:val="nil"/>
            </w:tcBorders>
            <w:vAlign w:val="center"/>
          </w:tcPr>
          <w:p>
            <w:pPr>
              <w:rPr>
                <w:rFonts w:hint="default" w:ascii="Times New Roman" w:hAnsi="Times New Roman" w:cs="Times New Roman"/>
              </w:rPr>
            </w:pPr>
          </w:p>
        </w:tc>
        <w:tc>
          <w:tcPr>
            <w:tcW w:w="882" w:type="dxa"/>
            <w:vMerge w:val="continue"/>
            <w:tcBorders>
              <w:tl2br w:val="nil"/>
              <w:tr2bl w:val="nil"/>
            </w:tcBorders>
            <w:vAlign w:val="center"/>
          </w:tcPr>
          <w:p>
            <w:pPr>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762" w:type="dxa"/>
            <w:tcBorders>
              <w:tl2br w:val="nil"/>
              <w:tr2bl w:val="nil"/>
            </w:tcBorders>
            <w:vAlign w:val="center"/>
          </w:tcPr>
          <w:p>
            <w:pPr>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lang w:val="en-US" w:eastAsia="zh-CN"/>
              </w:rPr>
              <w:t>喷塑废气</w:t>
            </w:r>
          </w:p>
        </w:tc>
        <w:tc>
          <w:tcPr>
            <w:tcW w:w="788" w:type="dxa"/>
            <w:tcBorders>
              <w:tl2br w:val="nil"/>
              <w:tr2bl w:val="nil"/>
            </w:tcBorders>
            <w:vAlign w:val="center"/>
          </w:tcPr>
          <w:p>
            <w:pPr>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lang w:val="en-US" w:eastAsia="zh-CN"/>
              </w:rPr>
              <w:t>喷塑</w:t>
            </w:r>
          </w:p>
        </w:tc>
        <w:tc>
          <w:tcPr>
            <w:tcW w:w="2348" w:type="dxa"/>
            <w:tcBorders>
              <w:tl2br w:val="nil"/>
              <w:tr2bl w:val="nil"/>
            </w:tcBorders>
            <w:vAlign w:val="center"/>
          </w:tcPr>
          <w:p>
            <w:pPr>
              <w:jc w:val="both"/>
              <w:rPr>
                <w:rFonts w:hint="default" w:ascii="Times New Roman" w:hAnsi="Times New Roman" w:cs="Times New Roman" w:eastAsiaTheme="minorEastAsia"/>
                <w:kern w:val="2"/>
                <w:sz w:val="21"/>
                <w:szCs w:val="22"/>
                <w:lang w:val="en-US" w:eastAsia="zh-CN" w:bidi="ar-SA"/>
              </w:rPr>
            </w:pPr>
            <w:r>
              <w:rPr>
                <w:rFonts w:hint="default" w:ascii="Times New Roman" w:hAnsi="Times New Roman" w:eastAsia="宋体" w:cs="Times New Roman"/>
                <w:color w:val="000000"/>
                <w:kern w:val="0"/>
                <w:sz w:val="21"/>
                <w:szCs w:val="21"/>
                <w:lang w:val="en-US" w:eastAsia="zh-CN" w:bidi="ar"/>
              </w:rPr>
              <w:t>收集后经“滤筒过滤+脉冲滤芯除尘”二级回收处理后通过15m高排气筒（DA002）排放</w:t>
            </w:r>
          </w:p>
        </w:tc>
        <w:tc>
          <w:tcPr>
            <w:tcW w:w="2323" w:type="dxa"/>
            <w:tcBorders>
              <w:tl2br w:val="nil"/>
              <w:tr2bl w:val="nil"/>
            </w:tcBorders>
            <w:vAlign w:val="center"/>
          </w:tcPr>
          <w:p>
            <w:pPr>
              <w:jc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eastAsia="宋体" w:cs="Times New Roman"/>
                <w:color w:val="000000"/>
                <w:kern w:val="0"/>
                <w:sz w:val="21"/>
                <w:szCs w:val="21"/>
                <w:lang w:val="en-US" w:eastAsia="zh-CN" w:bidi="ar"/>
              </w:rPr>
              <w:t>收集后经“滤筒过滤+脉冲滤芯除尘”二级回收处理后通过15m高排气筒（DA002）排放</w:t>
            </w:r>
          </w:p>
        </w:tc>
        <w:tc>
          <w:tcPr>
            <w:tcW w:w="1413"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882"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762"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调漆废气</w:t>
            </w:r>
          </w:p>
        </w:tc>
        <w:tc>
          <w:tcPr>
            <w:tcW w:w="788" w:type="dxa"/>
            <w:tcBorders>
              <w:tl2br w:val="nil"/>
              <w:tr2bl w:val="nil"/>
            </w:tcBorders>
            <w:vAlign w:val="center"/>
          </w:tcPr>
          <w:p>
            <w:pPr>
              <w:jc w:val="center"/>
              <w:rPr>
                <w:rFonts w:hint="eastAsia" w:ascii="Times New Roman" w:hAnsi="Times New Roman" w:cs="Times New Roman"/>
                <w:lang w:val="en-US" w:eastAsia="zh-CN"/>
              </w:rPr>
            </w:pPr>
            <w:r>
              <w:rPr>
                <w:rFonts w:hint="eastAsia" w:ascii="Times New Roman" w:hAnsi="Times New Roman" w:cs="Times New Roman"/>
                <w:lang w:val="en-US" w:eastAsia="zh-CN"/>
              </w:rPr>
              <w:t>调漆</w:t>
            </w:r>
          </w:p>
        </w:tc>
        <w:tc>
          <w:tcPr>
            <w:tcW w:w="2348" w:type="dxa"/>
            <w:tcBorders>
              <w:tl2br w:val="nil"/>
              <w:tr2bl w:val="nil"/>
            </w:tcBorders>
            <w:vAlign w:val="center"/>
          </w:tcPr>
          <w:p>
            <w:pPr>
              <w:jc w:val="both"/>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收集后经过</w:t>
            </w:r>
            <w:r>
              <w:rPr>
                <w:rFonts w:hint="default" w:ascii="Times New Roman" w:hAnsi="Times New Roman" w:eastAsia="宋体" w:cs="Times New Roman"/>
                <w:color w:val="000000"/>
                <w:kern w:val="0"/>
                <w:sz w:val="21"/>
                <w:szCs w:val="21"/>
                <w:lang w:val="en-US" w:eastAsia="zh-CN" w:bidi="ar"/>
              </w:rPr>
              <w:t>“水旋塔+干式过滤+活性炭吸附+脱附+催化燃烧处理装置”处理</w:t>
            </w:r>
            <w:r>
              <w:rPr>
                <w:rFonts w:hint="eastAsia" w:ascii="Times New Roman" w:hAnsi="Times New Roman" w:eastAsia="宋体" w:cs="Times New Roman"/>
                <w:color w:val="000000"/>
                <w:kern w:val="0"/>
                <w:sz w:val="21"/>
                <w:szCs w:val="21"/>
                <w:lang w:val="en-US" w:eastAsia="zh-CN" w:bidi="ar"/>
              </w:rPr>
              <w:t>设施，处理后通过</w:t>
            </w:r>
            <w:r>
              <w:rPr>
                <w:rFonts w:hint="default" w:ascii="Times New Roman" w:hAnsi="Times New Roman" w:eastAsia="宋体" w:cs="Times New Roman"/>
                <w:color w:val="000000"/>
                <w:kern w:val="0"/>
                <w:sz w:val="21"/>
                <w:szCs w:val="21"/>
                <w:lang w:val="en-US" w:eastAsia="zh-CN" w:bidi="ar"/>
              </w:rPr>
              <w:t>15m高排气筒（DA00</w:t>
            </w: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）排放</w:t>
            </w:r>
          </w:p>
        </w:tc>
        <w:tc>
          <w:tcPr>
            <w:tcW w:w="2323" w:type="dxa"/>
            <w:vMerge w:val="restart"/>
            <w:tcBorders>
              <w:tl2br w:val="nil"/>
              <w:tr2bl w:val="nil"/>
            </w:tcBorders>
            <w:vAlign w:val="center"/>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喷漆废气经水帘除漆雾，再与</w:t>
            </w:r>
            <w:r>
              <w:rPr>
                <w:rFonts w:hint="eastAsia" w:ascii="Times New Roman" w:hAnsi="Times New Roman" w:eastAsia="宋体" w:cs="Times New Roman"/>
                <w:color w:val="000000"/>
                <w:kern w:val="0"/>
                <w:sz w:val="21"/>
                <w:szCs w:val="21"/>
                <w:lang w:val="en-US" w:eastAsia="zh-CN" w:bidi="ar"/>
              </w:rPr>
              <w:t>调漆废气、烘干</w:t>
            </w:r>
            <w:r>
              <w:rPr>
                <w:rFonts w:hint="default" w:ascii="Times New Roman" w:hAnsi="Times New Roman" w:eastAsia="宋体" w:cs="Times New Roman"/>
                <w:color w:val="000000"/>
                <w:kern w:val="0"/>
                <w:sz w:val="21"/>
                <w:szCs w:val="21"/>
                <w:lang w:val="en-US" w:eastAsia="zh-CN" w:bidi="ar"/>
              </w:rPr>
              <w:t>废气</w:t>
            </w:r>
            <w:r>
              <w:rPr>
                <w:rFonts w:hint="eastAsia" w:ascii="Times New Roman" w:hAnsi="Times New Roman" w:eastAsia="宋体" w:cs="Times New Roman"/>
                <w:color w:val="000000"/>
                <w:kern w:val="0"/>
                <w:sz w:val="21"/>
                <w:szCs w:val="21"/>
                <w:lang w:val="en-US" w:eastAsia="zh-CN" w:bidi="ar"/>
              </w:rPr>
              <w:t>及固化废气、天然气燃烧废气</w:t>
            </w:r>
            <w:r>
              <w:rPr>
                <w:rFonts w:hint="default" w:ascii="Times New Roman" w:hAnsi="Times New Roman" w:eastAsia="宋体" w:cs="Times New Roman"/>
                <w:color w:val="000000"/>
                <w:kern w:val="0"/>
                <w:sz w:val="21"/>
                <w:szCs w:val="21"/>
                <w:lang w:val="en-US" w:eastAsia="zh-CN" w:bidi="ar"/>
              </w:rPr>
              <w:t>一并接入“水旋塔+干式过滤+活性炭吸附+脱附+催化燃烧处理装置”处理后引至15m高排气筒（DA00</w:t>
            </w: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）排放；</w:t>
            </w:r>
          </w:p>
          <w:p>
            <w:pPr>
              <w:pStyle w:val="2"/>
              <w:rPr>
                <w:rFonts w:hint="default"/>
                <w:lang w:val="en-US" w:eastAsia="zh-CN"/>
              </w:rPr>
            </w:pPr>
            <w:r>
              <w:rPr>
                <w:rFonts w:hint="eastAsia" w:ascii="Times New Roman" w:hAnsi="Times New Roman" w:eastAsia="宋体" w:cs="Times New Roman"/>
                <w:color w:val="000000"/>
                <w:kern w:val="0"/>
                <w:sz w:val="21"/>
                <w:szCs w:val="21"/>
                <w:lang w:val="en-US" w:eastAsia="zh-CN" w:bidi="ar"/>
              </w:rPr>
              <w:t>其中活性炭吸附时间达80小时，进行活性炭脱附，每次脱附时间为6小时，本设施预留有备用箱体，吸附、脱附过程均可在线进行</w:t>
            </w:r>
          </w:p>
        </w:tc>
        <w:tc>
          <w:tcPr>
            <w:tcW w:w="1413" w:type="dxa"/>
            <w:tcBorders>
              <w:tl2br w:val="nil"/>
              <w:tr2bl w:val="nil"/>
            </w:tcBorders>
            <w:vAlign w:val="center"/>
          </w:tcPr>
          <w:p>
            <w:pPr>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二甲苯、乙酸丁酯、非甲烷总烃</w:t>
            </w:r>
          </w:p>
        </w:tc>
        <w:tc>
          <w:tcPr>
            <w:tcW w:w="882" w:type="dxa"/>
            <w:tcBorders>
              <w:tl2br w:val="nil"/>
              <w:tr2bl w:val="nil"/>
            </w:tcBorders>
            <w:vAlign w:val="center"/>
          </w:tcPr>
          <w:p>
            <w:pPr>
              <w:jc w:val="center"/>
              <w:rPr>
                <w:rFonts w:hint="eastAsia" w:ascii="Times New Roman" w:hAnsi="Times New Roman" w:cs="Times New Roman"/>
                <w:highlight w:val="none"/>
                <w:lang w:val="en-US" w:eastAsia="zh-CN"/>
              </w:rPr>
            </w:pPr>
            <w:r>
              <w:rPr>
                <w:rFonts w:hint="eastAsia" w:ascii="Times New Roman" w:hAnsi="Times New Roman" w:cs="Times New Roman"/>
                <w:lang w:val="en-US" w:eastAsia="zh-CN"/>
              </w:rPr>
              <w:t>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762"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喷漆废气</w:t>
            </w:r>
          </w:p>
        </w:tc>
        <w:tc>
          <w:tcPr>
            <w:tcW w:w="788"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喷漆</w:t>
            </w:r>
          </w:p>
        </w:tc>
        <w:tc>
          <w:tcPr>
            <w:tcW w:w="2348" w:type="dxa"/>
            <w:tcBorders>
              <w:tl2br w:val="nil"/>
              <w:tr2bl w:val="nil"/>
            </w:tcBorders>
            <w:vAlign w:val="center"/>
          </w:tcPr>
          <w:p>
            <w:pPr>
              <w:jc w:val="both"/>
              <w:rPr>
                <w:rFonts w:hint="default" w:ascii="Times New Roman" w:hAnsi="Times New Roman" w:cs="Times New Roman"/>
                <w:lang w:val="en-US" w:eastAsia="zh-CN"/>
              </w:rPr>
            </w:pPr>
            <w:r>
              <w:rPr>
                <w:rFonts w:hint="default" w:ascii="Times New Roman" w:hAnsi="Times New Roman" w:eastAsia="宋体" w:cs="Times New Roman"/>
                <w:color w:val="000000"/>
                <w:kern w:val="0"/>
                <w:sz w:val="21"/>
                <w:szCs w:val="21"/>
                <w:lang w:val="en-US" w:eastAsia="zh-CN" w:bidi="ar"/>
              </w:rPr>
              <w:t>经水帘除漆雾，接入“水旋塔+干式过滤+活性炭吸附+脱附+催化燃烧处理装置”处理</w:t>
            </w:r>
            <w:r>
              <w:rPr>
                <w:rFonts w:hint="eastAsia" w:ascii="Times New Roman" w:hAnsi="Times New Roman" w:eastAsia="宋体" w:cs="Times New Roman"/>
                <w:color w:val="000000"/>
                <w:kern w:val="0"/>
                <w:sz w:val="21"/>
                <w:szCs w:val="21"/>
                <w:lang w:val="en-US" w:eastAsia="zh-CN" w:bidi="ar"/>
              </w:rPr>
              <w:t>设施，处理后通过</w:t>
            </w:r>
            <w:r>
              <w:rPr>
                <w:rFonts w:hint="default" w:ascii="Times New Roman" w:hAnsi="Times New Roman" w:eastAsia="宋体" w:cs="Times New Roman"/>
                <w:color w:val="000000"/>
                <w:kern w:val="0"/>
                <w:sz w:val="21"/>
                <w:szCs w:val="21"/>
                <w:lang w:val="en-US" w:eastAsia="zh-CN" w:bidi="ar"/>
              </w:rPr>
              <w:t>15m高排气筒（DA00</w:t>
            </w: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）排放</w:t>
            </w:r>
          </w:p>
        </w:tc>
        <w:tc>
          <w:tcPr>
            <w:tcW w:w="2323" w:type="dxa"/>
            <w:vMerge w:val="continue"/>
            <w:tcBorders>
              <w:tl2br w:val="nil"/>
              <w:tr2bl w:val="nil"/>
            </w:tcBorders>
            <w:vAlign w:val="center"/>
          </w:tcPr>
          <w:p>
            <w:pPr>
              <w:jc w:val="center"/>
              <w:rPr>
                <w:rFonts w:hint="default" w:ascii="Times New Roman" w:hAnsi="Times New Roman" w:cs="Times New Roman"/>
                <w:highlight w:val="none"/>
                <w:lang w:val="en-US" w:eastAsia="zh-CN"/>
              </w:rPr>
            </w:pPr>
          </w:p>
        </w:tc>
        <w:tc>
          <w:tcPr>
            <w:tcW w:w="1413" w:type="dxa"/>
            <w:tcBorders>
              <w:tl2br w:val="nil"/>
              <w:tr2bl w:val="nil"/>
            </w:tcBorders>
            <w:vAlign w:val="center"/>
          </w:tcPr>
          <w:p>
            <w:pPr>
              <w:jc w:val="center"/>
              <w:rPr>
                <w:rFonts w:hint="default"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二甲苯、乙酸丁酯、非甲烷总烃</w:t>
            </w:r>
          </w:p>
        </w:tc>
        <w:tc>
          <w:tcPr>
            <w:tcW w:w="882" w:type="dxa"/>
            <w:tcBorders>
              <w:tl2br w:val="nil"/>
              <w:tr2bl w:val="nil"/>
            </w:tcBorders>
            <w:vAlign w:val="center"/>
          </w:tcPr>
          <w:p>
            <w:pPr>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lang w:val="en-US" w:eastAsia="zh-CN"/>
              </w:rPr>
              <w:t>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762"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烘干、固化废气</w:t>
            </w:r>
          </w:p>
        </w:tc>
        <w:tc>
          <w:tcPr>
            <w:tcW w:w="788"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烘干、固化</w:t>
            </w:r>
          </w:p>
        </w:tc>
        <w:tc>
          <w:tcPr>
            <w:tcW w:w="2348" w:type="dxa"/>
            <w:tcBorders>
              <w:tl2br w:val="nil"/>
              <w:tr2bl w:val="nil"/>
            </w:tcBorders>
            <w:vAlign w:val="center"/>
          </w:tcPr>
          <w:p>
            <w:pPr>
              <w:jc w:val="both"/>
              <w:rPr>
                <w:rFonts w:hint="default" w:ascii="Times New Roman" w:hAnsi="Times New Roman" w:cs="Times New Roman"/>
                <w:lang w:val="en-US" w:eastAsia="zh-CN"/>
              </w:rPr>
            </w:pPr>
            <w:r>
              <w:rPr>
                <w:rFonts w:hint="eastAsia" w:ascii="Times New Roman" w:hAnsi="Times New Roman" w:eastAsia="宋体" w:cs="Times New Roman"/>
                <w:color w:val="000000"/>
                <w:kern w:val="0"/>
                <w:sz w:val="21"/>
                <w:szCs w:val="21"/>
                <w:lang w:val="en-US" w:eastAsia="zh-CN" w:bidi="ar"/>
              </w:rPr>
              <w:t>收集后经过</w:t>
            </w:r>
            <w:r>
              <w:rPr>
                <w:rFonts w:hint="default" w:ascii="Times New Roman" w:hAnsi="Times New Roman" w:eastAsia="宋体" w:cs="Times New Roman"/>
                <w:color w:val="000000"/>
                <w:kern w:val="0"/>
                <w:sz w:val="21"/>
                <w:szCs w:val="21"/>
                <w:lang w:val="en-US" w:eastAsia="zh-CN" w:bidi="ar"/>
              </w:rPr>
              <w:t>“水旋塔+干式过滤+活性炭吸附+脱附+催化燃烧处理装置”处理</w:t>
            </w:r>
            <w:r>
              <w:rPr>
                <w:rFonts w:hint="eastAsia" w:ascii="Times New Roman" w:hAnsi="Times New Roman" w:eastAsia="宋体" w:cs="Times New Roman"/>
                <w:color w:val="000000"/>
                <w:kern w:val="0"/>
                <w:sz w:val="21"/>
                <w:szCs w:val="21"/>
                <w:lang w:val="en-US" w:eastAsia="zh-CN" w:bidi="ar"/>
              </w:rPr>
              <w:t>设施，处理后通过</w:t>
            </w:r>
            <w:r>
              <w:rPr>
                <w:rFonts w:hint="default" w:ascii="Times New Roman" w:hAnsi="Times New Roman" w:eastAsia="宋体" w:cs="Times New Roman"/>
                <w:color w:val="000000"/>
                <w:kern w:val="0"/>
                <w:sz w:val="21"/>
                <w:szCs w:val="21"/>
                <w:lang w:val="en-US" w:eastAsia="zh-CN" w:bidi="ar"/>
              </w:rPr>
              <w:t>15m高排气筒（DA00</w:t>
            </w: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）排放</w:t>
            </w:r>
          </w:p>
        </w:tc>
        <w:tc>
          <w:tcPr>
            <w:tcW w:w="2323" w:type="dxa"/>
            <w:vMerge w:val="continue"/>
            <w:tcBorders>
              <w:tl2br w:val="nil"/>
              <w:tr2bl w:val="nil"/>
            </w:tcBorders>
            <w:vAlign w:val="center"/>
          </w:tcPr>
          <w:p>
            <w:pPr>
              <w:jc w:val="center"/>
              <w:rPr>
                <w:rFonts w:hint="default" w:ascii="Times New Roman" w:hAnsi="Times New Roman" w:cs="Times New Roman"/>
                <w:lang w:val="en-US" w:eastAsia="zh-CN"/>
              </w:rPr>
            </w:pPr>
          </w:p>
        </w:tc>
        <w:tc>
          <w:tcPr>
            <w:tcW w:w="1413"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highlight w:val="none"/>
                <w:lang w:val="en-US" w:eastAsia="zh-CN"/>
              </w:rPr>
              <w:t>二甲苯、乙酸丁酯、非甲烷总烃</w:t>
            </w:r>
          </w:p>
        </w:tc>
        <w:tc>
          <w:tcPr>
            <w:tcW w:w="882"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762"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天然气燃烧废气</w:t>
            </w:r>
          </w:p>
        </w:tc>
        <w:tc>
          <w:tcPr>
            <w:tcW w:w="788"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天然气燃烧</w:t>
            </w:r>
          </w:p>
        </w:tc>
        <w:tc>
          <w:tcPr>
            <w:tcW w:w="2348" w:type="dxa"/>
            <w:tcBorders>
              <w:tl2br w:val="nil"/>
              <w:tr2bl w:val="nil"/>
            </w:tcBorders>
            <w:vAlign w:val="center"/>
          </w:tcPr>
          <w:p>
            <w:pPr>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收集后接入</w:t>
            </w:r>
            <w:r>
              <w:rPr>
                <w:rFonts w:hint="default" w:ascii="Times New Roman" w:hAnsi="Times New Roman" w:eastAsia="宋体" w:cs="Times New Roman"/>
                <w:color w:val="000000"/>
                <w:kern w:val="0"/>
                <w:sz w:val="21"/>
                <w:szCs w:val="21"/>
                <w:lang w:val="en-US" w:eastAsia="zh-CN" w:bidi="ar"/>
              </w:rPr>
              <w:t>“水旋塔+干式过滤+活性炭吸附+脱附+催化燃烧处理装置”处理</w:t>
            </w:r>
            <w:r>
              <w:rPr>
                <w:rFonts w:hint="eastAsia" w:ascii="Times New Roman" w:hAnsi="Times New Roman" w:eastAsia="宋体" w:cs="Times New Roman"/>
                <w:color w:val="000000"/>
                <w:kern w:val="0"/>
                <w:sz w:val="21"/>
                <w:szCs w:val="21"/>
                <w:lang w:val="en-US" w:eastAsia="zh-CN" w:bidi="ar"/>
              </w:rPr>
              <w:t>设施，处理后通过</w:t>
            </w:r>
            <w:r>
              <w:rPr>
                <w:rFonts w:hint="default" w:ascii="Times New Roman" w:hAnsi="Times New Roman" w:eastAsia="宋体" w:cs="Times New Roman"/>
                <w:color w:val="000000"/>
                <w:kern w:val="0"/>
                <w:sz w:val="21"/>
                <w:szCs w:val="21"/>
                <w:lang w:val="en-US" w:eastAsia="zh-CN" w:bidi="ar"/>
              </w:rPr>
              <w:t>15m高排气筒（DA00</w:t>
            </w: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）排放</w:t>
            </w:r>
          </w:p>
        </w:tc>
        <w:tc>
          <w:tcPr>
            <w:tcW w:w="2323" w:type="dxa"/>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lang w:val="en-US" w:eastAsia="zh-CN" w:bidi="ar"/>
              </w:rPr>
            </w:pPr>
          </w:p>
        </w:tc>
        <w:tc>
          <w:tcPr>
            <w:tcW w:w="1413"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颗粒物、二氧化硫、氮氧化物</w:t>
            </w:r>
          </w:p>
        </w:tc>
        <w:tc>
          <w:tcPr>
            <w:tcW w:w="882" w:type="dxa"/>
            <w:tcBorders>
              <w:tl2br w:val="nil"/>
              <w:tr2bl w:val="nil"/>
            </w:tcBorders>
            <w:vAlign w:val="center"/>
          </w:tcPr>
          <w:p>
            <w:pPr>
              <w:jc w:val="center"/>
              <w:rPr>
                <w:rFonts w:hint="eastAsia" w:ascii="Times New Roman" w:hAnsi="Times New Roman" w:cs="Times New Roman"/>
                <w:lang w:val="en-US" w:eastAsia="zh-CN"/>
              </w:rPr>
            </w:pPr>
            <w:r>
              <w:rPr>
                <w:rFonts w:hint="eastAsia" w:ascii="Times New Roman" w:hAnsi="Times New Roman" w:cs="Times New Roman"/>
                <w:lang w:val="en-US" w:eastAsia="zh-CN"/>
              </w:rPr>
              <w:t>有组织排放</w:t>
            </w:r>
          </w:p>
        </w:tc>
      </w:tr>
    </w:tbl>
    <w:p>
      <w:pPr>
        <w:jc w:val="center"/>
        <w:rPr>
          <w:rFonts w:hint="eastAsia"/>
          <w:sz w:val="21"/>
          <w:lang w:val="en-US" w:eastAsia="zh-CN"/>
        </w:rPr>
      </w:pPr>
    </w:p>
    <w:p>
      <w:pPr>
        <w:jc w:val="center"/>
        <w:rPr>
          <w:rFonts w:ascii="Times New Roman" w:hAnsi="Times New Roman" w:eastAsia="宋体" w:cs="Times New Roman"/>
          <w:b/>
          <w:bCs/>
          <w:szCs w:val="21"/>
        </w:rPr>
      </w:pPr>
      <w:r>
        <w:rPr>
          <w:rFonts w:hint="eastAsia" w:ascii="Times New Roman" w:hAnsi="Times New Roman" w:eastAsia="宋体" w:cs="Times New Roman"/>
          <w:b/>
          <w:bCs/>
          <w:szCs w:val="21"/>
          <w:highlight w:val="none"/>
        </w:rPr>
        <w:t>表4</w:t>
      </w:r>
      <w:r>
        <w:rPr>
          <w:rFonts w:ascii="Times New Roman" w:hAnsi="Times New Roman" w:eastAsia="宋体" w:cs="Times New Roman"/>
          <w:b/>
          <w:bCs/>
          <w:szCs w:val="21"/>
          <w:highlight w:val="none"/>
        </w:rPr>
        <w:t>.1</w:t>
      </w:r>
      <w:r>
        <w:rPr>
          <w:rFonts w:hint="eastAsia" w:ascii="Times New Roman" w:hAnsi="Times New Roman" w:eastAsia="宋体" w:cs="Times New Roman"/>
          <w:b/>
          <w:bCs/>
          <w:szCs w:val="21"/>
          <w:highlight w:val="none"/>
          <w:lang w:val="en-US" w:eastAsia="zh-CN"/>
        </w:rPr>
        <w:t>.</w:t>
      </w:r>
      <w:r>
        <w:rPr>
          <w:rFonts w:hint="eastAsia" w:ascii="Times New Roman" w:hAnsi="Times New Roman" w:eastAsia="宋体" w:cs="Times New Roman"/>
          <w:b/>
          <w:bCs/>
          <w:szCs w:val="21"/>
          <w:highlight w:val="none"/>
        </w:rPr>
        <w:t>2-</w:t>
      </w:r>
      <w:r>
        <w:rPr>
          <w:rFonts w:hint="eastAsia" w:ascii="Times New Roman" w:hAnsi="Times New Roman" w:eastAsia="宋体" w:cs="Times New Roman"/>
          <w:b/>
          <w:bCs/>
          <w:szCs w:val="21"/>
          <w:highlight w:val="none"/>
          <w:lang w:val="en-US" w:eastAsia="zh-CN"/>
        </w:rPr>
        <w:t>2</w:t>
      </w:r>
      <w:r>
        <w:rPr>
          <w:rFonts w:hint="eastAsia" w:ascii="Times New Roman" w:hAnsi="Times New Roman" w:eastAsia="宋体" w:cs="Times New Roman"/>
          <w:b/>
          <w:bCs/>
          <w:szCs w:val="21"/>
          <w:highlight w:val="none"/>
        </w:rPr>
        <w:t xml:space="preserve"> </w:t>
      </w:r>
      <w:r>
        <w:rPr>
          <w:rFonts w:hint="eastAsia" w:ascii="Times New Roman" w:hAnsi="Times New Roman" w:eastAsia="宋体" w:cs="Times New Roman"/>
          <w:b/>
          <w:bCs/>
          <w:szCs w:val="21"/>
          <w:highlight w:val="none"/>
          <w:lang w:val="en-US" w:eastAsia="zh-CN"/>
        </w:rPr>
        <w:t>项目废气治理设施参数表</w:t>
      </w:r>
    </w:p>
    <w:tbl>
      <w:tblPr>
        <w:tblStyle w:val="31"/>
        <w:tblW w:w="498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1313"/>
        <w:gridCol w:w="2310"/>
        <w:gridCol w:w="1777"/>
        <w:gridCol w:w="12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796"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废气</w:t>
            </w:r>
            <w:r>
              <w:rPr>
                <w:rFonts w:hint="eastAsia" w:ascii="Times New Roman" w:hAnsi="Times New Roman" w:eastAsia="宋体" w:cs="Times New Roman"/>
                <w:b/>
                <w:bCs/>
                <w:sz w:val="21"/>
                <w:szCs w:val="21"/>
                <w:lang w:val="en-US" w:eastAsia="zh-CN"/>
              </w:rPr>
              <w:t>类别</w:t>
            </w:r>
          </w:p>
        </w:tc>
        <w:tc>
          <w:tcPr>
            <w:tcW w:w="1313"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产生工序</w:t>
            </w:r>
          </w:p>
        </w:tc>
        <w:tc>
          <w:tcPr>
            <w:tcW w:w="2310"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处理设施</w:t>
            </w:r>
          </w:p>
        </w:tc>
        <w:tc>
          <w:tcPr>
            <w:tcW w:w="1777"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设计规模（风量）</w:t>
            </w:r>
          </w:p>
        </w:tc>
        <w:tc>
          <w:tcPr>
            <w:tcW w:w="1288"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排气筒参数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96"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喷塑废气</w:t>
            </w:r>
          </w:p>
        </w:tc>
        <w:tc>
          <w:tcPr>
            <w:tcW w:w="1313"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cs="Times New Roman"/>
                <w:lang w:val="en-US" w:eastAsia="zh-CN"/>
              </w:rPr>
              <w:t>喷塑</w:t>
            </w:r>
          </w:p>
        </w:tc>
        <w:tc>
          <w:tcPr>
            <w:tcW w:w="2310"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eastAsia="宋体" w:cs="Times New Roman"/>
                <w:color w:val="000000"/>
                <w:kern w:val="0"/>
                <w:sz w:val="21"/>
                <w:szCs w:val="21"/>
                <w:lang w:val="en-US" w:eastAsia="zh-CN" w:bidi="ar"/>
              </w:rPr>
              <w:t>“滤筒过滤+脉冲滤芯除尘”二级回收</w:t>
            </w:r>
          </w:p>
        </w:tc>
        <w:tc>
          <w:tcPr>
            <w:tcW w:w="1777" w:type="dxa"/>
            <w:tcBorders>
              <w:tl2br w:val="nil"/>
              <w:tr2bl w:val="nil"/>
            </w:tcBorders>
            <w:vAlign w:val="center"/>
          </w:tcPr>
          <w:p>
            <w:pPr>
              <w:jc w:val="center"/>
              <w:rPr>
                <w:rFonts w:hint="default" w:ascii="Times New Roman" w:hAnsi="Times New Roman" w:eastAsia="宋体" w:cs="Times New Roman"/>
                <w:color w:val="auto"/>
                <w:kern w:val="2"/>
                <w:sz w:val="21"/>
                <w:szCs w:val="22"/>
                <w:highlight w:val="red"/>
                <w:lang w:val="en-US" w:eastAsia="zh-CN" w:bidi="ar-SA"/>
              </w:rPr>
            </w:pPr>
            <w:r>
              <w:rPr>
                <w:rFonts w:hint="eastAsia" w:ascii="Times New Roman" w:hAnsi="Times New Roman" w:eastAsia="宋体" w:cs="Times New Roman"/>
                <w:b w:val="0"/>
                <w:bCs w:val="0"/>
                <w:color w:val="auto"/>
                <w:sz w:val="21"/>
                <w:szCs w:val="21"/>
                <w:highlight w:val="red"/>
                <w:lang w:val="en-US" w:eastAsia="zh-CN"/>
              </w:rPr>
              <w:t>5000m</w:t>
            </w:r>
            <w:r>
              <w:rPr>
                <w:rFonts w:hint="eastAsia" w:ascii="Times New Roman" w:hAnsi="Times New Roman" w:eastAsia="宋体" w:cs="Times New Roman"/>
                <w:b w:val="0"/>
                <w:bCs w:val="0"/>
                <w:color w:val="auto"/>
                <w:sz w:val="21"/>
                <w:szCs w:val="21"/>
                <w:highlight w:val="red"/>
                <w:vertAlign w:val="superscript"/>
                <w:lang w:val="en-US" w:eastAsia="zh-CN"/>
              </w:rPr>
              <w:t>3</w:t>
            </w:r>
            <w:r>
              <w:rPr>
                <w:rFonts w:hint="eastAsia" w:ascii="Times New Roman" w:hAnsi="Times New Roman" w:eastAsia="宋体" w:cs="Times New Roman"/>
                <w:b w:val="0"/>
                <w:bCs w:val="0"/>
                <w:color w:val="auto"/>
                <w:sz w:val="21"/>
                <w:szCs w:val="21"/>
                <w:highlight w:val="red"/>
                <w:lang w:val="en-US" w:eastAsia="zh-CN"/>
              </w:rPr>
              <w:t>/h</w:t>
            </w:r>
          </w:p>
        </w:tc>
        <w:tc>
          <w:tcPr>
            <w:tcW w:w="1288" w:type="dxa"/>
            <w:tcBorders>
              <w:tl2br w:val="nil"/>
              <w:tr2bl w:val="nil"/>
            </w:tcBorders>
            <w:vAlign w:val="center"/>
          </w:tcPr>
          <w:p>
            <w:pPr>
              <w:jc w:val="center"/>
              <w:rPr>
                <w:rFonts w:hint="eastAsia" w:ascii="Times New Roman" w:hAnsi="Times New Roman" w:eastAsia="宋体" w:cs="Times New Roman"/>
                <w:color w:val="auto"/>
                <w:kern w:val="2"/>
                <w:sz w:val="21"/>
                <w:szCs w:val="22"/>
                <w:highlight w:val="red"/>
                <w:lang w:val="en-US" w:eastAsia="zh-CN" w:bidi="ar-SA"/>
              </w:rPr>
            </w:pPr>
            <w:r>
              <w:rPr>
                <w:rFonts w:hint="eastAsia" w:ascii="Times New Roman" w:hAnsi="Times New Roman" w:eastAsia="宋体" w:cs="Times New Roman"/>
                <w:color w:val="auto"/>
                <w:kern w:val="2"/>
                <w:sz w:val="21"/>
                <w:szCs w:val="22"/>
                <w:highlight w:val="red"/>
                <w:lang w:val="en-US" w:eastAsia="zh-CN" w:bidi="ar-SA"/>
              </w:rPr>
              <w:t>h：15m;</w:t>
            </w:r>
          </w:p>
          <w:p>
            <w:pPr>
              <w:jc w:val="center"/>
              <w:rPr>
                <w:rFonts w:hint="default" w:ascii="Times New Roman" w:hAnsi="Times New Roman" w:eastAsia="宋体" w:cs="Times New Roman"/>
                <w:color w:val="auto"/>
                <w:kern w:val="2"/>
                <w:sz w:val="21"/>
                <w:szCs w:val="22"/>
                <w:highlight w:val="red"/>
                <w:lang w:val="en-US" w:eastAsia="zh-CN" w:bidi="ar-SA"/>
              </w:rPr>
            </w:pPr>
            <w:r>
              <w:rPr>
                <w:rFonts w:hint="eastAsia" w:ascii="Times New Roman" w:hAnsi="Times New Roman" w:eastAsia="宋体" w:cs="Times New Roman"/>
                <w:color w:val="auto"/>
                <w:kern w:val="2"/>
                <w:sz w:val="21"/>
                <w:szCs w:val="22"/>
                <w:highlight w:val="red"/>
                <w:lang w:val="en-US" w:eastAsia="zh-CN" w:bidi="ar-SA"/>
              </w:rPr>
              <w:t>Φ：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96"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调漆废气</w:t>
            </w:r>
          </w:p>
        </w:tc>
        <w:tc>
          <w:tcPr>
            <w:tcW w:w="1313"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调漆</w:t>
            </w:r>
          </w:p>
        </w:tc>
        <w:tc>
          <w:tcPr>
            <w:tcW w:w="2310" w:type="dxa"/>
            <w:vMerge w:val="restart"/>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eastAsia="宋体" w:cs="Times New Roman"/>
                <w:color w:val="000000"/>
                <w:kern w:val="0"/>
                <w:sz w:val="21"/>
                <w:szCs w:val="21"/>
                <w:lang w:val="en-US" w:eastAsia="zh-CN" w:bidi="ar"/>
              </w:rPr>
              <w:t>“水旋塔+干式过滤+活性炭吸附+脱附+催化燃烧处理装置”</w:t>
            </w:r>
          </w:p>
        </w:tc>
        <w:tc>
          <w:tcPr>
            <w:tcW w:w="1777" w:type="dxa"/>
            <w:vMerge w:val="restart"/>
            <w:tcBorders>
              <w:tl2br w:val="nil"/>
              <w:tr2bl w:val="nil"/>
            </w:tcBorders>
            <w:vAlign w:val="center"/>
          </w:tcPr>
          <w:p>
            <w:pPr>
              <w:jc w:val="center"/>
              <w:rPr>
                <w:rFonts w:hint="default" w:ascii="Times New Roman" w:hAnsi="Times New Roman" w:eastAsia="宋体" w:cs="Times New Roman"/>
                <w:color w:val="auto"/>
                <w:kern w:val="2"/>
                <w:sz w:val="21"/>
                <w:szCs w:val="22"/>
                <w:highlight w:val="red"/>
                <w:lang w:val="en-US" w:eastAsia="zh-CN" w:bidi="ar-SA"/>
              </w:rPr>
            </w:pPr>
            <w:r>
              <w:rPr>
                <w:rFonts w:hint="eastAsia" w:ascii="Times New Roman" w:hAnsi="Times New Roman" w:eastAsia="宋体" w:cs="Times New Roman"/>
                <w:b w:val="0"/>
                <w:bCs w:val="0"/>
                <w:color w:val="auto"/>
                <w:sz w:val="21"/>
                <w:szCs w:val="21"/>
                <w:highlight w:val="red"/>
                <w:lang w:val="en-US" w:eastAsia="zh-CN"/>
              </w:rPr>
              <w:t>10000m</w:t>
            </w:r>
            <w:r>
              <w:rPr>
                <w:rFonts w:hint="eastAsia" w:ascii="Times New Roman" w:hAnsi="Times New Roman" w:eastAsia="宋体" w:cs="Times New Roman"/>
                <w:b w:val="0"/>
                <w:bCs w:val="0"/>
                <w:color w:val="auto"/>
                <w:sz w:val="21"/>
                <w:szCs w:val="21"/>
                <w:highlight w:val="red"/>
                <w:vertAlign w:val="superscript"/>
                <w:lang w:val="en-US" w:eastAsia="zh-CN"/>
              </w:rPr>
              <w:t>3</w:t>
            </w:r>
            <w:r>
              <w:rPr>
                <w:rFonts w:hint="eastAsia" w:ascii="Times New Roman" w:hAnsi="Times New Roman" w:eastAsia="宋体" w:cs="Times New Roman"/>
                <w:b w:val="0"/>
                <w:bCs w:val="0"/>
                <w:color w:val="auto"/>
                <w:sz w:val="21"/>
                <w:szCs w:val="21"/>
                <w:highlight w:val="red"/>
                <w:lang w:val="en-US" w:eastAsia="zh-CN"/>
              </w:rPr>
              <w:t>/h</w:t>
            </w:r>
          </w:p>
        </w:tc>
        <w:tc>
          <w:tcPr>
            <w:tcW w:w="1288" w:type="dxa"/>
            <w:vMerge w:val="restart"/>
            <w:tcBorders>
              <w:tl2br w:val="nil"/>
              <w:tr2bl w:val="nil"/>
            </w:tcBorders>
            <w:vAlign w:val="center"/>
          </w:tcPr>
          <w:p>
            <w:pPr>
              <w:jc w:val="center"/>
              <w:rPr>
                <w:rFonts w:hint="eastAsia" w:ascii="Times New Roman" w:hAnsi="Times New Roman" w:eastAsia="宋体" w:cs="Times New Roman"/>
                <w:color w:val="auto"/>
                <w:kern w:val="2"/>
                <w:sz w:val="21"/>
                <w:szCs w:val="22"/>
                <w:highlight w:val="red"/>
                <w:lang w:val="en-US" w:eastAsia="zh-CN" w:bidi="ar-SA"/>
              </w:rPr>
            </w:pPr>
            <w:r>
              <w:rPr>
                <w:rFonts w:hint="eastAsia" w:ascii="Times New Roman" w:hAnsi="Times New Roman" w:eastAsia="宋体" w:cs="Times New Roman"/>
                <w:color w:val="auto"/>
                <w:kern w:val="2"/>
                <w:sz w:val="21"/>
                <w:szCs w:val="22"/>
                <w:highlight w:val="red"/>
                <w:lang w:val="en-US" w:eastAsia="zh-CN" w:bidi="ar-SA"/>
              </w:rPr>
              <w:t>h：15m;</w:t>
            </w:r>
          </w:p>
          <w:p>
            <w:pPr>
              <w:jc w:val="center"/>
              <w:rPr>
                <w:rFonts w:hint="default" w:ascii="Times New Roman" w:hAnsi="Times New Roman" w:eastAsia="宋体" w:cs="Times New Roman"/>
                <w:color w:val="auto"/>
                <w:kern w:val="2"/>
                <w:sz w:val="21"/>
                <w:szCs w:val="22"/>
                <w:highlight w:val="red"/>
                <w:lang w:val="en-US" w:eastAsia="zh-CN" w:bidi="ar-SA"/>
              </w:rPr>
            </w:pPr>
            <w:r>
              <w:rPr>
                <w:rFonts w:hint="eastAsia" w:ascii="Times New Roman" w:hAnsi="Times New Roman" w:eastAsia="宋体" w:cs="Times New Roman"/>
                <w:color w:val="auto"/>
                <w:kern w:val="2"/>
                <w:sz w:val="21"/>
                <w:szCs w:val="22"/>
                <w:highlight w:val="red"/>
                <w:lang w:val="en-US" w:eastAsia="zh-CN" w:bidi="ar-SA"/>
              </w:rPr>
              <w:t>Φ：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96"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cs="Times New Roman"/>
                <w:lang w:val="en-US" w:eastAsia="zh-CN"/>
              </w:rPr>
              <w:t>喷漆废气</w:t>
            </w:r>
          </w:p>
        </w:tc>
        <w:tc>
          <w:tcPr>
            <w:tcW w:w="1313"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喷漆</w:t>
            </w:r>
          </w:p>
        </w:tc>
        <w:tc>
          <w:tcPr>
            <w:tcW w:w="2310" w:type="dxa"/>
            <w:vMerge w:val="continue"/>
            <w:tcBorders/>
            <w:vAlign w:val="center"/>
          </w:tcPr>
          <w:p>
            <w:pPr>
              <w:jc w:val="center"/>
              <w:rPr>
                <w:rFonts w:hint="default" w:ascii="Times New Roman" w:hAnsi="Times New Roman" w:eastAsia="宋体" w:cs="Times New Roman"/>
                <w:kern w:val="2"/>
                <w:sz w:val="21"/>
                <w:szCs w:val="22"/>
                <w:highlight w:val="none"/>
                <w:lang w:val="en-US" w:eastAsia="zh-CN" w:bidi="ar-SA"/>
              </w:rPr>
            </w:pPr>
          </w:p>
        </w:tc>
        <w:tc>
          <w:tcPr>
            <w:tcW w:w="1777" w:type="dxa"/>
            <w:vMerge w:val="continue"/>
            <w:tcBorders/>
            <w:vAlign w:val="center"/>
          </w:tcPr>
          <w:p>
            <w:pPr>
              <w:jc w:val="center"/>
              <w:rPr>
                <w:rFonts w:hint="default" w:ascii="Times New Roman" w:hAnsi="Times New Roman" w:eastAsia="宋体" w:cs="Times New Roman"/>
                <w:kern w:val="2"/>
                <w:sz w:val="21"/>
                <w:szCs w:val="22"/>
                <w:highlight w:val="none"/>
                <w:lang w:val="en-US" w:eastAsia="zh-CN" w:bidi="ar-SA"/>
              </w:rPr>
            </w:pPr>
          </w:p>
        </w:tc>
        <w:tc>
          <w:tcPr>
            <w:tcW w:w="1288" w:type="dxa"/>
            <w:vMerge w:val="continue"/>
            <w:tcBorders/>
            <w:vAlign w:val="center"/>
          </w:tcPr>
          <w:p>
            <w:pPr>
              <w:jc w:val="center"/>
              <w:rPr>
                <w:rFonts w:hint="default" w:ascii="Times New Roman" w:hAnsi="Times New Roman" w:eastAsia="宋体" w:cs="Times New Roman"/>
                <w:kern w:val="2"/>
                <w:sz w:val="21"/>
                <w:szCs w:val="22"/>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96"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cs="Times New Roman"/>
                <w:lang w:val="en-US" w:eastAsia="zh-CN"/>
              </w:rPr>
              <w:t>烘干、固化废气</w:t>
            </w:r>
          </w:p>
        </w:tc>
        <w:tc>
          <w:tcPr>
            <w:tcW w:w="1313"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cs="Times New Roman"/>
                <w:lang w:val="en-US" w:eastAsia="zh-CN"/>
              </w:rPr>
              <w:t>烘干、固化</w:t>
            </w:r>
          </w:p>
        </w:tc>
        <w:tc>
          <w:tcPr>
            <w:tcW w:w="2310" w:type="dxa"/>
            <w:vMerge w:val="continue"/>
            <w:tcBorders/>
            <w:vAlign w:val="center"/>
          </w:tcPr>
          <w:p>
            <w:pPr>
              <w:jc w:val="center"/>
              <w:rPr>
                <w:rFonts w:hint="default" w:ascii="Times New Roman" w:hAnsi="Times New Roman" w:eastAsia="宋体" w:cs="Times New Roman"/>
                <w:kern w:val="2"/>
                <w:sz w:val="21"/>
                <w:szCs w:val="22"/>
                <w:highlight w:val="none"/>
                <w:lang w:val="en-US" w:eastAsia="zh-CN" w:bidi="ar-SA"/>
              </w:rPr>
            </w:pPr>
          </w:p>
        </w:tc>
        <w:tc>
          <w:tcPr>
            <w:tcW w:w="1777" w:type="dxa"/>
            <w:vMerge w:val="continue"/>
            <w:tcBorders/>
          </w:tcPr>
          <w:p>
            <w:pPr>
              <w:jc w:val="center"/>
              <w:rPr>
                <w:rFonts w:hint="default" w:ascii="Times New Roman" w:hAnsi="Times New Roman" w:eastAsia="宋体" w:cs="Times New Roman"/>
                <w:kern w:val="2"/>
                <w:sz w:val="21"/>
                <w:szCs w:val="22"/>
                <w:highlight w:val="none"/>
                <w:lang w:val="en-US" w:eastAsia="zh-CN" w:bidi="ar-SA"/>
              </w:rPr>
            </w:pPr>
          </w:p>
        </w:tc>
        <w:tc>
          <w:tcPr>
            <w:tcW w:w="1288" w:type="dxa"/>
            <w:vMerge w:val="continue"/>
            <w:tcBorders/>
          </w:tcPr>
          <w:p>
            <w:pPr>
              <w:jc w:val="center"/>
              <w:rPr>
                <w:rFonts w:hint="default" w:ascii="Times New Roman" w:hAnsi="Times New Roman" w:eastAsia="宋体" w:cs="Times New Roman"/>
                <w:kern w:val="2"/>
                <w:sz w:val="21"/>
                <w:szCs w:val="22"/>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96"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cs="Times New Roman"/>
                <w:lang w:val="en-US" w:eastAsia="zh-CN"/>
              </w:rPr>
              <w:t>天然气燃烧废气</w:t>
            </w:r>
          </w:p>
        </w:tc>
        <w:tc>
          <w:tcPr>
            <w:tcW w:w="1313"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cs="Times New Roman"/>
                <w:lang w:val="en-US" w:eastAsia="zh-CN"/>
              </w:rPr>
              <w:t>天然气燃烧</w:t>
            </w:r>
          </w:p>
        </w:tc>
        <w:tc>
          <w:tcPr>
            <w:tcW w:w="2310" w:type="dxa"/>
            <w:vMerge w:val="continue"/>
            <w:tcBorders/>
            <w:vAlign w:val="center"/>
          </w:tcPr>
          <w:p>
            <w:pPr>
              <w:jc w:val="center"/>
              <w:rPr>
                <w:rFonts w:hint="default" w:ascii="Times New Roman" w:hAnsi="Times New Roman" w:eastAsia="宋体" w:cs="Times New Roman"/>
                <w:kern w:val="2"/>
                <w:sz w:val="21"/>
                <w:szCs w:val="22"/>
                <w:highlight w:val="none"/>
                <w:lang w:val="en-US" w:eastAsia="zh-CN" w:bidi="ar-SA"/>
              </w:rPr>
            </w:pPr>
          </w:p>
        </w:tc>
        <w:tc>
          <w:tcPr>
            <w:tcW w:w="1777" w:type="dxa"/>
            <w:vMerge w:val="continue"/>
            <w:tcBorders/>
          </w:tcPr>
          <w:p>
            <w:pPr>
              <w:jc w:val="center"/>
              <w:rPr>
                <w:rFonts w:hint="default" w:ascii="Times New Roman" w:hAnsi="Times New Roman" w:eastAsia="宋体" w:cs="Times New Roman"/>
                <w:kern w:val="2"/>
                <w:sz w:val="21"/>
                <w:szCs w:val="22"/>
                <w:highlight w:val="none"/>
                <w:lang w:val="en-US" w:eastAsia="zh-CN" w:bidi="ar-SA"/>
              </w:rPr>
            </w:pPr>
          </w:p>
        </w:tc>
        <w:tc>
          <w:tcPr>
            <w:tcW w:w="1288" w:type="dxa"/>
            <w:vMerge w:val="continue"/>
            <w:tcBorders/>
          </w:tcPr>
          <w:p>
            <w:pPr>
              <w:jc w:val="center"/>
              <w:rPr>
                <w:rFonts w:hint="default" w:ascii="Times New Roman" w:hAnsi="Times New Roman" w:eastAsia="宋体" w:cs="Times New Roman"/>
                <w:kern w:val="2"/>
                <w:sz w:val="21"/>
                <w:szCs w:val="22"/>
                <w:highlight w:val="none"/>
                <w:lang w:val="en-US" w:eastAsia="zh-CN" w:bidi="ar-SA"/>
              </w:rPr>
            </w:pPr>
          </w:p>
        </w:tc>
      </w:tr>
    </w:tbl>
    <w:p>
      <w:pPr>
        <w:rPr>
          <w:rFonts w:hint="eastAsia" w:eastAsia="宋体"/>
          <w:sz w:val="24"/>
          <w:szCs w:val="24"/>
        </w:rPr>
      </w:pPr>
    </w:p>
    <w:tbl>
      <w:tblPr>
        <w:tblStyle w:val="32"/>
        <w:tblW w:w="492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7" w:hRule="atLeast"/>
          <w:jc w:val="center"/>
        </w:trPr>
        <w:tc>
          <w:tcPr>
            <w:tcW w:w="5000" w:type="pct"/>
            <w:shd w:val="clear" w:color="auto" w:fill="auto"/>
            <w:vAlign w:val="center"/>
          </w:tcPr>
          <w:p>
            <w:pPr>
              <w:jc w:val="center"/>
              <w:rPr>
                <w:rFonts w:hint="default" w:ascii="Times New Roman" w:hAnsi="Times New Roman" w:eastAsia="宋体" w:cs="Times New Roman"/>
                <w:sz w:val="24"/>
                <w:szCs w:val="24"/>
                <w:highlight w:val="none"/>
                <w:lang w:val="en-US" w:eastAsia="zh-CN"/>
              </w:rPr>
            </w:pPr>
            <w:r>
              <w:rPr>
                <w:rFonts w:hint="eastAsia"/>
                <w:highlight w:val="none"/>
                <w:lang w:val="en-US" w:eastAsia="zh-CN"/>
              </w:rPr>
              <w:drawing>
                <wp:inline distT="0" distB="0" distL="114300" distR="114300">
                  <wp:extent cx="3881755" cy="329565"/>
                  <wp:effectExtent l="0" t="0" r="4445" b="13335"/>
                  <wp:docPr id="79" name="图片 79" descr="喷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喷塑"/>
                          <pic:cNvPicPr>
                            <a:picLocks noChangeAspect="1"/>
                          </pic:cNvPicPr>
                        </pic:nvPicPr>
                        <pic:blipFill>
                          <a:blip r:embed="rId29"/>
                          <a:stretch>
                            <a:fillRect/>
                          </a:stretch>
                        </pic:blipFill>
                        <pic:spPr>
                          <a:xfrm>
                            <a:off x="0" y="0"/>
                            <a:ext cx="3881755" cy="329565"/>
                          </a:xfrm>
                          <a:prstGeom prst="rect">
                            <a:avLst/>
                          </a:prstGeom>
                        </pic:spPr>
                      </pic:pic>
                    </a:graphicData>
                  </a:graphic>
                </wp:inline>
              </w:drawing>
            </w:r>
            <w:r>
              <w:rPr>
                <w:rFonts w:hint="eastAsia"/>
                <w:highlight w:val="none"/>
                <w:lang w:val="en-US" w:eastAsia="zh-CN"/>
              </w:rPr>
              <w:drawing>
                <wp:inline distT="0" distB="0" distL="114300" distR="114300">
                  <wp:extent cx="5286375" cy="307340"/>
                  <wp:effectExtent l="0" t="0" r="9525" b="16510"/>
                  <wp:docPr id="82" name="图片 82" descr="催化燃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催化燃烧"/>
                          <pic:cNvPicPr>
                            <a:picLocks noChangeAspect="1"/>
                          </pic:cNvPicPr>
                        </pic:nvPicPr>
                        <pic:blipFill>
                          <a:blip r:embed="rId30"/>
                          <a:stretch>
                            <a:fillRect/>
                          </a:stretch>
                        </pic:blipFill>
                        <pic:spPr>
                          <a:xfrm>
                            <a:off x="0" y="0"/>
                            <a:ext cx="5286375" cy="3073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5000" w:type="pct"/>
            <w:shd w:val="clear" w:color="auto" w:fill="auto"/>
            <w:vAlign w:val="center"/>
          </w:tcPr>
          <w:p>
            <w:pPr>
              <w:spacing w:line="360" w:lineRule="auto"/>
              <w:jc w:val="center"/>
              <w:rPr>
                <w:rFonts w:hint="default" w:ascii="Times New Roman" w:hAnsi="Times New Roman" w:cs="Times New Roman"/>
                <w:highlight w:val="none"/>
                <w:lang w:val="en-US" w:eastAsia="zh-CN"/>
              </w:rPr>
            </w:pPr>
            <w:r>
              <w:rPr>
                <w:rFonts w:hint="eastAsia" w:ascii="Times New Roman" w:hAnsi="Times New Roman" w:eastAsia="宋体" w:cs="Times New Roman"/>
                <w:b/>
                <w:bCs/>
                <w:szCs w:val="21"/>
                <w:lang w:val="en-US" w:eastAsia="zh-CN"/>
              </w:rPr>
              <w:t xml:space="preserve">图 </w:t>
            </w:r>
            <w:r>
              <w:rPr>
                <w:rFonts w:hint="default" w:ascii="Times New Roman" w:hAnsi="Times New Roman" w:eastAsia="宋体" w:cs="Times New Roman"/>
                <w:b/>
                <w:bCs/>
                <w:szCs w:val="21"/>
                <w:lang w:val="en-US" w:eastAsia="zh-CN"/>
              </w:rPr>
              <w:t>4.</w:t>
            </w: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en-US" w:eastAsia="zh-CN"/>
              </w:rPr>
              <w:t>2-</w:t>
            </w:r>
            <w:r>
              <w:rPr>
                <w:rFonts w:hint="eastAsia" w:ascii="Times New Roman" w:hAnsi="Times New Roman" w:eastAsia="宋体" w:cs="Times New Roman"/>
                <w:b/>
                <w:bCs/>
                <w:szCs w:val="21"/>
                <w:lang w:val="en-US" w:eastAsia="zh-CN"/>
              </w:rPr>
              <w:t>1废气处理工</w:t>
            </w:r>
            <w:r>
              <w:rPr>
                <w:rFonts w:hint="eastAsia" w:ascii="Times New Roman" w:hAnsi="Times New Roman" w:eastAsia="宋体" w:cs="Times New Roman"/>
                <w:b/>
                <w:bCs/>
                <w:szCs w:val="21"/>
                <w:highlight w:val="none"/>
                <w:lang w:val="en-US" w:eastAsia="zh-CN"/>
              </w:rPr>
              <w:t>艺流程图</w:t>
            </w:r>
          </w:p>
        </w:tc>
      </w:tr>
    </w:tbl>
    <w:p>
      <w:pPr>
        <w:rPr>
          <w:rFonts w:hint="eastAsia" w:eastAsia="宋体"/>
          <w:sz w:val="24"/>
          <w:szCs w:val="24"/>
        </w:rPr>
      </w:pPr>
    </w:p>
    <w:p>
      <w:pPr>
        <w:rPr>
          <w:rFonts w:eastAsia="宋体"/>
          <w:sz w:val="24"/>
          <w:szCs w:val="24"/>
        </w:rPr>
      </w:pPr>
      <w:r>
        <w:rPr>
          <w:rFonts w:hint="eastAsia" w:eastAsia="宋体"/>
          <w:sz w:val="24"/>
          <w:szCs w:val="24"/>
        </w:rPr>
        <w:t>废气处理设施具体图例如下：</w:t>
      </w:r>
    </w:p>
    <w:tbl>
      <w:tblPr>
        <w:tblStyle w:val="3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1" w:hRule="atLeast"/>
          <w:jc w:val="center"/>
        </w:trPr>
        <w:tc>
          <w:tcPr>
            <w:tcW w:w="2500" w:type="pct"/>
            <w:shd w:val="clear" w:color="auto" w:fill="auto"/>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drawing>
                <wp:inline distT="0" distB="0" distL="114300" distR="114300">
                  <wp:extent cx="2551430" cy="1913890"/>
                  <wp:effectExtent l="0" t="0" r="1270" b="10160"/>
                  <wp:docPr id="11" name="图片 11" descr="喷塑滤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喷塑滤芯"/>
                          <pic:cNvPicPr>
                            <a:picLocks noChangeAspect="1"/>
                          </pic:cNvPicPr>
                        </pic:nvPicPr>
                        <pic:blipFill>
                          <a:blip r:embed="rId31"/>
                          <a:stretch>
                            <a:fillRect/>
                          </a:stretch>
                        </pic:blipFill>
                        <pic:spPr>
                          <a:xfrm>
                            <a:off x="0" y="0"/>
                            <a:ext cx="2551430" cy="1913890"/>
                          </a:xfrm>
                          <a:prstGeom prst="rect">
                            <a:avLst/>
                          </a:prstGeom>
                        </pic:spPr>
                      </pic:pic>
                    </a:graphicData>
                  </a:graphic>
                </wp:inline>
              </w:drawing>
            </w:r>
          </w:p>
        </w:tc>
        <w:tc>
          <w:tcPr>
            <w:tcW w:w="2500" w:type="pct"/>
            <w:shd w:val="clear" w:color="auto" w:fill="auto"/>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drawing>
                <wp:inline distT="0" distB="0" distL="114300" distR="114300">
                  <wp:extent cx="2551430" cy="1913890"/>
                  <wp:effectExtent l="0" t="0" r="1270" b="10160"/>
                  <wp:docPr id="12" name="图片 12" descr="喷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喷塑2"/>
                          <pic:cNvPicPr>
                            <a:picLocks noChangeAspect="1"/>
                          </pic:cNvPicPr>
                        </pic:nvPicPr>
                        <pic:blipFill>
                          <a:blip r:embed="rId32"/>
                          <a:stretch>
                            <a:fillRect/>
                          </a:stretch>
                        </pic:blipFill>
                        <pic:spPr>
                          <a:xfrm>
                            <a:off x="0" y="0"/>
                            <a:ext cx="2551430" cy="1913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2"/>
            <w:shd w:val="clear" w:color="auto" w:fill="auto"/>
            <w:vAlign w:val="center"/>
          </w:tcPr>
          <w:p>
            <w:pPr>
              <w:jc w:val="center"/>
              <w:rPr>
                <w:rFonts w:hint="default" w:ascii="Times New Roman" w:hAnsi="Times New Roman" w:cs="Times New Roman"/>
                <w:kern w:val="2"/>
                <w:sz w:val="21"/>
                <w:szCs w:val="22"/>
                <w:lang w:val="en-US" w:eastAsia="zh-CN" w:bidi="ar-SA"/>
              </w:rPr>
            </w:pPr>
            <w:r>
              <w:rPr>
                <w:rFonts w:hint="eastAsia"/>
                <w:highlight w:val="none"/>
                <w:lang w:val="en-US" w:eastAsia="zh-CN"/>
              </w:rPr>
              <w:t>喷塑废气处理设施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2"/>
            <w:shd w:val="clear" w:color="auto" w:fill="auto"/>
            <w:vAlign w:val="center"/>
          </w:tcPr>
          <w:p>
            <w:pPr>
              <w:jc w:val="center"/>
              <w:rPr>
                <w:rFonts w:hint="eastAsia"/>
                <w:highlight w:val="none"/>
                <w:lang w:val="en-US" w:eastAsia="zh-CN"/>
              </w:rPr>
            </w:pPr>
            <w:r>
              <w:rPr>
                <w:rFonts w:hint="eastAsia"/>
                <w:highlight w:val="none"/>
                <w:lang w:val="en-US" w:eastAsia="zh-CN"/>
              </w:rPr>
              <w:drawing>
                <wp:inline distT="0" distB="0" distL="114300" distR="114300">
                  <wp:extent cx="5264785" cy="3950335"/>
                  <wp:effectExtent l="0" t="0" r="12065" b="12065"/>
                  <wp:docPr id="15" name="图片 15" descr="烘干废气集气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烘干废气集气罩"/>
                          <pic:cNvPicPr>
                            <a:picLocks noChangeAspect="1"/>
                          </pic:cNvPicPr>
                        </pic:nvPicPr>
                        <pic:blipFill>
                          <a:blip r:embed="rId33"/>
                          <a:stretch>
                            <a:fillRect/>
                          </a:stretch>
                        </pic:blipFill>
                        <pic:spPr>
                          <a:xfrm>
                            <a:off x="0" y="0"/>
                            <a:ext cx="5264785" cy="39503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2"/>
            <w:shd w:val="clear" w:color="auto" w:fill="auto"/>
            <w:vAlign w:val="center"/>
          </w:tcPr>
          <w:p>
            <w:pPr>
              <w:jc w:val="center"/>
              <w:rPr>
                <w:rFonts w:hint="default"/>
                <w:highlight w:val="none"/>
                <w:lang w:val="en-US" w:eastAsia="zh-CN"/>
              </w:rPr>
            </w:pPr>
            <w:r>
              <w:rPr>
                <w:rFonts w:hint="eastAsia"/>
                <w:highlight w:val="none"/>
                <w:lang w:val="en-US" w:eastAsia="zh-CN"/>
              </w:rPr>
              <w:t>烘干、固化废气收集管道、调漆废气收集管道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500" w:type="pct"/>
            <w:shd w:val="clear" w:color="auto" w:fill="auto"/>
            <w:vAlign w:val="center"/>
          </w:tcPr>
          <w:p>
            <w:pPr>
              <w:jc w:val="center"/>
              <w:rPr>
                <w:rFonts w:hint="eastAsia"/>
                <w:highlight w:val="none"/>
                <w:lang w:val="en-US" w:eastAsia="zh-CN"/>
              </w:rPr>
            </w:pPr>
            <w:r>
              <w:rPr>
                <w:rFonts w:hint="eastAsia"/>
                <w:highlight w:val="none"/>
                <w:lang w:val="en-US" w:eastAsia="zh-CN"/>
              </w:rPr>
              <w:drawing>
                <wp:inline distT="0" distB="0" distL="114300" distR="114300">
                  <wp:extent cx="2551430" cy="1913890"/>
                  <wp:effectExtent l="0" t="0" r="1270" b="10160"/>
                  <wp:docPr id="16" name="图片 16" descr="调漆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调漆房"/>
                          <pic:cNvPicPr>
                            <a:picLocks noChangeAspect="1"/>
                          </pic:cNvPicPr>
                        </pic:nvPicPr>
                        <pic:blipFill>
                          <a:blip r:embed="rId34"/>
                          <a:stretch>
                            <a:fillRect/>
                          </a:stretch>
                        </pic:blipFill>
                        <pic:spPr>
                          <a:xfrm>
                            <a:off x="0" y="0"/>
                            <a:ext cx="2551430" cy="1913890"/>
                          </a:xfrm>
                          <a:prstGeom prst="rect">
                            <a:avLst/>
                          </a:prstGeom>
                        </pic:spPr>
                      </pic:pic>
                    </a:graphicData>
                  </a:graphic>
                </wp:inline>
              </w:drawing>
            </w:r>
          </w:p>
        </w:tc>
        <w:tc>
          <w:tcPr>
            <w:tcW w:w="2500" w:type="pct"/>
            <w:shd w:val="clear" w:color="auto" w:fill="auto"/>
            <w:vAlign w:val="center"/>
          </w:tcPr>
          <w:p>
            <w:pPr>
              <w:jc w:val="center"/>
              <w:rPr>
                <w:rFonts w:hint="eastAsia"/>
                <w:highlight w:val="none"/>
                <w:lang w:val="en-US" w:eastAsia="zh-CN"/>
              </w:rPr>
            </w:pPr>
            <w:r>
              <w:rPr>
                <w:rFonts w:hint="eastAsia"/>
                <w:highlight w:val="none"/>
                <w:lang w:val="en-US" w:eastAsia="zh-CN"/>
              </w:rPr>
              <w:drawing>
                <wp:inline distT="0" distB="0" distL="114300" distR="114300">
                  <wp:extent cx="2551430" cy="1913890"/>
                  <wp:effectExtent l="0" t="0" r="1270" b="10160"/>
                  <wp:docPr id="17" name="图片 17" descr="水帘喷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水帘喷台"/>
                          <pic:cNvPicPr>
                            <a:picLocks noChangeAspect="1"/>
                          </pic:cNvPicPr>
                        </pic:nvPicPr>
                        <pic:blipFill>
                          <a:blip r:embed="rId35"/>
                          <a:stretch>
                            <a:fillRect/>
                          </a:stretch>
                        </pic:blipFill>
                        <pic:spPr>
                          <a:xfrm>
                            <a:off x="0" y="0"/>
                            <a:ext cx="2551430" cy="1913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500" w:type="pct"/>
            <w:shd w:val="clear" w:color="auto" w:fill="auto"/>
            <w:vAlign w:val="center"/>
          </w:tcPr>
          <w:p>
            <w:pPr>
              <w:jc w:val="center"/>
              <w:rPr>
                <w:rFonts w:hint="default"/>
                <w:highlight w:val="none"/>
                <w:lang w:val="en-US" w:eastAsia="zh-CN"/>
              </w:rPr>
            </w:pPr>
            <w:r>
              <w:rPr>
                <w:rFonts w:hint="eastAsia"/>
                <w:highlight w:val="none"/>
                <w:lang w:val="en-US" w:eastAsia="zh-CN"/>
              </w:rPr>
              <w:t>调漆房</w:t>
            </w:r>
          </w:p>
        </w:tc>
        <w:tc>
          <w:tcPr>
            <w:tcW w:w="2500" w:type="pct"/>
            <w:shd w:val="clear" w:color="auto" w:fill="auto"/>
            <w:vAlign w:val="center"/>
          </w:tcPr>
          <w:p>
            <w:pPr>
              <w:jc w:val="center"/>
              <w:rPr>
                <w:rFonts w:hint="default"/>
                <w:highlight w:val="none"/>
                <w:lang w:val="en-US" w:eastAsia="zh-CN"/>
              </w:rPr>
            </w:pPr>
            <w:r>
              <w:rPr>
                <w:rFonts w:hint="eastAsia"/>
                <w:highlight w:val="none"/>
                <w:lang w:val="en-US" w:eastAsia="zh-CN"/>
              </w:rPr>
              <w:t>水帘喷台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500" w:type="pct"/>
            <w:shd w:val="clear" w:color="auto" w:fill="auto"/>
            <w:vAlign w:val="center"/>
          </w:tcPr>
          <w:p>
            <w:pPr>
              <w:jc w:val="center"/>
              <w:rPr>
                <w:rFonts w:hint="eastAsia"/>
                <w:highlight w:val="none"/>
                <w:lang w:val="en-US" w:eastAsia="zh-CN"/>
              </w:rPr>
            </w:pPr>
            <w:r>
              <w:rPr>
                <w:rFonts w:hint="eastAsia"/>
                <w:highlight w:val="none"/>
                <w:lang w:val="en-US" w:eastAsia="zh-CN"/>
              </w:rPr>
              <w:drawing>
                <wp:inline distT="0" distB="0" distL="114300" distR="114300">
                  <wp:extent cx="2551430" cy="1913890"/>
                  <wp:effectExtent l="0" t="0" r="1270" b="10160"/>
                  <wp:docPr id="19" name="图片 19" descr="催化燃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催化燃烧1"/>
                          <pic:cNvPicPr>
                            <a:picLocks noChangeAspect="1"/>
                          </pic:cNvPicPr>
                        </pic:nvPicPr>
                        <pic:blipFill>
                          <a:blip r:embed="rId36"/>
                          <a:stretch>
                            <a:fillRect/>
                          </a:stretch>
                        </pic:blipFill>
                        <pic:spPr>
                          <a:xfrm>
                            <a:off x="0" y="0"/>
                            <a:ext cx="2551430" cy="1913890"/>
                          </a:xfrm>
                          <a:prstGeom prst="rect">
                            <a:avLst/>
                          </a:prstGeom>
                        </pic:spPr>
                      </pic:pic>
                    </a:graphicData>
                  </a:graphic>
                </wp:inline>
              </w:drawing>
            </w:r>
          </w:p>
        </w:tc>
        <w:tc>
          <w:tcPr>
            <w:tcW w:w="2500" w:type="pct"/>
            <w:shd w:val="clear" w:color="auto" w:fill="auto"/>
            <w:vAlign w:val="center"/>
          </w:tcPr>
          <w:p>
            <w:pPr>
              <w:jc w:val="center"/>
              <w:rPr>
                <w:rFonts w:hint="eastAsia"/>
                <w:highlight w:val="none"/>
                <w:lang w:val="en-US" w:eastAsia="zh-CN"/>
              </w:rPr>
            </w:pPr>
            <w:r>
              <w:rPr>
                <w:rFonts w:hint="eastAsia"/>
                <w:highlight w:val="none"/>
                <w:lang w:val="en-US" w:eastAsia="zh-CN"/>
              </w:rPr>
              <w:drawing>
                <wp:inline distT="0" distB="0" distL="114300" distR="114300">
                  <wp:extent cx="2551430" cy="1913890"/>
                  <wp:effectExtent l="0" t="0" r="1270" b="10160"/>
                  <wp:docPr id="18" name="图片 18" descr="催化燃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催化燃烧2"/>
                          <pic:cNvPicPr>
                            <a:picLocks noChangeAspect="1"/>
                          </pic:cNvPicPr>
                        </pic:nvPicPr>
                        <pic:blipFill>
                          <a:blip r:embed="rId37"/>
                          <a:stretch>
                            <a:fillRect/>
                          </a:stretch>
                        </pic:blipFill>
                        <pic:spPr>
                          <a:xfrm>
                            <a:off x="0" y="0"/>
                            <a:ext cx="2551430" cy="1913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500" w:type="pct"/>
            <w:shd w:val="clear" w:color="auto" w:fill="auto"/>
            <w:vAlign w:val="center"/>
          </w:tcPr>
          <w:p>
            <w:pPr>
              <w:jc w:val="center"/>
              <w:rPr>
                <w:rFonts w:hint="default"/>
                <w:highlight w:val="none"/>
                <w:lang w:val="en-US" w:eastAsia="zh-CN"/>
              </w:rPr>
            </w:pPr>
            <w:r>
              <w:rPr>
                <w:rFonts w:hint="eastAsia"/>
                <w:highlight w:val="none"/>
                <w:lang w:val="en-US" w:eastAsia="zh-CN"/>
              </w:rPr>
              <w:t>催化燃烧废气“</w:t>
            </w:r>
            <w:r>
              <w:rPr>
                <w:rFonts w:hint="default" w:ascii="Times New Roman" w:hAnsi="Times New Roman" w:eastAsia="宋体" w:cs="Times New Roman"/>
                <w:color w:val="000000"/>
                <w:kern w:val="0"/>
                <w:sz w:val="21"/>
                <w:szCs w:val="21"/>
                <w:lang w:val="en-US" w:eastAsia="zh-CN" w:bidi="ar"/>
              </w:rPr>
              <w:t>水旋塔+干式过滤</w:t>
            </w:r>
            <w:r>
              <w:rPr>
                <w:rFonts w:hint="eastAsia"/>
                <w:highlight w:val="none"/>
                <w:lang w:val="en-US" w:eastAsia="zh-CN"/>
              </w:rPr>
              <w:t>”</w:t>
            </w:r>
            <w:r>
              <w:rPr>
                <w:rFonts w:hint="eastAsia" w:ascii="Times New Roman" w:hAnsi="Times New Roman" w:eastAsia="宋体" w:cs="Times New Roman"/>
                <w:color w:val="000000"/>
                <w:kern w:val="0"/>
                <w:sz w:val="21"/>
                <w:szCs w:val="21"/>
                <w:lang w:val="en-US" w:eastAsia="zh-CN" w:bidi="ar"/>
              </w:rPr>
              <w:t>装置部分</w:t>
            </w:r>
          </w:p>
        </w:tc>
        <w:tc>
          <w:tcPr>
            <w:tcW w:w="2500" w:type="pct"/>
            <w:shd w:val="clear" w:color="auto" w:fill="auto"/>
            <w:vAlign w:val="center"/>
          </w:tcPr>
          <w:p>
            <w:pPr>
              <w:jc w:val="center"/>
              <w:rPr>
                <w:rFonts w:hint="eastAsia"/>
                <w:highlight w:val="none"/>
                <w:lang w:val="en-US" w:eastAsia="zh-CN"/>
              </w:rPr>
            </w:pPr>
            <w:r>
              <w:rPr>
                <w:rFonts w:hint="eastAsia"/>
                <w:highlight w:val="none"/>
                <w:lang w:val="en-US" w:eastAsia="zh-CN"/>
              </w:rPr>
              <w:t>催化燃烧废气“</w:t>
            </w:r>
            <w:r>
              <w:rPr>
                <w:rFonts w:hint="eastAsia" w:ascii="Times New Roman" w:hAnsi="Times New Roman" w:eastAsia="宋体" w:cs="Times New Roman"/>
                <w:color w:val="000000"/>
                <w:kern w:val="0"/>
                <w:sz w:val="21"/>
                <w:szCs w:val="21"/>
                <w:lang w:val="en-US" w:eastAsia="zh-CN" w:bidi="ar"/>
              </w:rPr>
              <w:t>活性炭吸附</w:t>
            </w:r>
            <w:r>
              <w:rPr>
                <w:rFonts w:hint="eastAsia"/>
                <w:highlight w:val="none"/>
                <w:lang w:val="en-US" w:eastAsia="zh-CN"/>
              </w:rPr>
              <w:t>”</w:t>
            </w:r>
            <w:r>
              <w:rPr>
                <w:rFonts w:hint="eastAsia" w:ascii="Times New Roman" w:hAnsi="Times New Roman" w:eastAsia="宋体" w:cs="Times New Roman"/>
                <w:color w:val="000000"/>
                <w:kern w:val="0"/>
                <w:sz w:val="21"/>
                <w:szCs w:val="21"/>
                <w:lang w:val="en-US" w:eastAsia="zh-CN" w:bidi="ar"/>
              </w:rPr>
              <w:t>装置部分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2"/>
            <w:shd w:val="clear" w:color="auto" w:fill="auto"/>
            <w:vAlign w:val="center"/>
          </w:tcPr>
          <w:p>
            <w:pPr>
              <w:jc w:val="center"/>
              <w:rPr>
                <w:rFonts w:hint="eastAsia"/>
                <w:highlight w:val="none"/>
                <w:lang w:val="en-US" w:eastAsia="zh-CN"/>
              </w:rPr>
            </w:pPr>
            <w:r>
              <w:rPr>
                <w:rFonts w:hint="eastAsia"/>
                <w:highlight w:val="none"/>
                <w:lang w:val="en-US" w:eastAsia="zh-CN"/>
              </w:rPr>
              <w:drawing>
                <wp:inline distT="0" distB="0" distL="114300" distR="114300">
                  <wp:extent cx="4701540" cy="3527425"/>
                  <wp:effectExtent l="0" t="0" r="3810" b="15875"/>
                  <wp:docPr id="32" name="图片 32" descr="催化燃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催化燃烧"/>
                          <pic:cNvPicPr>
                            <a:picLocks noChangeAspect="1"/>
                          </pic:cNvPicPr>
                        </pic:nvPicPr>
                        <pic:blipFill>
                          <a:blip r:embed="rId38"/>
                          <a:stretch>
                            <a:fillRect/>
                          </a:stretch>
                        </pic:blipFill>
                        <pic:spPr>
                          <a:xfrm>
                            <a:off x="0" y="0"/>
                            <a:ext cx="4701540" cy="35274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2"/>
            <w:shd w:val="clear" w:color="auto" w:fill="auto"/>
            <w:vAlign w:val="center"/>
          </w:tcPr>
          <w:p>
            <w:pPr>
              <w:jc w:val="center"/>
              <w:rPr>
                <w:rFonts w:hint="default"/>
                <w:highlight w:val="none"/>
                <w:lang w:val="en-US" w:eastAsia="zh-CN"/>
              </w:rPr>
            </w:pPr>
            <w:r>
              <w:rPr>
                <w:rFonts w:hint="eastAsia"/>
                <w:highlight w:val="none"/>
                <w:lang w:val="en-US" w:eastAsia="zh-CN"/>
              </w:rPr>
              <w:t>催化燃烧废气处理设施整体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000" w:type="pct"/>
            <w:gridSpan w:val="2"/>
            <w:shd w:val="clear" w:color="auto" w:fill="auto"/>
            <w:vAlign w:val="center"/>
          </w:tcPr>
          <w:p>
            <w:pPr>
              <w:jc w:val="center"/>
              <w:rPr>
                <w:rFonts w:hint="eastAsia"/>
                <w:highlight w:val="none"/>
                <w:lang w:val="en-US" w:eastAsia="zh-CN"/>
              </w:rPr>
            </w:pPr>
            <w:r>
              <w:rPr>
                <w:rFonts w:hint="eastAsia" w:ascii="Times New Roman" w:hAnsi="Times New Roman" w:eastAsia="宋体" w:cs="Times New Roman"/>
                <w:b/>
                <w:bCs/>
                <w:szCs w:val="21"/>
                <w:lang w:val="en-US" w:eastAsia="zh-CN"/>
              </w:rPr>
              <w:t xml:space="preserve">图 </w:t>
            </w:r>
            <w:r>
              <w:rPr>
                <w:rFonts w:hint="default" w:ascii="Times New Roman" w:hAnsi="Times New Roman" w:eastAsia="宋体" w:cs="Times New Roman"/>
                <w:b/>
                <w:bCs/>
                <w:szCs w:val="21"/>
                <w:lang w:val="en-US" w:eastAsia="zh-CN"/>
              </w:rPr>
              <w:t>4.</w:t>
            </w: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en-US" w:eastAsia="zh-CN"/>
              </w:rPr>
              <w:t>2-</w:t>
            </w:r>
            <w:r>
              <w:rPr>
                <w:rFonts w:hint="eastAsia" w:ascii="Times New Roman" w:hAnsi="Times New Roman" w:eastAsia="宋体" w:cs="Times New Roman"/>
                <w:b/>
                <w:bCs/>
                <w:szCs w:val="21"/>
                <w:lang w:val="en-US" w:eastAsia="zh-CN"/>
              </w:rPr>
              <w:t>2废气处理工</w:t>
            </w:r>
            <w:r>
              <w:rPr>
                <w:rFonts w:hint="eastAsia" w:ascii="Times New Roman" w:hAnsi="Times New Roman" w:eastAsia="宋体" w:cs="Times New Roman"/>
                <w:b/>
                <w:bCs/>
                <w:szCs w:val="21"/>
                <w:highlight w:val="none"/>
                <w:lang w:val="en-US" w:eastAsia="zh-CN"/>
              </w:rPr>
              <w:t>艺流程图及设施图片</w:t>
            </w:r>
          </w:p>
        </w:tc>
      </w:tr>
    </w:tbl>
    <w:p>
      <w:pPr>
        <w:pStyle w:val="6"/>
      </w:pPr>
      <w:bookmarkStart w:id="45" w:name="_Toc1090"/>
      <w:r>
        <w:rPr>
          <w:rFonts w:hint="eastAsia"/>
        </w:rPr>
        <w:t>4.1.3噪声</w:t>
      </w:r>
      <w:bookmarkEnd w:id="45"/>
    </w:p>
    <w:p>
      <w:pPr>
        <w:snapToGrid w:val="0"/>
        <w:spacing w:line="360" w:lineRule="auto"/>
        <w:ind w:firstLine="480" w:firstLineChars="200"/>
        <w:jc w:val="left"/>
        <w:rPr>
          <w:rFonts w:ascii="Times New Roman" w:hAnsi="Times New Roman" w:eastAsia="宋体" w:cs="Times New Roman"/>
          <w:color w:val="auto"/>
          <w:sz w:val="24"/>
          <w:szCs w:val="24"/>
        </w:rPr>
      </w:pPr>
      <w:bookmarkStart w:id="46" w:name="_Hlk16239753"/>
      <w:r>
        <w:rPr>
          <w:rFonts w:hint="eastAsia"/>
          <w:color w:val="auto"/>
          <w:sz w:val="24"/>
        </w:rPr>
        <w:t>本项目噪声主要来</w:t>
      </w:r>
      <w:r>
        <w:rPr>
          <w:rFonts w:hint="eastAsia"/>
          <w:color w:val="auto"/>
          <w:sz w:val="24"/>
          <w:highlight w:val="none"/>
        </w:rPr>
        <w:t>自生产机械设备</w:t>
      </w:r>
      <w:r>
        <w:rPr>
          <w:rFonts w:hint="eastAsia"/>
          <w:color w:val="auto"/>
          <w:sz w:val="24"/>
          <w:highlight w:val="none"/>
          <w:lang w:eastAsia="zh-CN"/>
        </w:rPr>
        <w:t>（</w:t>
      </w:r>
      <w:r>
        <w:rPr>
          <w:rFonts w:hint="eastAsia"/>
          <w:color w:val="auto"/>
          <w:sz w:val="24"/>
          <w:highlight w:val="none"/>
          <w:lang w:val="en-US" w:eastAsia="zh-CN"/>
        </w:rPr>
        <w:t>冲床、锯角机、切割机、折弯机、剪板机</w:t>
      </w:r>
      <w:r>
        <w:rPr>
          <w:rFonts w:hint="eastAsia"/>
          <w:color w:val="auto"/>
          <w:sz w:val="24"/>
          <w:highlight w:val="none"/>
        </w:rPr>
        <w:t>等</w:t>
      </w:r>
      <w:r>
        <w:rPr>
          <w:rFonts w:hint="eastAsia"/>
          <w:color w:val="auto"/>
          <w:sz w:val="24"/>
          <w:highlight w:val="none"/>
          <w:lang w:eastAsia="zh-CN"/>
        </w:rPr>
        <w:t>）</w:t>
      </w:r>
      <w:r>
        <w:rPr>
          <w:rFonts w:hint="eastAsia"/>
          <w:color w:val="auto"/>
          <w:sz w:val="24"/>
          <w:highlight w:val="none"/>
        </w:rPr>
        <w:t>运行过程中产</w:t>
      </w:r>
      <w:r>
        <w:rPr>
          <w:rFonts w:hint="eastAsia"/>
          <w:color w:val="auto"/>
          <w:sz w:val="24"/>
        </w:rPr>
        <w:t>生的噪声</w:t>
      </w:r>
      <w:r>
        <w:rPr>
          <w:rFonts w:ascii="Times New Roman" w:hAnsi="Times New Roman" w:eastAsia="宋体" w:cs="Times New Roman"/>
          <w:color w:val="auto"/>
          <w:sz w:val="24"/>
          <w:szCs w:val="24"/>
        </w:rPr>
        <w:t>。采取的主要控制措施有：</w:t>
      </w:r>
    </w:p>
    <w:bookmarkEnd w:id="46"/>
    <w:p>
      <w:pPr>
        <w:snapToGrid w:val="0"/>
        <w:spacing w:line="360" w:lineRule="auto"/>
        <w:ind w:firstLine="480" w:firstLineChars="200"/>
        <w:jc w:val="left"/>
        <w:rPr>
          <w:rFonts w:hint="default" w:ascii="Times New Roman" w:hAnsi="Times New Roman" w:cs="Times New Roman"/>
          <w:color w:val="auto"/>
          <w:sz w:val="24"/>
          <w:lang w:val="en-US" w:eastAsia="zh-CN"/>
        </w:rPr>
      </w:pPr>
      <w:r>
        <w:rPr>
          <w:rFonts w:hint="default"/>
          <w:color w:val="auto"/>
          <w:sz w:val="24"/>
        </w:rPr>
        <w:t>企业合理安排作业时间，减少对周边企业的噪声影响；平时加强设备的维护，确保设备处于良好的运转状态，杜绝因设备不正常运转时产生的高噪声现象</w:t>
      </w:r>
      <w:r>
        <w:rPr>
          <w:rFonts w:hint="default" w:ascii="Times New Roman" w:hAnsi="Times New Roman" w:cs="Times New Roman"/>
          <w:color w:val="auto"/>
          <w:sz w:val="24"/>
          <w:lang w:val="en-US" w:eastAsia="zh-CN"/>
        </w:rPr>
        <w:t>。</w:t>
      </w:r>
    </w:p>
    <w:p>
      <w:pPr>
        <w:spacing w:line="36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表4.1</w:t>
      </w:r>
      <w:r>
        <w:rPr>
          <w:rFonts w:hint="default" w:ascii="Times New Roman" w:hAnsi="Times New Roman" w:eastAsia="宋体" w:cs="Times New Roman"/>
          <w:b/>
          <w:bCs/>
          <w:sz w:val="21"/>
          <w:szCs w:val="21"/>
          <w:highlight w:val="none"/>
          <w:lang w:val="en-US" w:eastAsia="zh-CN"/>
        </w:rPr>
        <w:t>.3</w:t>
      </w:r>
      <w:r>
        <w:rPr>
          <w:rFonts w:hint="default" w:ascii="Times New Roman" w:hAnsi="Times New Roman" w:eastAsia="宋体" w:cs="Times New Roman"/>
          <w:b/>
          <w:bCs/>
          <w:sz w:val="21"/>
          <w:szCs w:val="21"/>
          <w:highlight w:val="none"/>
        </w:rPr>
        <w:t xml:space="preserve">-1 </w:t>
      </w:r>
      <w:r>
        <w:rPr>
          <w:rFonts w:hint="default" w:ascii="Times New Roman" w:hAnsi="Times New Roman" w:eastAsia="宋体" w:cs="Times New Roman"/>
          <w:b/>
          <w:bCs/>
          <w:sz w:val="21"/>
          <w:szCs w:val="21"/>
          <w:highlight w:val="none"/>
          <w:lang w:val="en-US" w:eastAsia="zh-CN"/>
        </w:rPr>
        <w:t>项目噪声治理情况表</w:t>
      </w:r>
    </w:p>
    <w:tbl>
      <w:tblPr>
        <w:tblStyle w:val="31"/>
        <w:tblW w:w="484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338"/>
        <w:gridCol w:w="1108"/>
        <w:gridCol w:w="2088"/>
        <w:gridCol w:w="19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785" w:type="dxa"/>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噪声源设备名称</w:t>
            </w:r>
          </w:p>
        </w:tc>
        <w:tc>
          <w:tcPr>
            <w:tcW w:w="1338" w:type="dxa"/>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 xml:space="preserve">位置 </w:t>
            </w:r>
          </w:p>
        </w:tc>
        <w:tc>
          <w:tcPr>
            <w:tcW w:w="1108" w:type="dxa"/>
            <w:tcBorders>
              <w:tl2br w:val="nil"/>
              <w:tr2bl w:val="nil"/>
            </w:tcBorders>
            <w:vAlign w:val="center"/>
          </w:tcPr>
          <w:p>
            <w:pPr>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数量（台）</w:t>
            </w:r>
          </w:p>
        </w:tc>
        <w:tc>
          <w:tcPr>
            <w:tcW w:w="2088" w:type="dxa"/>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源强（dB(A)）</w:t>
            </w:r>
          </w:p>
        </w:tc>
        <w:tc>
          <w:tcPr>
            <w:tcW w:w="1935" w:type="dxa"/>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治理设施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85"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冲床</w:t>
            </w:r>
          </w:p>
        </w:tc>
        <w:tc>
          <w:tcPr>
            <w:tcW w:w="1338"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金工车间</w:t>
            </w:r>
          </w:p>
        </w:tc>
        <w:tc>
          <w:tcPr>
            <w:tcW w:w="1108" w:type="dxa"/>
            <w:tcBorders>
              <w:tl2br w:val="nil"/>
              <w:tr2bl w:val="nil"/>
            </w:tcBorders>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24</w:t>
            </w:r>
          </w:p>
        </w:tc>
        <w:tc>
          <w:tcPr>
            <w:tcW w:w="2088"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82（等效后：95.8）</w:t>
            </w:r>
          </w:p>
        </w:tc>
        <w:tc>
          <w:tcPr>
            <w:tcW w:w="1935" w:type="dxa"/>
            <w:vMerge w:val="restart"/>
            <w:tcBorders>
              <w:tl2br w:val="nil"/>
              <w:tr2bl w:val="nil"/>
            </w:tcBorders>
            <w:vAlign w:val="center"/>
          </w:tcPr>
          <w:p>
            <w:pPr>
              <w:jc w:val="center"/>
              <w:rPr>
                <w:rFonts w:hint="default" w:ascii="Times New Roman" w:hAnsi="Times New Roman" w:eastAsia="宋体" w:cs="Times New Roman"/>
                <w:sz w:val="21"/>
                <w:szCs w:val="21"/>
                <w:highlight w:val="none"/>
                <w:lang w:eastAsia="zh-CN"/>
              </w:rPr>
            </w:pPr>
            <w:r>
              <w:rPr>
                <w:rFonts w:hint="eastAsia"/>
              </w:rPr>
              <w:t>砖混结构，采用低噪声设备，合理车间布局，采取减振措施，加强设备维护和管理等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85"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锯角机</w:t>
            </w:r>
          </w:p>
        </w:tc>
        <w:tc>
          <w:tcPr>
            <w:tcW w:w="1338"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金工车间</w:t>
            </w:r>
          </w:p>
        </w:tc>
        <w:tc>
          <w:tcPr>
            <w:tcW w:w="1108" w:type="dxa"/>
            <w:tcBorders>
              <w:tl2br w:val="nil"/>
              <w:tr2bl w:val="nil"/>
            </w:tcBorders>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4</w:t>
            </w:r>
          </w:p>
        </w:tc>
        <w:tc>
          <w:tcPr>
            <w:tcW w:w="2088"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78（等效后：82.8</w:t>
            </w:r>
            <w:r>
              <w:rPr>
                <w:rFonts w:hint="eastAsia" w:ascii="Times New Roman" w:hAnsi="Times New Roman" w:eastAsia="宋体" w:cs="Times New Roman"/>
                <w:sz w:val="21"/>
                <w:szCs w:val="21"/>
                <w:highlight w:val="none"/>
                <w:lang w:val="en-US" w:eastAsia="zh-CN"/>
              </w:rPr>
              <w:t>）</w:t>
            </w:r>
          </w:p>
        </w:tc>
        <w:tc>
          <w:tcPr>
            <w:tcW w:w="1935" w:type="dxa"/>
            <w:vMerge w:val="continue"/>
            <w:tcBorders>
              <w:tl2br w:val="nil"/>
              <w:tr2bl w:val="nil"/>
            </w:tcBorders>
            <w:vAlign w:val="center"/>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85" w:type="dxa"/>
            <w:tcBorders>
              <w:tl2br w:val="nil"/>
              <w:tr2bl w:val="nil"/>
            </w:tcBorders>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开槽机</w:t>
            </w:r>
          </w:p>
        </w:tc>
        <w:tc>
          <w:tcPr>
            <w:tcW w:w="1338"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金工车间</w:t>
            </w:r>
          </w:p>
        </w:tc>
        <w:tc>
          <w:tcPr>
            <w:tcW w:w="1108" w:type="dxa"/>
            <w:tcBorders>
              <w:tl2br w:val="nil"/>
              <w:tr2bl w:val="nil"/>
            </w:tcBorders>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2</w:t>
            </w:r>
          </w:p>
        </w:tc>
        <w:tc>
          <w:tcPr>
            <w:tcW w:w="2088"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78（等效后：81.0</w:t>
            </w:r>
            <w:r>
              <w:rPr>
                <w:rFonts w:hint="eastAsia" w:ascii="Times New Roman" w:hAnsi="Times New Roman" w:eastAsia="宋体" w:cs="Times New Roman"/>
                <w:sz w:val="21"/>
                <w:szCs w:val="21"/>
                <w:highlight w:val="none"/>
                <w:lang w:val="en-US" w:eastAsia="zh-CN"/>
              </w:rPr>
              <w:t>）</w:t>
            </w:r>
          </w:p>
        </w:tc>
        <w:tc>
          <w:tcPr>
            <w:tcW w:w="1935" w:type="dxa"/>
            <w:vMerge w:val="continue"/>
            <w:tcBorders>
              <w:tl2br w:val="nil"/>
              <w:tr2bl w:val="nil"/>
            </w:tcBorders>
            <w:vAlign w:val="center"/>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开平机</w:t>
            </w:r>
          </w:p>
        </w:tc>
        <w:tc>
          <w:tcPr>
            <w:tcW w:w="133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金工车间</w:t>
            </w:r>
          </w:p>
        </w:tc>
        <w:tc>
          <w:tcPr>
            <w:tcW w:w="1108"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2</w:t>
            </w:r>
          </w:p>
        </w:tc>
        <w:tc>
          <w:tcPr>
            <w:tcW w:w="208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77</w:t>
            </w:r>
          </w:p>
        </w:tc>
        <w:tc>
          <w:tcPr>
            <w:tcW w:w="1935" w:type="dxa"/>
            <w:vMerge w:val="continue"/>
            <w:tcBorders/>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剪板机</w:t>
            </w:r>
          </w:p>
        </w:tc>
        <w:tc>
          <w:tcPr>
            <w:tcW w:w="133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金工车间</w:t>
            </w:r>
          </w:p>
        </w:tc>
        <w:tc>
          <w:tcPr>
            <w:tcW w:w="1108"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2</w:t>
            </w:r>
          </w:p>
        </w:tc>
        <w:tc>
          <w:tcPr>
            <w:tcW w:w="2088" w:type="dxa"/>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78（等效后：81.0</w:t>
            </w:r>
            <w:r>
              <w:rPr>
                <w:rFonts w:hint="eastAsia" w:ascii="Times New Roman" w:hAnsi="Times New Roman" w:eastAsia="宋体" w:cs="Times New Roman"/>
                <w:sz w:val="21"/>
                <w:szCs w:val="21"/>
                <w:highlight w:val="none"/>
                <w:lang w:val="en-US" w:eastAsia="zh-CN"/>
              </w:rPr>
              <w:t>）</w:t>
            </w:r>
          </w:p>
        </w:tc>
        <w:tc>
          <w:tcPr>
            <w:tcW w:w="1935" w:type="dxa"/>
            <w:vMerge w:val="continue"/>
            <w:tcBorders/>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折弯机</w:t>
            </w:r>
          </w:p>
        </w:tc>
        <w:tc>
          <w:tcPr>
            <w:tcW w:w="133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金工车间</w:t>
            </w:r>
          </w:p>
        </w:tc>
        <w:tc>
          <w:tcPr>
            <w:tcW w:w="1108"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6</w:t>
            </w:r>
          </w:p>
        </w:tc>
        <w:tc>
          <w:tcPr>
            <w:tcW w:w="2088" w:type="dxa"/>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78（等效后：85.0</w:t>
            </w:r>
            <w:r>
              <w:rPr>
                <w:rFonts w:hint="eastAsia" w:ascii="Times New Roman" w:hAnsi="Times New Roman" w:eastAsia="宋体" w:cs="Times New Roman"/>
                <w:sz w:val="21"/>
                <w:szCs w:val="21"/>
                <w:highlight w:val="none"/>
                <w:lang w:val="en-US" w:eastAsia="zh-CN"/>
              </w:rPr>
              <w:t>）</w:t>
            </w:r>
          </w:p>
        </w:tc>
        <w:tc>
          <w:tcPr>
            <w:tcW w:w="1935" w:type="dxa"/>
            <w:vMerge w:val="continue"/>
            <w:tcBorders/>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折边机</w:t>
            </w:r>
          </w:p>
        </w:tc>
        <w:tc>
          <w:tcPr>
            <w:tcW w:w="133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金工车间</w:t>
            </w:r>
          </w:p>
        </w:tc>
        <w:tc>
          <w:tcPr>
            <w:tcW w:w="1108"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3</w:t>
            </w:r>
          </w:p>
        </w:tc>
        <w:tc>
          <w:tcPr>
            <w:tcW w:w="2088" w:type="dxa"/>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78（等效后：82.8</w:t>
            </w:r>
            <w:r>
              <w:rPr>
                <w:rFonts w:hint="eastAsia" w:ascii="Times New Roman" w:hAnsi="Times New Roman" w:eastAsia="宋体" w:cs="Times New Roman"/>
                <w:sz w:val="21"/>
                <w:szCs w:val="21"/>
                <w:highlight w:val="none"/>
                <w:lang w:val="en-US" w:eastAsia="zh-CN"/>
              </w:rPr>
              <w:t>）</w:t>
            </w:r>
          </w:p>
        </w:tc>
        <w:tc>
          <w:tcPr>
            <w:tcW w:w="1935" w:type="dxa"/>
            <w:vMerge w:val="continue"/>
            <w:tcBorders/>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激光切割机</w:t>
            </w:r>
          </w:p>
        </w:tc>
        <w:tc>
          <w:tcPr>
            <w:tcW w:w="133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金工车间</w:t>
            </w:r>
          </w:p>
        </w:tc>
        <w:tc>
          <w:tcPr>
            <w:tcW w:w="1108"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3</w:t>
            </w:r>
          </w:p>
        </w:tc>
        <w:tc>
          <w:tcPr>
            <w:tcW w:w="2088" w:type="dxa"/>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83.0（等效后：86.0)</w:t>
            </w:r>
          </w:p>
        </w:tc>
        <w:tc>
          <w:tcPr>
            <w:tcW w:w="1935" w:type="dxa"/>
            <w:vMerge w:val="continue"/>
            <w:tcBorders/>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滚花机</w:t>
            </w:r>
          </w:p>
        </w:tc>
        <w:tc>
          <w:tcPr>
            <w:tcW w:w="133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金工车间</w:t>
            </w:r>
          </w:p>
        </w:tc>
        <w:tc>
          <w:tcPr>
            <w:tcW w:w="1108"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w:t>
            </w:r>
          </w:p>
        </w:tc>
        <w:tc>
          <w:tcPr>
            <w:tcW w:w="208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79</w:t>
            </w:r>
          </w:p>
        </w:tc>
        <w:tc>
          <w:tcPr>
            <w:tcW w:w="1935" w:type="dxa"/>
            <w:vMerge w:val="continue"/>
            <w:tcBorders/>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Align w:val="center"/>
          </w:tcPr>
          <w:p>
            <w:pPr>
              <w:jc w:val="center"/>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焊机</w:t>
            </w:r>
          </w:p>
        </w:tc>
        <w:tc>
          <w:tcPr>
            <w:tcW w:w="133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焊接车间</w:t>
            </w:r>
          </w:p>
        </w:tc>
        <w:tc>
          <w:tcPr>
            <w:tcW w:w="1108"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8</w:t>
            </w:r>
          </w:p>
        </w:tc>
        <w:tc>
          <w:tcPr>
            <w:tcW w:w="2088" w:type="dxa"/>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75（等效后：84.0</w:t>
            </w:r>
            <w:r>
              <w:rPr>
                <w:rFonts w:hint="eastAsia" w:ascii="Times New Roman" w:hAnsi="Times New Roman" w:eastAsia="宋体" w:cs="Times New Roman"/>
                <w:sz w:val="21"/>
                <w:szCs w:val="21"/>
                <w:highlight w:val="none"/>
                <w:lang w:val="en-US" w:eastAsia="zh-CN"/>
              </w:rPr>
              <w:t>）</w:t>
            </w:r>
          </w:p>
        </w:tc>
        <w:tc>
          <w:tcPr>
            <w:tcW w:w="1935" w:type="dxa"/>
            <w:vMerge w:val="continue"/>
            <w:tcBorders/>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喷漆流水线</w:t>
            </w:r>
          </w:p>
        </w:tc>
        <w:tc>
          <w:tcPr>
            <w:tcW w:w="133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喷漆车间</w:t>
            </w:r>
          </w:p>
        </w:tc>
        <w:tc>
          <w:tcPr>
            <w:tcW w:w="1108"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w:t>
            </w:r>
          </w:p>
        </w:tc>
        <w:tc>
          <w:tcPr>
            <w:tcW w:w="2088" w:type="dxa"/>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w:t>
            </w:r>
            <w:r>
              <w:rPr>
                <w:rFonts w:hint="eastAsia" w:ascii="Times New Roman" w:hAnsi="Times New Roman" w:eastAsia="宋体" w:cs="Times New Roman"/>
                <w:sz w:val="21"/>
                <w:szCs w:val="21"/>
                <w:highlight w:val="none"/>
                <w:lang w:val="en-US" w:eastAsia="zh-CN"/>
              </w:rPr>
              <w:t>3</w:t>
            </w:r>
          </w:p>
        </w:tc>
        <w:tc>
          <w:tcPr>
            <w:tcW w:w="1935" w:type="dxa"/>
            <w:vMerge w:val="continue"/>
            <w:tcBorders/>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喷塑流水线</w:t>
            </w:r>
          </w:p>
        </w:tc>
        <w:tc>
          <w:tcPr>
            <w:tcW w:w="133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喷塑车间</w:t>
            </w:r>
          </w:p>
        </w:tc>
        <w:tc>
          <w:tcPr>
            <w:tcW w:w="1108"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w:t>
            </w:r>
          </w:p>
        </w:tc>
        <w:tc>
          <w:tcPr>
            <w:tcW w:w="2088" w:type="dxa"/>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w:t>
            </w:r>
            <w:r>
              <w:rPr>
                <w:rFonts w:hint="eastAsia" w:ascii="Times New Roman" w:hAnsi="Times New Roman" w:eastAsia="宋体" w:cs="Times New Roman"/>
                <w:sz w:val="21"/>
                <w:szCs w:val="21"/>
                <w:highlight w:val="none"/>
                <w:lang w:val="en-US" w:eastAsia="zh-CN"/>
              </w:rPr>
              <w:t>3</w:t>
            </w:r>
          </w:p>
        </w:tc>
        <w:tc>
          <w:tcPr>
            <w:tcW w:w="1935" w:type="dxa"/>
            <w:vMerge w:val="continue"/>
            <w:tcBorders/>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冷压胶合机</w:t>
            </w:r>
          </w:p>
        </w:tc>
        <w:tc>
          <w:tcPr>
            <w:tcW w:w="133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胶合车间</w:t>
            </w:r>
          </w:p>
        </w:tc>
        <w:tc>
          <w:tcPr>
            <w:tcW w:w="1108"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w:t>
            </w:r>
          </w:p>
        </w:tc>
        <w:tc>
          <w:tcPr>
            <w:tcW w:w="208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74</w:t>
            </w:r>
          </w:p>
        </w:tc>
        <w:tc>
          <w:tcPr>
            <w:tcW w:w="1935" w:type="dxa"/>
            <w:vMerge w:val="continue"/>
            <w:tcBorders/>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装配流水线</w:t>
            </w:r>
          </w:p>
        </w:tc>
        <w:tc>
          <w:tcPr>
            <w:tcW w:w="133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装配车间</w:t>
            </w:r>
          </w:p>
        </w:tc>
        <w:tc>
          <w:tcPr>
            <w:tcW w:w="1108"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w:t>
            </w:r>
          </w:p>
        </w:tc>
        <w:tc>
          <w:tcPr>
            <w:tcW w:w="2088" w:type="dxa"/>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w:t>
            </w:r>
            <w:r>
              <w:rPr>
                <w:rFonts w:hint="eastAsia" w:ascii="Times New Roman" w:hAnsi="Times New Roman" w:eastAsia="宋体" w:cs="Times New Roman"/>
                <w:sz w:val="21"/>
                <w:szCs w:val="21"/>
                <w:highlight w:val="none"/>
                <w:lang w:val="en-US" w:eastAsia="zh-CN"/>
              </w:rPr>
              <w:t>3</w:t>
            </w:r>
          </w:p>
        </w:tc>
        <w:tc>
          <w:tcPr>
            <w:tcW w:w="1935" w:type="dxa"/>
            <w:vMerge w:val="continue"/>
            <w:tcBorders/>
          </w:tcPr>
          <w:p>
            <w:pPr>
              <w:rPr>
                <w:rFonts w:hint="default" w:ascii="Times New Roman" w:hAnsi="Times New Roman" w:eastAsia="宋体" w:cs="Times New Roman"/>
                <w:bCs/>
                <w:sz w:val="21"/>
                <w:szCs w:val="21"/>
                <w:lang w:val="en-US"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螺杆空压机</w:t>
            </w:r>
          </w:p>
        </w:tc>
        <w:tc>
          <w:tcPr>
            <w:tcW w:w="133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东侧厂房1F</w:t>
            </w:r>
          </w:p>
        </w:tc>
        <w:tc>
          <w:tcPr>
            <w:tcW w:w="1108" w:type="dxa"/>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2088"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78</w:t>
            </w:r>
          </w:p>
        </w:tc>
        <w:tc>
          <w:tcPr>
            <w:tcW w:w="1935" w:type="dxa"/>
            <w:vMerge w:val="continue"/>
            <w:tcBorders/>
          </w:tcPr>
          <w:p>
            <w:pPr>
              <w:rPr>
                <w:rFonts w:hint="default" w:ascii="Times New Roman" w:hAnsi="Times New Roman" w:eastAsia="宋体" w:cs="Times New Roman"/>
                <w:bCs/>
                <w:sz w:val="21"/>
                <w:szCs w:val="21"/>
                <w:lang w:val="en-US" w:bidi="zh-CN"/>
              </w:rPr>
            </w:pPr>
          </w:p>
        </w:tc>
      </w:tr>
    </w:tbl>
    <w:p>
      <w:pPr>
        <w:jc w:val="center"/>
        <w:rPr>
          <w:rFonts w:hint="eastAsia" w:ascii="Times New Roman" w:hAnsi="Times New Roman" w:eastAsia="宋体" w:cs="Times New Roman"/>
          <w:b/>
          <w:bCs/>
          <w:szCs w:val="21"/>
          <w:highlight w:val="none"/>
        </w:rPr>
      </w:pPr>
    </w:p>
    <w:p>
      <w:pPr>
        <w:pStyle w:val="6"/>
        <w:keepNext/>
        <w:keepLines/>
        <w:pageBreakBefore w:val="0"/>
        <w:widowControl w:val="0"/>
        <w:kinsoku/>
        <w:wordWrap/>
        <w:overflowPunct/>
        <w:topLinePunct w:val="0"/>
        <w:autoSpaceDE/>
        <w:autoSpaceDN/>
        <w:bidi w:val="0"/>
        <w:adjustRightInd/>
        <w:snapToGrid/>
        <w:spacing w:before="200" w:after="200" w:line="416" w:lineRule="auto"/>
        <w:textAlignment w:val="auto"/>
        <w:rPr>
          <w:highlight w:val="none"/>
        </w:rPr>
      </w:pPr>
      <w:bookmarkStart w:id="47" w:name="_Toc31523"/>
      <w:r>
        <w:rPr>
          <w:rFonts w:hint="eastAsia"/>
        </w:rPr>
        <w:t>4.1.4</w:t>
      </w:r>
      <w:r>
        <w:rPr>
          <w:rFonts w:hint="eastAsia"/>
          <w:highlight w:val="none"/>
        </w:rPr>
        <w:t>固</w:t>
      </w:r>
      <w:r>
        <w:rPr>
          <w:rFonts w:hint="eastAsia"/>
          <w:highlight w:val="none"/>
          <w:lang w:eastAsia="zh-CN"/>
        </w:rPr>
        <w:t>（液）</w:t>
      </w:r>
      <w:r>
        <w:rPr>
          <w:rFonts w:hint="eastAsia"/>
          <w:highlight w:val="none"/>
        </w:rPr>
        <w:t>体废物</w:t>
      </w:r>
      <w:bookmarkEnd w:id="47"/>
    </w:p>
    <w:p>
      <w:pPr>
        <w:spacing w:line="360" w:lineRule="auto"/>
        <w:ind w:firstLine="480" w:firstLineChars="200"/>
        <w:jc w:val="left"/>
        <w:rPr>
          <w:rFonts w:hint="default" w:ascii="Times New Roman" w:hAnsi="Times New Roman" w:eastAsia="宋体" w:cs="Times New Roman"/>
          <w:kern w:val="0"/>
          <w:sz w:val="24"/>
          <w:szCs w:val="24"/>
          <w:highlight w:val="none"/>
          <w:lang w:bidi="zh-CN"/>
        </w:rPr>
      </w:pPr>
      <w:bookmarkStart w:id="48" w:name="_Hlk42871959"/>
      <w:bookmarkStart w:id="49" w:name="_Hlk526602567"/>
      <w:r>
        <w:rPr>
          <w:rFonts w:hint="default" w:ascii="Times New Roman" w:hAnsi="Times New Roman" w:eastAsia="宋体" w:cs="Times New Roman"/>
          <w:kern w:val="0"/>
          <w:sz w:val="24"/>
          <w:szCs w:val="24"/>
          <w:highlight w:val="none"/>
          <w:lang w:bidi="zh-CN"/>
        </w:rPr>
        <w:t>项目产生的各固废分类收集存放，一般固废仓库位于厂区南侧，危废仓库位于厂区东南侧，约40m</w:t>
      </w:r>
      <w:r>
        <w:rPr>
          <w:rFonts w:hint="default" w:ascii="Times New Roman" w:hAnsi="Times New Roman" w:eastAsia="宋体" w:cs="Times New Roman"/>
          <w:kern w:val="0"/>
          <w:sz w:val="24"/>
          <w:szCs w:val="24"/>
          <w:highlight w:val="none"/>
          <w:vertAlign w:val="superscript"/>
          <w:lang w:bidi="zh-CN"/>
        </w:rPr>
        <w:t>2</w:t>
      </w:r>
      <w:r>
        <w:rPr>
          <w:rFonts w:hint="default" w:ascii="Times New Roman" w:hAnsi="Times New Roman" w:eastAsia="宋体" w:cs="Times New Roman"/>
          <w:kern w:val="0"/>
          <w:sz w:val="24"/>
          <w:szCs w:val="24"/>
          <w:highlight w:val="none"/>
          <w:lang w:bidi="zh-CN"/>
        </w:rPr>
        <w:t>。暂存间均已落实分区及防腐防渗措施。危废委托处理处置合同详见</w:t>
      </w:r>
      <w:r>
        <w:rPr>
          <w:rFonts w:hint="eastAsia" w:ascii="Times New Roman" w:hAnsi="Times New Roman" w:eastAsia="宋体" w:cs="Times New Roman"/>
          <w:kern w:val="0"/>
          <w:sz w:val="24"/>
          <w:szCs w:val="24"/>
          <w:highlight w:val="none"/>
          <w:lang w:val="en-US" w:bidi="zh-CN"/>
        </w:rPr>
        <w:t>附件5</w:t>
      </w:r>
      <w:r>
        <w:rPr>
          <w:rFonts w:hint="default" w:ascii="Times New Roman" w:hAnsi="Times New Roman" w:eastAsia="宋体" w:cs="Times New Roman"/>
          <w:kern w:val="0"/>
          <w:sz w:val="24"/>
          <w:szCs w:val="24"/>
          <w:highlight w:val="none"/>
          <w:lang w:bidi="zh-CN"/>
        </w:rPr>
        <w:t>。</w:t>
      </w:r>
    </w:p>
    <w:p>
      <w:pPr>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highlight w:val="none"/>
          <w:lang w:bidi="zh-CN"/>
        </w:rPr>
        <w:t>危险废物执行《危险废物贮存污染控制标准》(GB 18597-2023)、《危险废物识别标志设置技术规范》（HJ 1276-2022）、《环境保护图形标志—固体废物贮存（处置）场》（GB 15562.2-1995）及修改单，一般工业固体废物执行《一般工业固体废物贮存和填埋污染控制标准》(GB 18599-2020)中相关规定。生活垃圾处理参照执行《城市生活垃圾处理及污染防治技术政策》（建城[2000]120号）和《生活垃圾处理技术指南》（建城[2010]61号）以及国家、省市关于固体废物污染环境防治的法律法规</w:t>
      </w:r>
      <w:r>
        <w:rPr>
          <w:rFonts w:hint="default" w:ascii="Times New Roman" w:hAnsi="Times New Roman" w:eastAsia="宋体" w:cs="Times New Roman"/>
          <w:kern w:val="0"/>
          <w:sz w:val="24"/>
          <w:szCs w:val="24"/>
        </w:rPr>
        <w:t>。</w:t>
      </w:r>
      <w:bookmarkEnd w:id="48"/>
    </w:p>
    <w:p>
      <w:pPr>
        <w:spacing w:line="360" w:lineRule="auto"/>
        <w:ind w:firstLine="480" w:firstLineChars="200"/>
        <w:jc w:val="left"/>
        <w:rPr>
          <w:rFonts w:hint="default" w:ascii="Times New Roman" w:hAnsi="Times New Roman" w:eastAsia="宋体" w:cs="Times New Roman"/>
          <w:kern w:val="0"/>
          <w:sz w:val="24"/>
          <w:szCs w:val="24"/>
          <w:highlight w:val="none"/>
          <w:lang w:bidi="zh-CN"/>
        </w:rPr>
      </w:pPr>
      <w:r>
        <w:rPr>
          <w:rFonts w:hint="eastAsia" w:ascii="Times New Roman" w:hAnsi="Times New Roman" w:eastAsia="宋体" w:cs="Times New Roman"/>
          <w:kern w:val="0"/>
          <w:sz w:val="24"/>
          <w:szCs w:val="24"/>
          <w:highlight w:val="none"/>
          <w:lang w:eastAsia="zh-CN" w:bidi="zh-CN"/>
        </w:rPr>
        <w:t>（</w:t>
      </w:r>
      <w:r>
        <w:rPr>
          <w:rFonts w:hint="eastAsia" w:ascii="Times New Roman" w:hAnsi="Times New Roman" w:eastAsia="宋体" w:cs="Times New Roman"/>
          <w:kern w:val="0"/>
          <w:sz w:val="24"/>
          <w:szCs w:val="24"/>
          <w:highlight w:val="none"/>
          <w:lang w:val="en-US" w:eastAsia="zh-CN" w:bidi="zh-CN"/>
        </w:rPr>
        <w:t>1</w:t>
      </w:r>
      <w:r>
        <w:rPr>
          <w:rFonts w:hint="eastAsia" w:ascii="Times New Roman" w:hAnsi="Times New Roman" w:eastAsia="宋体" w:cs="Times New Roman"/>
          <w:kern w:val="0"/>
          <w:sz w:val="24"/>
          <w:szCs w:val="24"/>
          <w:highlight w:val="none"/>
          <w:lang w:eastAsia="zh-CN" w:bidi="zh-CN"/>
        </w:rPr>
        <w:t>）</w:t>
      </w:r>
      <w:r>
        <w:rPr>
          <w:rFonts w:hint="default" w:ascii="Times New Roman" w:hAnsi="Times New Roman" w:eastAsia="宋体" w:cs="Times New Roman"/>
          <w:kern w:val="0"/>
          <w:sz w:val="24"/>
          <w:szCs w:val="24"/>
          <w:highlight w:val="none"/>
          <w:lang w:bidi="zh-CN"/>
        </w:rPr>
        <w:t>项目固（液）体废弃物分析情况汇总见表4.1.4-1：</w:t>
      </w:r>
    </w:p>
    <w:p>
      <w:pPr>
        <w:spacing w:line="360" w:lineRule="auto"/>
        <w:ind w:firstLine="422" w:firstLineChars="200"/>
        <w:jc w:val="center"/>
        <w:rPr>
          <w:rFonts w:hint="eastAsia" w:ascii="Times New Roman" w:hAnsi="Times New Roman" w:cs="Times New Roman"/>
          <w:b/>
          <w:bCs/>
          <w:szCs w:val="21"/>
          <w:highlight w:val="none"/>
        </w:rPr>
      </w:pPr>
      <w:r>
        <w:rPr>
          <w:rFonts w:ascii="Times New Roman" w:hAnsi="Times New Roman" w:cs="Times New Roman"/>
          <w:b/>
          <w:bCs/>
          <w:szCs w:val="21"/>
          <w:highlight w:val="none"/>
        </w:rPr>
        <w:t>表4.1</w:t>
      </w:r>
      <w:r>
        <w:rPr>
          <w:rFonts w:hint="eastAsia" w:ascii="Times New Roman" w:hAnsi="Times New Roman" w:cs="Times New Roman"/>
          <w:b/>
          <w:bCs/>
          <w:szCs w:val="21"/>
          <w:highlight w:val="none"/>
          <w:lang w:val="en-US" w:eastAsia="zh-CN"/>
        </w:rPr>
        <w:t>.4</w:t>
      </w:r>
      <w:r>
        <w:rPr>
          <w:rFonts w:ascii="Times New Roman" w:hAnsi="Times New Roman" w:cs="Times New Roman"/>
          <w:b/>
          <w:bCs/>
          <w:szCs w:val="21"/>
          <w:highlight w:val="none"/>
        </w:rPr>
        <w:t>-</w:t>
      </w:r>
      <w:r>
        <w:rPr>
          <w:rFonts w:hint="eastAsia" w:ascii="Times New Roman" w:hAnsi="Times New Roman" w:cs="Times New Roman"/>
          <w:b/>
          <w:bCs/>
          <w:szCs w:val="21"/>
          <w:highlight w:val="none"/>
          <w:lang w:val="en-US" w:eastAsia="zh-CN"/>
        </w:rPr>
        <w:t>1</w:t>
      </w:r>
      <w:r>
        <w:rPr>
          <w:rFonts w:ascii="Times New Roman" w:hAnsi="Times New Roman" w:cs="Times New Roman"/>
          <w:b/>
          <w:bCs/>
          <w:szCs w:val="21"/>
          <w:highlight w:val="none"/>
        </w:rPr>
        <w:t xml:space="preserve"> </w:t>
      </w:r>
      <w:r>
        <w:rPr>
          <w:rFonts w:hint="eastAsia" w:ascii="Times New Roman" w:hAnsi="Times New Roman" w:cs="Times New Roman"/>
          <w:b/>
          <w:bCs/>
          <w:szCs w:val="21"/>
          <w:highlight w:val="none"/>
        </w:rPr>
        <w:t>项目固（液）体废弃物分析情况汇总表</w:t>
      </w:r>
    </w:p>
    <w:tbl>
      <w:tblPr>
        <w:tblStyle w:val="31"/>
        <w:tblW w:w="50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2"/>
        <w:gridCol w:w="1119"/>
        <w:gridCol w:w="861"/>
        <w:gridCol w:w="641"/>
        <w:gridCol w:w="1212"/>
        <w:gridCol w:w="1120"/>
        <w:gridCol w:w="1294"/>
        <w:gridCol w:w="1200"/>
        <w:gridCol w:w="6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119" w:type="dxa"/>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固废名称</w:t>
            </w:r>
          </w:p>
        </w:tc>
        <w:tc>
          <w:tcPr>
            <w:tcW w:w="861" w:type="dxa"/>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产生工序</w:t>
            </w:r>
          </w:p>
        </w:tc>
        <w:tc>
          <w:tcPr>
            <w:tcW w:w="641" w:type="dxa"/>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属性</w:t>
            </w:r>
          </w:p>
        </w:tc>
        <w:tc>
          <w:tcPr>
            <w:tcW w:w="1212" w:type="dxa"/>
            <w:vMerge w:val="restart"/>
            <w:shd w:val="clear" w:color="auto" w:fill="auto"/>
            <w:vAlign w:val="center"/>
          </w:tcPr>
          <w:p>
            <w:pPr>
              <w:adjustRightInd w:val="0"/>
              <w:snapToGrid w:val="0"/>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highlight w:val="none"/>
                <w:lang w:val="en-US" w:eastAsia="zh-CN"/>
              </w:rPr>
              <w:t>危废代码</w:t>
            </w:r>
          </w:p>
        </w:tc>
        <w:tc>
          <w:tcPr>
            <w:tcW w:w="2414" w:type="dxa"/>
            <w:gridSpan w:val="2"/>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处置方式</w:t>
            </w:r>
          </w:p>
        </w:tc>
        <w:tc>
          <w:tcPr>
            <w:tcW w:w="120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Cs w:val="21"/>
                <w:highlight w:val="none"/>
                <w:lang w:val="en-US" w:eastAsia="zh-CN"/>
              </w:rPr>
            </w:pPr>
            <w:r>
              <w:rPr>
                <w:rFonts w:hint="eastAsia" w:ascii="Times New Roman" w:hAnsi="Times New Roman" w:cs="Times New Roman"/>
                <w:b/>
                <w:bCs/>
                <w:color w:val="auto"/>
                <w:highlight w:val="none"/>
                <w:lang w:val="en-US" w:eastAsia="zh-CN"/>
              </w:rPr>
              <w:t>暂存场所</w:t>
            </w:r>
          </w:p>
        </w:tc>
        <w:tc>
          <w:tcPr>
            <w:tcW w:w="685"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lang w:eastAsia="zh-CN"/>
              </w:rPr>
            </w:pPr>
            <w:r>
              <w:rPr>
                <w:rFonts w:hint="eastAsia" w:ascii="Times New Roman" w:hAnsi="Times New Roman" w:cs="Times New Roman"/>
                <w:b/>
                <w:bCs/>
                <w:color w:val="auto"/>
                <w:lang w:eastAsia="zh-CN"/>
              </w:rPr>
              <w:t>变化</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Cs w:val="21"/>
                <w:lang w:val="en-US" w:eastAsia="zh-CN"/>
              </w:rPr>
            </w:pPr>
            <w:r>
              <w:rPr>
                <w:rFonts w:hint="eastAsia" w:ascii="Times New Roman" w:hAnsi="Times New Roman" w:cs="Times New Roman"/>
                <w:b/>
                <w:bCs/>
                <w:color w:val="auto"/>
                <w:lang w:eastAsia="zh-CN"/>
              </w:rP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1119"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861"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641"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1212"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1120" w:type="dxa"/>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环评要求</w:t>
            </w:r>
          </w:p>
        </w:tc>
        <w:tc>
          <w:tcPr>
            <w:tcW w:w="1294" w:type="dxa"/>
            <w:shd w:val="clear" w:color="auto" w:fill="auto"/>
            <w:vAlign w:val="center"/>
          </w:tcPr>
          <w:p>
            <w:pPr>
              <w:adjustRightInd w:val="0"/>
              <w:snapToGrid w:val="0"/>
              <w:spacing w:line="240" w:lineRule="auto"/>
              <w:jc w:val="center"/>
              <w:rPr>
                <w:rFonts w:hint="eastAsia" w:ascii="Times New Roman" w:hAnsi="Times New Roman" w:eastAsia="宋体" w:cs="Times New Roman"/>
                <w:b/>
                <w:bCs/>
                <w:szCs w:val="21"/>
                <w:highlight w:val="none"/>
                <w:lang w:val="en-US" w:eastAsia="zh-CN"/>
              </w:rPr>
            </w:pPr>
            <w:r>
              <w:rPr>
                <w:rFonts w:hint="default" w:ascii="Times New Roman" w:hAnsi="Times New Roman" w:eastAsia="宋体" w:cs="Times New Roman"/>
                <w:b/>
                <w:bCs/>
                <w:szCs w:val="21"/>
                <w:highlight w:val="none"/>
              </w:rPr>
              <w:t>实际</w:t>
            </w:r>
            <w:r>
              <w:rPr>
                <w:rFonts w:hint="eastAsia" w:ascii="Times New Roman" w:hAnsi="Times New Roman" w:eastAsia="宋体" w:cs="Times New Roman"/>
                <w:b/>
                <w:bCs/>
                <w:szCs w:val="21"/>
                <w:highlight w:val="none"/>
                <w:lang w:val="en-US" w:eastAsia="zh-CN"/>
              </w:rPr>
              <w:t>建设</w:t>
            </w:r>
          </w:p>
        </w:tc>
        <w:tc>
          <w:tcPr>
            <w:tcW w:w="120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highlight w:val="none"/>
                <w:lang w:val="en-US" w:eastAsia="zh-CN"/>
              </w:rPr>
            </w:pPr>
          </w:p>
        </w:tc>
        <w:tc>
          <w:tcPr>
            <w:tcW w:w="685"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金属边角料</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机加工</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一般固废</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3</w:t>
            </w:r>
            <w:r>
              <w:rPr>
                <w:rFonts w:hint="eastAsia" w:ascii="Times New Roman" w:hAnsi="Times New Roman" w:eastAsia="宋体" w:cs="Times New Roman"/>
                <w:color w:val="auto"/>
                <w:spacing w:val="0"/>
                <w:szCs w:val="21"/>
                <w:highlight w:val="none"/>
                <w:lang w:val="en-US" w:eastAsia="zh-CN"/>
              </w:rPr>
              <w:t>31</w:t>
            </w:r>
            <w:r>
              <w:rPr>
                <w:rFonts w:hint="default" w:ascii="Times New Roman" w:hAnsi="Times New Roman" w:eastAsia="宋体" w:cs="Times New Roman"/>
                <w:color w:val="auto"/>
                <w:spacing w:val="0"/>
                <w:szCs w:val="21"/>
                <w:highlight w:val="none"/>
                <w:lang w:val="en-US" w:eastAsia="zh-CN"/>
              </w:rPr>
              <w:t>-00</w:t>
            </w:r>
            <w:r>
              <w:rPr>
                <w:rFonts w:hint="eastAsia" w:ascii="Times New Roman" w:hAnsi="Times New Roman" w:eastAsia="宋体" w:cs="Times New Roman"/>
                <w:color w:val="auto"/>
                <w:spacing w:val="0"/>
                <w:szCs w:val="21"/>
                <w:highlight w:val="none"/>
                <w:lang w:val="en-US" w:eastAsia="zh-CN"/>
              </w:rPr>
              <w:t>3</w:t>
            </w:r>
            <w:r>
              <w:rPr>
                <w:rFonts w:hint="default" w:ascii="Times New Roman" w:hAnsi="Times New Roman" w:eastAsia="宋体" w:cs="Times New Roman"/>
                <w:color w:val="auto"/>
                <w:spacing w:val="0"/>
                <w:szCs w:val="21"/>
                <w:highlight w:val="none"/>
                <w:lang w:val="en-US" w:eastAsia="zh-CN"/>
              </w:rPr>
              <w:t>-09</w:t>
            </w:r>
          </w:p>
        </w:tc>
        <w:tc>
          <w:tcPr>
            <w:tcW w:w="1120" w:type="dxa"/>
            <w:vMerge w:val="restart"/>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外售给物资单位综合利用</w:t>
            </w:r>
          </w:p>
        </w:tc>
        <w:tc>
          <w:tcPr>
            <w:tcW w:w="1294" w:type="dxa"/>
            <w:vMerge w:val="restart"/>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收集后出售综合利用</w:t>
            </w: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袋装，一般固废仓库</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一般废包装物</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原料包装、包装</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一般固废</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3</w:t>
            </w:r>
            <w:r>
              <w:rPr>
                <w:rFonts w:hint="eastAsia" w:ascii="Times New Roman" w:hAnsi="Times New Roman" w:eastAsia="宋体" w:cs="Times New Roman"/>
                <w:color w:val="auto"/>
                <w:spacing w:val="0"/>
                <w:szCs w:val="21"/>
                <w:highlight w:val="none"/>
                <w:lang w:val="en-US" w:eastAsia="zh-CN"/>
              </w:rPr>
              <w:t>31</w:t>
            </w:r>
            <w:r>
              <w:rPr>
                <w:rFonts w:hint="default" w:ascii="Times New Roman" w:hAnsi="Times New Roman" w:eastAsia="宋体" w:cs="Times New Roman"/>
                <w:color w:val="auto"/>
                <w:spacing w:val="0"/>
                <w:szCs w:val="21"/>
                <w:highlight w:val="none"/>
                <w:lang w:val="en-US" w:eastAsia="zh-CN"/>
              </w:rPr>
              <w:t>-00</w:t>
            </w:r>
            <w:r>
              <w:rPr>
                <w:rFonts w:hint="eastAsia" w:ascii="Times New Roman" w:hAnsi="Times New Roman" w:eastAsia="宋体" w:cs="Times New Roman"/>
                <w:color w:val="auto"/>
                <w:spacing w:val="0"/>
                <w:szCs w:val="21"/>
                <w:highlight w:val="none"/>
                <w:lang w:val="en-US" w:eastAsia="zh-CN"/>
              </w:rPr>
              <w:t>3</w:t>
            </w:r>
            <w:r>
              <w:rPr>
                <w:rFonts w:hint="default" w:ascii="Times New Roman" w:hAnsi="Times New Roman" w:eastAsia="宋体" w:cs="Times New Roman"/>
                <w:color w:val="auto"/>
                <w:spacing w:val="0"/>
                <w:szCs w:val="21"/>
                <w:highlight w:val="none"/>
                <w:lang w:val="en-US" w:eastAsia="zh-CN"/>
              </w:rPr>
              <w:t>-07</w:t>
            </w:r>
          </w:p>
        </w:tc>
        <w:tc>
          <w:tcPr>
            <w:tcW w:w="1120"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94"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散装，一般固废仓库</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3</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废塑粉</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喷塑</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一般固废</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3</w:t>
            </w:r>
            <w:r>
              <w:rPr>
                <w:rFonts w:hint="eastAsia" w:ascii="Times New Roman" w:hAnsi="Times New Roman" w:eastAsia="宋体" w:cs="Times New Roman"/>
                <w:color w:val="auto"/>
                <w:spacing w:val="0"/>
                <w:szCs w:val="21"/>
                <w:highlight w:val="none"/>
                <w:lang w:val="en-US" w:eastAsia="zh-CN"/>
              </w:rPr>
              <w:t>31</w:t>
            </w:r>
            <w:r>
              <w:rPr>
                <w:rFonts w:hint="default" w:ascii="Times New Roman" w:hAnsi="Times New Roman" w:eastAsia="宋体" w:cs="Times New Roman"/>
                <w:color w:val="auto"/>
                <w:spacing w:val="0"/>
                <w:szCs w:val="21"/>
                <w:highlight w:val="none"/>
                <w:lang w:val="en-US" w:eastAsia="zh-CN"/>
              </w:rPr>
              <w:t>-00</w:t>
            </w:r>
            <w:r>
              <w:rPr>
                <w:rFonts w:hint="eastAsia" w:ascii="Times New Roman" w:hAnsi="Times New Roman" w:eastAsia="宋体" w:cs="Times New Roman"/>
                <w:color w:val="auto"/>
                <w:spacing w:val="0"/>
                <w:szCs w:val="21"/>
                <w:highlight w:val="none"/>
                <w:lang w:val="en-US" w:eastAsia="zh-CN"/>
              </w:rPr>
              <w:t>3</w:t>
            </w:r>
            <w:r>
              <w:rPr>
                <w:rFonts w:hint="default" w:ascii="Times New Roman" w:hAnsi="Times New Roman" w:eastAsia="宋体" w:cs="Times New Roman"/>
                <w:color w:val="auto"/>
                <w:spacing w:val="0"/>
                <w:szCs w:val="21"/>
                <w:highlight w:val="none"/>
                <w:lang w:val="en-US" w:eastAsia="zh-CN"/>
              </w:rPr>
              <w:t>-99</w:t>
            </w:r>
          </w:p>
        </w:tc>
        <w:tc>
          <w:tcPr>
            <w:tcW w:w="1120"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94"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袋装，一般固废仓库</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4</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废滤芯</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废气处理</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一般固废</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3</w:t>
            </w:r>
            <w:r>
              <w:rPr>
                <w:rFonts w:hint="eastAsia" w:ascii="Times New Roman" w:hAnsi="Times New Roman" w:eastAsia="宋体" w:cs="Times New Roman"/>
                <w:color w:val="auto"/>
                <w:spacing w:val="0"/>
                <w:szCs w:val="21"/>
                <w:highlight w:val="none"/>
                <w:lang w:val="en-US" w:eastAsia="zh-CN"/>
              </w:rPr>
              <w:t>31</w:t>
            </w:r>
            <w:r>
              <w:rPr>
                <w:rFonts w:hint="default" w:ascii="Times New Roman" w:hAnsi="Times New Roman" w:eastAsia="宋体" w:cs="Times New Roman"/>
                <w:color w:val="auto"/>
                <w:spacing w:val="0"/>
                <w:szCs w:val="21"/>
                <w:highlight w:val="none"/>
                <w:lang w:val="en-US" w:eastAsia="zh-CN"/>
              </w:rPr>
              <w:t>-00</w:t>
            </w:r>
            <w:r>
              <w:rPr>
                <w:rFonts w:hint="eastAsia" w:ascii="Times New Roman" w:hAnsi="Times New Roman" w:eastAsia="宋体" w:cs="Times New Roman"/>
                <w:color w:val="auto"/>
                <w:spacing w:val="0"/>
                <w:szCs w:val="21"/>
                <w:highlight w:val="none"/>
                <w:lang w:val="en-US" w:eastAsia="zh-CN"/>
              </w:rPr>
              <w:t>3</w:t>
            </w:r>
            <w:r>
              <w:rPr>
                <w:rFonts w:hint="default" w:ascii="Times New Roman" w:hAnsi="Times New Roman" w:eastAsia="宋体" w:cs="Times New Roman"/>
                <w:color w:val="auto"/>
                <w:spacing w:val="0"/>
                <w:szCs w:val="21"/>
                <w:highlight w:val="none"/>
                <w:lang w:val="en-US" w:eastAsia="zh-CN"/>
              </w:rPr>
              <w:t>-99</w:t>
            </w:r>
          </w:p>
        </w:tc>
        <w:tc>
          <w:tcPr>
            <w:tcW w:w="1120"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94"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散装，一般固废仓库</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5</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漆渣</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废气处理</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危险废物</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HW12</w:t>
            </w:r>
          </w:p>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900-252-12</w:t>
            </w:r>
          </w:p>
        </w:tc>
        <w:tc>
          <w:tcPr>
            <w:tcW w:w="1120" w:type="dxa"/>
            <w:vMerge w:val="restart"/>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委托有资质单位</w:t>
            </w:r>
            <w:r>
              <w:rPr>
                <w:rFonts w:hint="eastAsia" w:ascii="Times New Roman" w:hAnsi="Times New Roman" w:eastAsia="宋体" w:cs="Times New Roman"/>
                <w:color w:val="auto"/>
                <w:spacing w:val="0"/>
                <w:szCs w:val="21"/>
                <w:highlight w:val="none"/>
                <w:lang w:val="en-US" w:eastAsia="zh-CN"/>
              </w:rPr>
              <w:t>处置</w:t>
            </w:r>
          </w:p>
        </w:tc>
        <w:tc>
          <w:tcPr>
            <w:tcW w:w="1294" w:type="dxa"/>
            <w:vMerge w:val="restart"/>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收集后暂存至危废仓库内，</w:t>
            </w:r>
            <w:r>
              <w:rPr>
                <w:rFonts w:hint="eastAsia" w:ascii="Times New Roman" w:hAnsi="Times New Roman" w:eastAsia="宋体" w:cs="Times New Roman"/>
                <w:color w:val="auto"/>
                <w:spacing w:val="0"/>
                <w:szCs w:val="21"/>
                <w:highlight w:val="none"/>
                <w:lang w:val="en-US" w:eastAsia="zh-CN"/>
              </w:rPr>
              <w:t>委托永康供联三曜环保技术服务有限公司进行处置</w:t>
            </w: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袋装，危废仓库</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6</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危险废包装桶</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原料包装</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危险废物</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HW49 900-041-49</w:t>
            </w:r>
          </w:p>
        </w:tc>
        <w:tc>
          <w:tcPr>
            <w:tcW w:w="1120"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94"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散装，危废仓库</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7</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w:t>
            </w:r>
            <w:r>
              <w:rPr>
                <w:rFonts w:hint="eastAsia" w:ascii="Times New Roman" w:hAnsi="Times New Roman" w:eastAsia="宋体" w:cs="Times New Roman"/>
                <w:color w:val="auto"/>
                <w:spacing w:val="0"/>
                <w:szCs w:val="21"/>
                <w:highlight w:val="none"/>
                <w:lang w:val="en-US" w:eastAsia="zh-CN"/>
              </w:rPr>
              <w:t>润滑油</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设备维护</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危险废物</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 xml:space="preserve">HW08 </w:t>
            </w:r>
            <w:r>
              <w:rPr>
                <w:rFonts w:hint="eastAsia" w:ascii="Times New Roman" w:hAnsi="Times New Roman" w:eastAsia="宋体" w:cs="Times New Roman"/>
                <w:color w:val="auto"/>
                <w:spacing w:val="0"/>
                <w:szCs w:val="21"/>
                <w:highlight w:val="none"/>
                <w:lang w:val="en-US" w:eastAsia="zh-CN"/>
              </w:rPr>
              <w:t>900-217-08</w:t>
            </w:r>
          </w:p>
        </w:tc>
        <w:tc>
          <w:tcPr>
            <w:tcW w:w="1120"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94"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桶装、危废仓库</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8</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废油桶</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原料包装</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危险废物</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HW08 900-249-08</w:t>
            </w:r>
          </w:p>
        </w:tc>
        <w:tc>
          <w:tcPr>
            <w:tcW w:w="1120"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94"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散装，危废仓库</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9</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废活性炭</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废气处理</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危险废物</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HW49 900-039-49</w:t>
            </w:r>
          </w:p>
        </w:tc>
        <w:tc>
          <w:tcPr>
            <w:tcW w:w="1120"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94"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袋装，危废仓库</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10</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废过滤棉</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废气处理</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危险废物</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HW49 900-041-49</w:t>
            </w:r>
          </w:p>
        </w:tc>
        <w:tc>
          <w:tcPr>
            <w:tcW w:w="1120"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94"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袋装，危废仓库</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废催化剂</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废气处理</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危险废物</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HW49 900-041-49</w:t>
            </w:r>
          </w:p>
        </w:tc>
        <w:tc>
          <w:tcPr>
            <w:tcW w:w="1120"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94"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袋装，危废仓库</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废抹布</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擦拭</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危险废物</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HW49 900-041-49</w:t>
            </w:r>
          </w:p>
        </w:tc>
        <w:tc>
          <w:tcPr>
            <w:tcW w:w="1120"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94" w:type="dxa"/>
            <w:vMerge w:val="continue"/>
            <w:tcBorders/>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袋装，危废仓库</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552"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111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生活垃圾</w:t>
            </w:r>
          </w:p>
        </w:tc>
        <w:tc>
          <w:tcPr>
            <w:tcW w:w="86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员工生活</w:t>
            </w:r>
          </w:p>
        </w:tc>
        <w:tc>
          <w:tcPr>
            <w:tcW w:w="641"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一般</w:t>
            </w:r>
          </w:p>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固废</w:t>
            </w:r>
          </w:p>
        </w:tc>
        <w:tc>
          <w:tcPr>
            <w:tcW w:w="121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w:t>
            </w:r>
          </w:p>
        </w:tc>
        <w:tc>
          <w:tcPr>
            <w:tcW w:w="112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当地环卫部门统一清运处理</w:t>
            </w:r>
          </w:p>
        </w:tc>
        <w:tc>
          <w:tcPr>
            <w:tcW w:w="12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委托环卫部门统一清运处理</w:t>
            </w:r>
          </w:p>
        </w:tc>
        <w:tc>
          <w:tcPr>
            <w:tcW w:w="120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w:t>
            </w:r>
          </w:p>
        </w:tc>
        <w:tc>
          <w:tcPr>
            <w:tcW w:w="685"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一致</w:t>
            </w:r>
          </w:p>
        </w:tc>
      </w:tr>
    </w:tbl>
    <w:p>
      <w:pPr>
        <w:pStyle w:val="2"/>
        <w:rPr>
          <w:rFonts w:hint="eastAsia" w:ascii="Times New Roman" w:hAnsi="Times New Roman" w:cs="Times New Roman"/>
          <w:b/>
          <w:bCs/>
          <w:szCs w:val="21"/>
          <w:highlight w:val="none"/>
        </w:rPr>
      </w:pPr>
    </w:p>
    <w:p>
      <w:pPr>
        <w:spacing w:line="360" w:lineRule="auto"/>
        <w:ind w:firstLine="480" w:firstLineChars="200"/>
        <w:jc w:val="left"/>
        <w:rPr>
          <w:rFonts w:hint="eastAsia" w:ascii="Times New Roman" w:hAnsi="Times New Roman" w:eastAsia="宋体" w:cs="Times New Roman"/>
          <w:kern w:val="0"/>
          <w:sz w:val="24"/>
          <w:szCs w:val="24"/>
          <w:highlight w:val="none"/>
          <w:lang w:val="en-US" w:eastAsia="zh-CN" w:bidi="zh-CN"/>
        </w:rPr>
      </w:pPr>
      <w:r>
        <w:rPr>
          <w:rFonts w:hint="eastAsia" w:ascii="Times New Roman" w:hAnsi="Times New Roman" w:eastAsia="宋体" w:cs="Times New Roman"/>
          <w:kern w:val="0"/>
          <w:sz w:val="24"/>
          <w:szCs w:val="24"/>
          <w:highlight w:val="none"/>
          <w:lang w:eastAsia="zh-CN" w:bidi="zh-CN"/>
        </w:rPr>
        <w:t>（</w:t>
      </w:r>
      <w:r>
        <w:rPr>
          <w:rFonts w:hint="eastAsia" w:ascii="Times New Roman" w:hAnsi="Times New Roman" w:eastAsia="宋体" w:cs="Times New Roman"/>
          <w:kern w:val="0"/>
          <w:sz w:val="24"/>
          <w:szCs w:val="24"/>
          <w:highlight w:val="none"/>
          <w:lang w:val="en-US" w:eastAsia="zh-CN" w:bidi="zh-CN"/>
        </w:rPr>
        <w:t>2</w:t>
      </w:r>
      <w:r>
        <w:rPr>
          <w:rFonts w:hint="eastAsia" w:ascii="Times New Roman" w:hAnsi="Times New Roman" w:eastAsia="宋体" w:cs="Times New Roman"/>
          <w:kern w:val="0"/>
          <w:sz w:val="24"/>
          <w:szCs w:val="24"/>
          <w:highlight w:val="none"/>
          <w:lang w:eastAsia="zh-CN" w:bidi="zh-CN"/>
        </w:rPr>
        <w:t>）固（液）体废弃物产生</w:t>
      </w:r>
      <w:r>
        <w:rPr>
          <w:rFonts w:hint="eastAsia" w:ascii="Times New Roman" w:hAnsi="Times New Roman" w:eastAsia="宋体" w:cs="Times New Roman"/>
          <w:kern w:val="0"/>
          <w:sz w:val="24"/>
          <w:szCs w:val="24"/>
          <w:highlight w:val="none"/>
          <w:lang w:val="en-US" w:eastAsia="zh-CN" w:bidi="zh-CN"/>
        </w:rPr>
        <w:t>及处置情况见表4.1.4-2。</w:t>
      </w:r>
    </w:p>
    <w:p>
      <w:pPr>
        <w:spacing w:line="360" w:lineRule="auto"/>
        <w:ind w:firstLine="422" w:firstLineChars="200"/>
        <w:jc w:val="center"/>
        <w:rPr>
          <w:rFonts w:ascii="Times New Roman" w:hAnsi="Times New Roman" w:cs="Times New Roman"/>
          <w:b/>
          <w:bCs/>
          <w:szCs w:val="21"/>
          <w:highlight w:val="none"/>
        </w:rPr>
      </w:pPr>
      <w:r>
        <w:rPr>
          <w:rFonts w:ascii="Times New Roman" w:hAnsi="Times New Roman" w:cs="Times New Roman"/>
          <w:b/>
          <w:bCs/>
          <w:szCs w:val="21"/>
          <w:highlight w:val="none"/>
        </w:rPr>
        <w:t>表4.1</w:t>
      </w:r>
      <w:r>
        <w:rPr>
          <w:rFonts w:hint="eastAsia" w:ascii="Times New Roman" w:hAnsi="Times New Roman" w:cs="Times New Roman"/>
          <w:b/>
          <w:bCs/>
          <w:szCs w:val="21"/>
          <w:highlight w:val="none"/>
          <w:lang w:val="en-US" w:eastAsia="zh-CN"/>
        </w:rPr>
        <w:t>.</w:t>
      </w:r>
      <w:r>
        <w:rPr>
          <w:rFonts w:ascii="Times New Roman" w:hAnsi="Times New Roman" w:cs="Times New Roman"/>
          <w:b/>
          <w:bCs/>
          <w:szCs w:val="21"/>
          <w:highlight w:val="none"/>
        </w:rPr>
        <w:t>4</w:t>
      </w:r>
      <w:r>
        <w:rPr>
          <w:rFonts w:hint="eastAsia" w:ascii="Times New Roman" w:hAnsi="Times New Roman" w:cs="Times New Roman"/>
          <w:b/>
          <w:bCs/>
          <w:szCs w:val="21"/>
          <w:highlight w:val="none"/>
          <w:lang w:val="en-US" w:eastAsia="zh-CN"/>
        </w:rPr>
        <w:t>-2</w:t>
      </w:r>
      <w:r>
        <w:rPr>
          <w:rFonts w:ascii="Times New Roman" w:hAnsi="Times New Roman" w:cs="Times New Roman"/>
          <w:b/>
          <w:bCs/>
          <w:szCs w:val="21"/>
          <w:highlight w:val="none"/>
        </w:rPr>
        <w:t xml:space="preserve"> 固</w:t>
      </w:r>
      <w:r>
        <w:rPr>
          <w:rFonts w:hint="eastAsia" w:ascii="Times New Roman" w:hAnsi="Times New Roman" w:cs="Times New Roman"/>
          <w:b/>
          <w:bCs/>
          <w:szCs w:val="21"/>
          <w:highlight w:val="none"/>
        </w:rPr>
        <w:t>（液）</w:t>
      </w:r>
      <w:r>
        <w:rPr>
          <w:rFonts w:ascii="Times New Roman" w:hAnsi="Times New Roman" w:cs="Times New Roman"/>
          <w:b/>
          <w:bCs/>
          <w:szCs w:val="21"/>
          <w:highlight w:val="none"/>
        </w:rPr>
        <w:t>体废弃物产生</w:t>
      </w:r>
      <w:r>
        <w:rPr>
          <w:rFonts w:hint="eastAsia" w:ascii="Times New Roman" w:hAnsi="Times New Roman" w:cs="Times New Roman"/>
          <w:b/>
          <w:bCs/>
          <w:szCs w:val="21"/>
          <w:highlight w:val="none"/>
          <w:lang w:val="en-US" w:eastAsia="zh-CN"/>
        </w:rPr>
        <w:t>及处置情况</w:t>
      </w:r>
      <w:r>
        <w:rPr>
          <w:rFonts w:ascii="Times New Roman" w:hAnsi="Times New Roman" w:cs="Times New Roman"/>
          <w:b/>
          <w:bCs/>
          <w:szCs w:val="21"/>
          <w:highlight w:val="none"/>
        </w:rPr>
        <w:t>一览表</w:t>
      </w:r>
    </w:p>
    <w:tbl>
      <w:tblPr>
        <w:tblStyle w:val="31"/>
        <w:tblW w:w="48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142"/>
        <w:gridCol w:w="1284"/>
        <w:gridCol w:w="1394"/>
        <w:gridCol w:w="1353"/>
        <w:gridCol w:w="1354"/>
        <w:gridCol w:w="11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64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14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固废名称</w:t>
            </w:r>
          </w:p>
        </w:tc>
        <w:tc>
          <w:tcPr>
            <w:tcW w:w="128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产生工序</w:t>
            </w:r>
          </w:p>
        </w:tc>
        <w:tc>
          <w:tcPr>
            <w:tcW w:w="139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环评</w:t>
            </w:r>
            <w:r>
              <w:rPr>
                <w:rFonts w:hint="default" w:ascii="Times New Roman" w:hAnsi="Times New Roman" w:eastAsia="宋体" w:cs="Times New Roman"/>
                <w:b/>
                <w:bCs/>
                <w:color w:val="auto"/>
                <w:sz w:val="21"/>
                <w:szCs w:val="21"/>
                <w:highlight w:val="none"/>
                <w:lang w:eastAsia="zh-CN"/>
              </w:rPr>
              <w:t>年产生</w:t>
            </w:r>
            <w:r>
              <w:rPr>
                <w:rFonts w:hint="default" w:ascii="Times New Roman" w:hAnsi="Times New Roman" w:eastAsia="宋体" w:cs="Times New Roman"/>
                <w:b/>
                <w:bCs/>
                <w:color w:val="auto"/>
                <w:sz w:val="21"/>
                <w:szCs w:val="21"/>
                <w:highlight w:val="none"/>
              </w:rPr>
              <w:t>量</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c>
          <w:tcPr>
            <w:tcW w:w="13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监测月产生量</w:t>
            </w:r>
            <w:r>
              <w:rPr>
                <w:rFonts w:hint="eastAsia"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t/</w:t>
            </w:r>
            <w:r>
              <w:rPr>
                <w:rFonts w:hint="eastAsia" w:ascii="Times New Roman" w:hAnsi="Times New Roman" w:eastAsia="宋体" w:cs="Times New Roman"/>
                <w:b/>
                <w:bCs/>
                <w:color w:val="auto"/>
                <w:sz w:val="21"/>
                <w:szCs w:val="21"/>
                <w:highlight w:val="none"/>
                <w:lang w:val="en-US" w:eastAsia="zh-CN"/>
              </w:rPr>
              <w:t>月）</w:t>
            </w:r>
          </w:p>
        </w:tc>
        <w:tc>
          <w:tcPr>
            <w:tcW w:w="135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折</w:t>
            </w:r>
            <w:r>
              <w:rPr>
                <w:rFonts w:hint="eastAsia" w:ascii="Times New Roman" w:hAnsi="Times New Roman" w:eastAsia="宋体" w:cs="Times New Roman"/>
                <w:b/>
                <w:bCs/>
                <w:color w:val="auto"/>
                <w:sz w:val="21"/>
                <w:szCs w:val="21"/>
                <w:lang w:val="en-US" w:eastAsia="zh-CN"/>
              </w:rPr>
              <w:t>算</w:t>
            </w:r>
            <w:r>
              <w:rPr>
                <w:rFonts w:hint="default" w:ascii="Times New Roman" w:hAnsi="Times New Roman" w:eastAsia="宋体" w:cs="Times New Roman"/>
                <w:b/>
                <w:bCs/>
                <w:color w:val="auto"/>
                <w:sz w:val="21"/>
                <w:szCs w:val="21"/>
                <w:lang w:eastAsia="zh-CN"/>
              </w:rPr>
              <w:t>年</w:t>
            </w:r>
            <w:r>
              <w:rPr>
                <w:rFonts w:hint="default" w:ascii="Times New Roman" w:hAnsi="Times New Roman" w:eastAsia="宋体" w:cs="Times New Roman"/>
                <w:b/>
                <w:bCs/>
                <w:color w:val="auto"/>
                <w:sz w:val="21"/>
                <w:szCs w:val="21"/>
              </w:rPr>
              <w:t>产生量</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eastAsia" w:ascii="Times New Roman" w:hAnsi="Times New Roman" w:eastAsia="宋体" w:cs="Times New Roman"/>
                <w:b/>
                <w:bCs/>
                <w:color w:val="auto"/>
                <w:sz w:val="21"/>
                <w:szCs w:val="21"/>
                <w:lang w:eastAsia="zh-CN"/>
              </w:rPr>
              <w:t>）</w:t>
            </w:r>
          </w:p>
        </w:tc>
        <w:tc>
          <w:tcPr>
            <w:tcW w:w="116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lightGray"/>
                <w:lang w:eastAsia="zh-CN"/>
              </w:rPr>
            </w:pPr>
            <w:r>
              <w:rPr>
                <w:rFonts w:hint="eastAsia" w:ascii="Times New Roman" w:hAnsi="Times New Roman" w:eastAsia="宋体" w:cs="Times New Roman"/>
                <w:b/>
                <w:bCs/>
                <w:color w:val="auto"/>
                <w:sz w:val="21"/>
                <w:szCs w:val="21"/>
                <w:highlight w:val="none"/>
                <w:lang w:val="en-US" w:eastAsia="zh-CN"/>
              </w:rPr>
              <w:t>处理处置量</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eastAsia" w:ascii="Times New Roman" w:hAnsi="Times New Roman" w:eastAsia="宋体" w:cs="Times New Roman"/>
                <w:b/>
                <w:bCs/>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1</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金属边角料</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机加工</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5</w:t>
            </w:r>
          </w:p>
        </w:tc>
        <w:tc>
          <w:tcPr>
            <w:tcW w:w="13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0.4</w:t>
            </w:r>
          </w:p>
        </w:tc>
        <w:tc>
          <w:tcPr>
            <w:tcW w:w="135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4.8</w:t>
            </w:r>
          </w:p>
        </w:tc>
        <w:tc>
          <w:tcPr>
            <w:tcW w:w="1162"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2</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一般废包装物</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原料包装、包装</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0.</w:t>
            </w:r>
            <w:r>
              <w:rPr>
                <w:rFonts w:hint="eastAsia" w:ascii="Times New Roman" w:hAnsi="Times New Roman" w:eastAsia="宋体" w:cs="Times New Roman"/>
                <w:color w:val="auto"/>
                <w:spacing w:val="0"/>
                <w:szCs w:val="21"/>
                <w:highlight w:val="none"/>
                <w:lang w:val="en-US" w:eastAsia="zh-CN"/>
              </w:rPr>
              <w:t>3</w:t>
            </w:r>
          </w:p>
        </w:tc>
        <w:tc>
          <w:tcPr>
            <w:tcW w:w="13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0.02</w:t>
            </w:r>
          </w:p>
        </w:tc>
        <w:tc>
          <w:tcPr>
            <w:tcW w:w="135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0.24</w:t>
            </w:r>
          </w:p>
        </w:tc>
        <w:tc>
          <w:tcPr>
            <w:tcW w:w="1162"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3</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废塑粉</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喷塑</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0.28</w:t>
            </w:r>
          </w:p>
        </w:tc>
        <w:tc>
          <w:tcPr>
            <w:tcW w:w="13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0.02</w:t>
            </w:r>
          </w:p>
        </w:tc>
        <w:tc>
          <w:tcPr>
            <w:tcW w:w="135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0.24</w:t>
            </w:r>
          </w:p>
        </w:tc>
        <w:tc>
          <w:tcPr>
            <w:tcW w:w="1162"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4</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废滤芯</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废气处理</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0.3</w:t>
            </w:r>
          </w:p>
        </w:tc>
        <w:tc>
          <w:tcPr>
            <w:tcW w:w="13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暂未产生</w:t>
            </w:r>
          </w:p>
        </w:tc>
        <w:tc>
          <w:tcPr>
            <w:tcW w:w="135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0.3</w:t>
            </w:r>
          </w:p>
        </w:tc>
        <w:tc>
          <w:tcPr>
            <w:tcW w:w="1162"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5</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漆渣</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废气处理</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2.592</w:t>
            </w:r>
          </w:p>
        </w:tc>
        <w:tc>
          <w:tcPr>
            <w:tcW w:w="1353"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0.2</w:t>
            </w:r>
          </w:p>
        </w:tc>
        <w:tc>
          <w:tcPr>
            <w:tcW w:w="135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2.4</w:t>
            </w:r>
          </w:p>
        </w:tc>
        <w:tc>
          <w:tcPr>
            <w:tcW w:w="1162"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危险废包装桶</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原料包装</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0.54</w:t>
            </w:r>
          </w:p>
        </w:tc>
        <w:tc>
          <w:tcPr>
            <w:tcW w:w="1353"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0.04</w:t>
            </w:r>
          </w:p>
        </w:tc>
        <w:tc>
          <w:tcPr>
            <w:tcW w:w="135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0.48</w:t>
            </w:r>
          </w:p>
        </w:tc>
        <w:tc>
          <w:tcPr>
            <w:tcW w:w="1162"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w:t>
            </w:r>
            <w:r>
              <w:rPr>
                <w:rFonts w:hint="eastAsia" w:ascii="Times New Roman" w:hAnsi="Times New Roman" w:eastAsia="宋体" w:cs="Times New Roman"/>
                <w:color w:val="auto"/>
                <w:spacing w:val="0"/>
                <w:szCs w:val="21"/>
                <w:highlight w:val="none"/>
                <w:lang w:val="en-US" w:eastAsia="zh-CN"/>
              </w:rPr>
              <w:t>润滑油</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设备维护</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0.</w:t>
            </w:r>
            <w:r>
              <w:rPr>
                <w:rFonts w:hint="eastAsia" w:ascii="Times New Roman" w:hAnsi="Times New Roman" w:eastAsia="宋体" w:cs="Times New Roman"/>
                <w:color w:val="auto"/>
                <w:spacing w:val="0"/>
                <w:szCs w:val="21"/>
                <w:highlight w:val="none"/>
                <w:lang w:val="en-US" w:eastAsia="zh-CN"/>
              </w:rPr>
              <w:t>07</w:t>
            </w:r>
          </w:p>
        </w:tc>
        <w:tc>
          <w:tcPr>
            <w:tcW w:w="13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暂未产生</w:t>
            </w:r>
          </w:p>
        </w:tc>
        <w:tc>
          <w:tcPr>
            <w:tcW w:w="135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0.54</w:t>
            </w:r>
          </w:p>
        </w:tc>
        <w:tc>
          <w:tcPr>
            <w:tcW w:w="1162"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8</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废油桶</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原料包装</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0.0</w:t>
            </w:r>
            <w:r>
              <w:rPr>
                <w:rFonts w:hint="eastAsia" w:ascii="Times New Roman" w:hAnsi="Times New Roman" w:eastAsia="宋体" w:cs="Times New Roman"/>
                <w:color w:val="auto"/>
                <w:spacing w:val="0"/>
                <w:szCs w:val="21"/>
                <w:highlight w:val="none"/>
                <w:lang w:val="en-US" w:eastAsia="zh-CN"/>
              </w:rPr>
              <w:t>3</w:t>
            </w:r>
          </w:p>
        </w:tc>
        <w:tc>
          <w:tcPr>
            <w:tcW w:w="13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暂未产生</w:t>
            </w:r>
          </w:p>
        </w:tc>
        <w:tc>
          <w:tcPr>
            <w:tcW w:w="135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0.</w:t>
            </w:r>
            <w:r>
              <w:rPr>
                <w:rFonts w:hint="eastAsia" w:ascii="Times New Roman" w:hAnsi="Times New Roman" w:eastAsia="宋体" w:cs="Times New Roman"/>
                <w:color w:val="auto"/>
                <w:spacing w:val="0"/>
                <w:szCs w:val="21"/>
                <w:highlight w:val="none"/>
                <w:lang w:val="en-US" w:eastAsia="zh-CN"/>
              </w:rPr>
              <w:t>07</w:t>
            </w:r>
          </w:p>
        </w:tc>
        <w:tc>
          <w:tcPr>
            <w:tcW w:w="1162"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9</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废活性炭</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废气处理</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4.5t/3a</w:t>
            </w:r>
          </w:p>
        </w:tc>
        <w:tc>
          <w:tcPr>
            <w:tcW w:w="13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暂未产生</w:t>
            </w:r>
          </w:p>
        </w:tc>
        <w:tc>
          <w:tcPr>
            <w:tcW w:w="135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0.0</w:t>
            </w:r>
            <w:r>
              <w:rPr>
                <w:rFonts w:hint="eastAsia" w:ascii="Times New Roman" w:hAnsi="Times New Roman" w:eastAsia="宋体" w:cs="Times New Roman"/>
                <w:color w:val="auto"/>
                <w:spacing w:val="0"/>
                <w:szCs w:val="21"/>
                <w:highlight w:val="none"/>
                <w:lang w:val="en-US" w:eastAsia="zh-CN"/>
              </w:rPr>
              <w:t>3</w:t>
            </w:r>
          </w:p>
        </w:tc>
        <w:tc>
          <w:tcPr>
            <w:tcW w:w="1162"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10</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废过滤棉</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废气处理</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0.</w:t>
            </w:r>
            <w:r>
              <w:rPr>
                <w:rFonts w:hint="eastAsia" w:ascii="Times New Roman" w:hAnsi="Times New Roman" w:eastAsia="宋体" w:cs="Times New Roman"/>
                <w:color w:val="auto"/>
                <w:spacing w:val="0"/>
                <w:szCs w:val="21"/>
                <w:highlight w:val="none"/>
                <w:lang w:val="en-US" w:eastAsia="zh-CN"/>
              </w:rPr>
              <w:t>6</w:t>
            </w:r>
          </w:p>
        </w:tc>
        <w:tc>
          <w:tcPr>
            <w:tcW w:w="13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暂未产生</w:t>
            </w:r>
          </w:p>
        </w:tc>
        <w:tc>
          <w:tcPr>
            <w:tcW w:w="135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1.5</w:t>
            </w:r>
          </w:p>
        </w:tc>
        <w:tc>
          <w:tcPr>
            <w:tcW w:w="1162"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11</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废催化剂</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废气处理</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0.12t/3a</w:t>
            </w:r>
          </w:p>
        </w:tc>
        <w:tc>
          <w:tcPr>
            <w:tcW w:w="13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暂未产生</w:t>
            </w:r>
          </w:p>
        </w:tc>
        <w:tc>
          <w:tcPr>
            <w:tcW w:w="135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0.6</w:t>
            </w:r>
          </w:p>
        </w:tc>
        <w:tc>
          <w:tcPr>
            <w:tcW w:w="1162"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废抹布</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擦拭</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0.03</w:t>
            </w:r>
          </w:p>
        </w:tc>
        <w:tc>
          <w:tcPr>
            <w:tcW w:w="1353"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0.002</w:t>
            </w:r>
          </w:p>
        </w:tc>
        <w:tc>
          <w:tcPr>
            <w:tcW w:w="135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0.024</w:t>
            </w:r>
          </w:p>
        </w:tc>
        <w:tc>
          <w:tcPr>
            <w:tcW w:w="1162"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47" w:type="dxa"/>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w:t>
            </w:r>
          </w:p>
        </w:tc>
        <w:tc>
          <w:tcPr>
            <w:tcW w:w="1142"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生活垃圾</w:t>
            </w:r>
          </w:p>
        </w:tc>
        <w:tc>
          <w:tcPr>
            <w:tcW w:w="128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员工生活</w:t>
            </w:r>
          </w:p>
        </w:tc>
        <w:tc>
          <w:tcPr>
            <w:tcW w:w="139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4.5</w:t>
            </w:r>
          </w:p>
        </w:tc>
        <w:tc>
          <w:tcPr>
            <w:tcW w:w="13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0.35</w:t>
            </w:r>
          </w:p>
        </w:tc>
        <w:tc>
          <w:tcPr>
            <w:tcW w:w="135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4.2</w:t>
            </w:r>
          </w:p>
        </w:tc>
        <w:tc>
          <w:tcPr>
            <w:tcW w:w="116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0.7</w:t>
            </w:r>
          </w:p>
        </w:tc>
      </w:tr>
    </w:tbl>
    <w:p>
      <w:pPr>
        <w:snapToGrid w:val="0"/>
        <w:spacing w:line="240" w:lineRule="auto"/>
        <w:ind w:firstLine="201" w:firstLineChars="200"/>
        <w:rPr>
          <w:rFonts w:hint="default" w:ascii="Times New Roman" w:hAnsi="Times New Roman" w:cs="Times New Roman"/>
          <w:b/>
          <w:bCs/>
          <w:sz w:val="10"/>
          <w:szCs w:val="10"/>
          <w:lang w:bidi="en-US"/>
        </w:rPr>
      </w:pPr>
    </w:p>
    <w:p>
      <w:pPr>
        <w:spacing w:line="360" w:lineRule="auto"/>
        <w:jc w:val="both"/>
        <w:rPr>
          <w:rFonts w:ascii="Times New Roman" w:hAnsi="Times New Roman" w:cs="Times New Roman"/>
          <w:b/>
          <w:bCs/>
          <w:szCs w:val="21"/>
          <w:highlight w:val="none"/>
        </w:rPr>
      </w:pPr>
      <w:r>
        <w:rPr>
          <w:rFonts w:hint="eastAsia"/>
          <w:b/>
          <w:bCs/>
          <w:sz w:val="24"/>
          <w:szCs w:val="24"/>
          <w:highlight w:val="none"/>
          <w:lang w:val="en-US" w:eastAsia="zh-CN"/>
        </w:rPr>
        <w:t>固（液）体废弃物暂存场所图片</w:t>
      </w:r>
      <w:r>
        <w:rPr>
          <w:rFonts w:hint="default"/>
          <w:b/>
          <w:bCs/>
          <w:sz w:val="24"/>
          <w:szCs w:val="24"/>
          <w:highlight w:val="none"/>
          <w:lang w:val="en-US" w:eastAsia="zh-CN"/>
        </w:rPr>
        <w:t>如下</w:t>
      </w:r>
      <w:r>
        <w:rPr>
          <w:rFonts w:hint="eastAsia"/>
          <w:b/>
          <w:bCs/>
          <w:sz w:val="24"/>
          <w:szCs w:val="24"/>
          <w:highlight w:val="none"/>
          <w:lang w:val="en-US" w:eastAsia="zh-CN"/>
        </w:rPr>
        <w:t>：</w:t>
      </w:r>
    </w:p>
    <w:bookmarkEnd w:id="49"/>
    <w:tbl>
      <w:tblPr>
        <w:tblStyle w:val="32"/>
        <w:tblW w:w="511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53"/>
        <w:gridCol w:w="4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707" w:type="dxa"/>
            <w:gridSpan w:val="2"/>
            <w:tcBorders>
              <w:tl2br w:val="nil"/>
              <w:tr2bl w:val="nil"/>
            </w:tcBorders>
            <w:vAlign w:val="center"/>
          </w:tcPr>
          <w:p>
            <w:pPr>
              <w:pStyle w:val="27"/>
              <w:keepNext w:val="0"/>
              <w:keepLines w:val="0"/>
              <w:widowControl/>
              <w:suppressLineNumbers w:val="0"/>
              <w:jc w:val="center"/>
              <w:rPr>
                <w:rFonts w:hint="eastAsia" w:eastAsia="宋体"/>
                <w:vertAlign w:val="baseline"/>
                <w:lang w:eastAsia="zh-CN"/>
              </w:rPr>
            </w:pPr>
            <w:bookmarkStart w:id="50" w:name="_Toc28421"/>
            <w:r>
              <w:rPr>
                <w:rFonts w:hint="eastAsia" w:eastAsia="宋体"/>
                <w:vertAlign w:val="baseline"/>
                <w:lang w:eastAsia="zh-CN"/>
              </w:rPr>
              <w:drawing>
                <wp:inline distT="0" distB="0" distL="114300" distR="114300">
                  <wp:extent cx="3480435" cy="2609215"/>
                  <wp:effectExtent l="0" t="0" r="5715" b="635"/>
                  <wp:docPr id="81" name="图片 81" descr="483d0774b31b45b1962406cf88ae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483d0774b31b45b1962406cf88ae6b7"/>
                          <pic:cNvPicPr>
                            <a:picLocks noChangeAspect="1"/>
                          </pic:cNvPicPr>
                        </pic:nvPicPr>
                        <pic:blipFill>
                          <a:blip r:embed="rId39"/>
                          <a:stretch>
                            <a:fillRect/>
                          </a:stretch>
                        </pic:blipFill>
                        <pic:spPr>
                          <a:xfrm>
                            <a:off x="0" y="0"/>
                            <a:ext cx="3480435" cy="26092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707" w:type="dxa"/>
            <w:gridSpan w:val="2"/>
            <w:tcBorders>
              <w:tl2br w:val="nil"/>
              <w:tr2bl w:val="nil"/>
            </w:tcBorders>
            <w:vAlign w:val="center"/>
          </w:tcPr>
          <w:p>
            <w:pPr>
              <w:pStyle w:val="3"/>
              <w:jc w:val="center"/>
              <w:rPr>
                <w:rFonts w:hint="default" w:ascii="Times New Roman" w:hAnsi="Times New Roman" w:eastAsia="宋体" w:cs="Times New Roman"/>
                <w:b/>
                <w:bCs/>
                <w:spacing w:val="0"/>
                <w:kern w:val="2"/>
                <w:sz w:val="21"/>
                <w:szCs w:val="21"/>
                <w:lang w:val="en-US" w:eastAsia="zh-CN" w:bidi="ar-SA"/>
              </w:rPr>
            </w:pPr>
            <w:r>
              <w:rPr>
                <w:rFonts w:hint="eastAsia" w:ascii="Times New Roman" w:hAnsi="Times New Roman" w:cs="Times New Roman"/>
                <w:b/>
                <w:bCs/>
                <w:spacing w:val="0"/>
                <w:kern w:val="2"/>
                <w:sz w:val="21"/>
                <w:szCs w:val="21"/>
                <w:lang w:val="en-US" w:eastAsia="zh-CN" w:bidi="ar-SA"/>
              </w:rPr>
              <w:t xml:space="preserve">图4.1.4-1 </w:t>
            </w:r>
            <w:r>
              <w:rPr>
                <w:rFonts w:hint="eastAsia" w:ascii="Times New Roman" w:hAnsi="Times New Roman" w:eastAsia="宋体" w:cs="Times New Roman"/>
                <w:b/>
                <w:bCs/>
                <w:spacing w:val="0"/>
                <w:kern w:val="2"/>
                <w:sz w:val="21"/>
                <w:szCs w:val="21"/>
                <w:lang w:val="en-US" w:eastAsia="zh-CN" w:bidi="ar-SA"/>
              </w:rPr>
              <w:t>危废仓库外部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353" w:type="dxa"/>
            <w:tcBorders>
              <w:tl2br w:val="nil"/>
              <w:tr2bl w:val="nil"/>
            </w:tcBorders>
            <w:vAlign w:val="center"/>
          </w:tcPr>
          <w:p>
            <w:pPr>
              <w:pStyle w:val="3"/>
              <w:jc w:val="center"/>
              <w:rPr>
                <w:rFonts w:hint="eastAsia" w:ascii="Times New Roman" w:hAnsi="Times New Roman" w:eastAsia="宋体" w:cs="Times New Roman"/>
                <w:b/>
                <w:bCs/>
                <w:spacing w:val="0"/>
                <w:kern w:val="2"/>
                <w:sz w:val="21"/>
                <w:szCs w:val="21"/>
                <w:lang w:val="en-US" w:eastAsia="zh-CN" w:bidi="ar-SA"/>
              </w:rPr>
            </w:pPr>
            <w:r>
              <w:rPr>
                <w:rFonts w:hint="eastAsia" w:ascii="Times New Roman" w:hAnsi="Times New Roman" w:eastAsia="宋体" w:cs="Times New Roman"/>
                <w:b/>
                <w:bCs/>
                <w:spacing w:val="0"/>
                <w:kern w:val="2"/>
                <w:sz w:val="21"/>
                <w:szCs w:val="21"/>
                <w:lang w:val="en-US" w:eastAsia="zh-CN" w:bidi="ar-SA"/>
              </w:rPr>
              <w:drawing>
                <wp:inline distT="0" distB="0" distL="114300" distR="114300">
                  <wp:extent cx="2616200" cy="1961515"/>
                  <wp:effectExtent l="0" t="0" r="12700" b="635"/>
                  <wp:docPr id="83" name="图片 83" descr="f0e7dc442225bfb9ec54735b5b5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0e7dc442225bfb9ec54735b5b58859"/>
                          <pic:cNvPicPr>
                            <a:picLocks noChangeAspect="1"/>
                          </pic:cNvPicPr>
                        </pic:nvPicPr>
                        <pic:blipFill>
                          <a:blip r:embed="rId40"/>
                          <a:stretch>
                            <a:fillRect/>
                          </a:stretch>
                        </pic:blipFill>
                        <pic:spPr>
                          <a:xfrm>
                            <a:off x="0" y="0"/>
                            <a:ext cx="2616200" cy="1961515"/>
                          </a:xfrm>
                          <a:prstGeom prst="rect">
                            <a:avLst/>
                          </a:prstGeom>
                        </pic:spPr>
                      </pic:pic>
                    </a:graphicData>
                  </a:graphic>
                </wp:inline>
              </w:drawing>
            </w:r>
          </w:p>
        </w:tc>
        <w:tc>
          <w:tcPr>
            <w:tcW w:w="4354" w:type="dxa"/>
            <w:tcBorders>
              <w:tl2br w:val="nil"/>
              <w:tr2bl w:val="nil"/>
            </w:tcBorders>
            <w:vAlign w:val="center"/>
          </w:tcPr>
          <w:p>
            <w:pPr>
              <w:pStyle w:val="3"/>
              <w:jc w:val="center"/>
              <w:rPr>
                <w:rFonts w:hint="eastAsia" w:ascii="Times New Roman" w:hAnsi="Times New Roman" w:eastAsia="宋体" w:cs="Times New Roman"/>
                <w:b/>
                <w:bCs/>
                <w:spacing w:val="0"/>
                <w:kern w:val="2"/>
                <w:sz w:val="21"/>
                <w:szCs w:val="21"/>
                <w:lang w:val="en-US" w:eastAsia="zh-CN" w:bidi="ar-SA"/>
              </w:rPr>
            </w:pPr>
            <w:r>
              <w:rPr>
                <w:rFonts w:hint="eastAsia" w:ascii="Times New Roman" w:hAnsi="Times New Roman" w:eastAsia="宋体" w:cs="Times New Roman"/>
                <w:b/>
                <w:bCs/>
                <w:spacing w:val="0"/>
                <w:kern w:val="2"/>
                <w:sz w:val="21"/>
                <w:szCs w:val="21"/>
                <w:lang w:val="en-US" w:eastAsia="zh-CN" w:bidi="ar-SA"/>
              </w:rPr>
              <w:drawing>
                <wp:inline distT="0" distB="0" distL="114300" distR="114300">
                  <wp:extent cx="2616200" cy="1961515"/>
                  <wp:effectExtent l="0" t="0" r="12700" b="635"/>
                  <wp:docPr id="84" name="图片 84" descr="8c6a2ecacec57ae2a80c0fca9327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8c6a2ecacec57ae2a80c0fca9327b8f"/>
                          <pic:cNvPicPr>
                            <a:picLocks noChangeAspect="1"/>
                          </pic:cNvPicPr>
                        </pic:nvPicPr>
                        <pic:blipFill>
                          <a:blip r:embed="rId41"/>
                          <a:stretch>
                            <a:fillRect/>
                          </a:stretch>
                        </pic:blipFill>
                        <pic:spPr>
                          <a:xfrm>
                            <a:off x="0" y="0"/>
                            <a:ext cx="2616200" cy="19615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707" w:type="dxa"/>
            <w:gridSpan w:val="2"/>
            <w:tcBorders>
              <w:tl2br w:val="nil"/>
              <w:tr2bl w:val="nil"/>
            </w:tcBorders>
            <w:vAlign w:val="center"/>
          </w:tcPr>
          <w:p>
            <w:pPr>
              <w:pStyle w:val="3"/>
              <w:jc w:val="center"/>
              <w:rPr>
                <w:rFonts w:hint="default" w:ascii="Times New Roman" w:hAnsi="Times New Roman" w:eastAsia="宋体" w:cs="Times New Roman"/>
                <w:b/>
                <w:bCs/>
                <w:spacing w:val="0"/>
                <w:kern w:val="2"/>
                <w:sz w:val="21"/>
                <w:szCs w:val="21"/>
                <w:lang w:val="en-US" w:eastAsia="zh-CN" w:bidi="ar-SA"/>
              </w:rPr>
            </w:pPr>
            <w:r>
              <w:rPr>
                <w:rFonts w:hint="eastAsia" w:ascii="Times New Roman" w:hAnsi="Times New Roman" w:cs="Times New Roman"/>
                <w:b/>
                <w:bCs/>
                <w:spacing w:val="0"/>
                <w:kern w:val="2"/>
                <w:sz w:val="21"/>
                <w:szCs w:val="21"/>
                <w:lang w:val="en-US" w:eastAsia="zh-CN" w:bidi="ar-SA"/>
              </w:rPr>
              <w:t xml:space="preserve">图4.1.4-2 </w:t>
            </w:r>
            <w:r>
              <w:rPr>
                <w:rFonts w:hint="eastAsia" w:ascii="Times New Roman" w:hAnsi="Times New Roman" w:eastAsia="宋体" w:cs="Times New Roman"/>
                <w:b/>
                <w:bCs/>
                <w:spacing w:val="0"/>
                <w:kern w:val="2"/>
                <w:sz w:val="21"/>
                <w:szCs w:val="21"/>
                <w:lang w:val="en-US" w:eastAsia="zh-CN" w:bidi="ar-SA"/>
              </w:rPr>
              <w:t>危废仓库内部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707" w:type="dxa"/>
            <w:gridSpan w:val="2"/>
            <w:tcBorders>
              <w:tl2br w:val="nil"/>
              <w:tr2bl w:val="nil"/>
            </w:tcBorders>
            <w:vAlign w:val="center"/>
          </w:tcPr>
          <w:p>
            <w:pPr>
              <w:pStyle w:val="3"/>
              <w:jc w:val="center"/>
              <w:rPr>
                <w:rFonts w:hint="eastAsia" w:ascii="Times New Roman" w:hAnsi="Times New Roman" w:eastAsia="宋体" w:cs="Times New Roman"/>
                <w:b/>
                <w:bCs/>
                <w:spacing w:val="0"/>
                <w:kern w:val="2"/>
                <w:sz w:val="21"/>
                <w:szCs w:val="21"/>
                <w:highlight w:val="red"/>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707" w:type="dxa"/>
            <w:gridSpan w:val="2"/>
            <w:tcBorders>
              <w:tl2br w:val="nil"/>
              <w:tr2bl w:val="nil"/>
            </w:tcBorders>
            <w:vAlign w:val="center"/>
          </w:tcPr>
          <w:p>
            <w:pPr>
              <w:pStyle w:val="3"/>
              <w:jc w:val="center"/>
              <w:rPr>
                <w:rFonts w:hint="eastAsia" w:ascii="Times New Roman" w:hAnsi="Times New Roman" w:eastAsia="宋体" w:cs="Times New Roman"/>
                <w:b/>
                <w:bCs/>
                <w:spacing w:val="0"/>
                <w:kern w:val="2"/>
                <w:sz w:val="21"/>
                <w:szCs w:val="21"/>
                <w:highlight w:val="red"/>
                <w:lang w:val="en-US" w:eastAsia="zh-CN" w:bidi="ar-SA"/>
              </w:rPr>
            </w:pPr>
            <w:r>
              <w:rPr>
                <w:rFonts w:hint="eastAsia" w:ascii="Times New Roman" w:hAnsi="Times New Roman" w:cs="Times New Roman"/>
                <w:b/>
                <w:bCs/>
                <w:spacing w:val="0"/>
                <w:kern w:val="2"/>
                <w:sz w:val="21"/>
                <w:szCs w:val="21"/>
                <w:highlight w:val="red"/>
                <w:lang w:val="en-US" w:eastAsia="zh-CN" w:bidi="ar-SA"/>
              </w:rPr>
              <w:t xml:space="preserve">图4.1.4-3 </w:t>
            </w:r>
            <w:r>
              <w:rPr>
                <w:rFonts w:hint="eastAsia" w:ascii="Times New Roman" w:hAnsi="Times New Roman" w:eastAsia="宋体" w:cs="Times New Roman"/>
                <w:b/>
                <w:bCs/>
                <w:spacing w:val="0"/>
                <w:kern w:val="2"/>
                <w:sz w:val="21"/>
                <w:szCs w:val="21"/>
                <w:highlight w:val="red"/>
                <w:lang w:val="en-US" w:eastAsia="zh-CN" w:bidi="ar-SA"/>
              </w:rPr>
              <w:t>一般固废仓库</w:t>
            </w:r>
          </w:p>
        </w:tc>
      </w:tr>
    </w:tbl>
    <w:p>
      <w:pPr>
        <w:pStyle w:val="5"/>
        <w:rPr>
          <w:rFonts w:eastAsia="宋体"/>
        </w:rPr>
      </w:pPr>
      <w:r>
        <w:rPr>
          <w:rFonts w:eastAsia="宋体"/>
        </w:rPr>
        <w:t>4.2其他环境保护设施</w:t>
      </w:r>
      <w:bookmarkEnd w:id="50"/>
    </w:p>
    <w:p>
      <w:pPr>
        <w:pStyle w:val="6"/>
      </w:pPr>
      <w:bookmarkStart w:id="51" w:name="_Toc3966"/>
      <w:r>
        <w:rPr>
          <w:rFonts w:hint="eastAsia"/>
        </w:rPr>
        <w:t>4.2.1环境风险防范设施</w:t>
      </w:r>
      <w:bookmarkEnd w:id="51"/>
    </w:p>
    <w:p>
      <w:pPr>
        <w:adjustRightInd w:val="0"/>
        <w:snapToGrid w:val="0"/>
        <w:spacing w:line="360" w:lineRule="auto"/>
        <w:ind w:firstLine="480" w:firstLineChars="200"/>
        <w:jc w:val="left"/>
        <w:rPr>
          <w:rFonts w:hint="eastAsia" w:ascii="Times New Roman" w:hAnsi="Times New Roman"/>
          <w:sz w:val="24"/>
          <w:szCs w:val="24"/>
          <w:lang w:bidi="en-US"/>
        </w:rPr>
      </w:pPr>
      <w:r>
        <w:rPr>
          <w:rFonts w:hint="eastAsia" w:ascii="Times New Roman" w:hAnsi="Times New Roman"/>
          <w:sz w:val="24"/>
          <w:szCs w:val="24"/>
          <w:lang w:bidi="en-US"/>
        </w:rPr>
        <w:t>金华市生态环境局文件《</w:t>
      </w:r>
      <w:r>
        <w:rPr>
          <w:rFonts w:hint="eastAsia" w:ascii="Times New Roman" w:hAnsi="Times New Roman" w:cs="Times New Roman"/>
          <w:sz w:val="24"/>
          <w:szCs w:val="24"/>
          <w:lang w:val="en-US" w:eastAsia="zh-CN" w:bidi="en-US"/>
        </w:rPr>
        <w:t>关于</w:t>
      </w:r>
      <w:r>
        <w:rPr>
          <w:rFonts w:hint="eastAsia" w:ascii="Times New Roman" w:hAnsi="Times New Roman"/>
          <w:sz w:val="24"/>
          <w:szCs w:val="24"/>
          <w:lang w:bidi="en-US"/>
        </w:rPr>
        <w:t>浙江历山红工贸有限公司年产8000樘非标门生产线技改项目环境影响报告表的审查意见》（金环建永【2023】39）中对</w:t>
      </w:r>
      <w:r>
        <w:rPr>
          <w:rFonts w:hint="eastAsia" w:ascii="Times New Roman" w:hAnsi="Times New Roman"/>
          <w:sz w:val="24"/>
          <w:szCs w:val="24"/>
          <w:lang w:val="en-US" w:eastAsia="zh-CN" w:bidi="en-US"/>
        </w:rPr>
        <w:t>突发环境事件</w:t>
      </w:r>
      <w:r>
        <w:rPr>
          <w:rFonts w:hint="eastAsia" w:ascii="Times New Roman" w:hAnsi="Times New Roman"/>
          <w:sz w:val="24"/>
          <w:szCs w:val="24"/>
          <w:lang w:bidi="en-US"/>
        </w:rPr>
        <w:t>应急预案未作出要求。企业设立专门的环保管理机构和专职人员，建立了完善的制度体系，确保制度执行落到实处，并记录原辅材料类别、使用量、产品产量和废气处理设施运行状况。配备了专职人员按时巡查设施运行情况，组织专门人员每天多次进行周期性巡回检查，有跑冒滴漏或其他异常现象的应及时检修，必要时按照“生产服从安全”原则停车检修，严禁生产线带病生产。重视对无组织废气排放源，做到守职尽责，防患于未然。</w:t>
      </w:r>
    </w:p>
    <w:p>
      <w:pPr>
        <w:adjustRightInd w:val="0"/>
        <w:snapToGrid w:val="0"/>
        <w:spacing w:line="360" w:lineRule="auto"/>
        <w:ind w:firstLine="480" w:firstLineChars="200"/>
        <w:jc w:val="left"/>
        <w:rPr>
          <w:rFonts w:hint="eastAsia" w:ascii="Times New Roman" w:hAnsi="Times New Roman"/>
          <w:sz w:val="24"/>
          <w:szCs w:val="24"/>
          <w:lang w:bidi="en-US"/>
        </w:rPr>
      </w:pPr>
      <w:r>
        <w:rPr>
          <w:rFonts w:hint="eastAsia" w:ascii="Times New Roman" w:hAnsi="Times New Roman"/>
          <w:sz w:val="24"/>
          <w:szCs w:val="24"/>
          <w:lang w:bidi="en-US"/>
        </w:rPr>
        <w:t>（1）</w:t>
      </w:r>
      <w:r>
        <w:rPr>
          <w:rFonts w:hint="eastAsia" w:ascii="Times New Roman" w:hAnsi="Times New Roman"/>
          <w:sz w:val="24"/>
          <w:szCs w:val="24"/>
          <w:lang w:val="en-US" w:eastAsia="zh-CN" w:bidi="en-US"/>
        </w:rPr>
        <w:t>油漆、稀释剂、聚氨酯胶及润滑油密封保存，不露天堆放；危险废物暂存场所基础已按照要求防渗处理，做好防风、防雨、防晒，并设计有堵截泄漏的裙脚、围堰等设施</w:t>
      </w:r>
      <w:r>
        <w:rPr>
          <w:rFonts w:hint="eastAsia" w:ascii="Times New Roman" w:hAnsi="Times New Roman"/>
          <w:sz w:val="24"/>
          <w:szCs w:val="24"/>
          <w:lang w:bidi="en-US"/>
        </w:rPr>
        <w:t>；</w:t>
      </w:r>
    </w:p>
    <w:p>
      <w:pPr>
        <w:adjustRightInd w:val="0"/>
        <w:snapToGrid w:val="0"/>
        <w:spacing w:line="360" w:lineRule="auto"/>
        <w:ind w:firstLine="480" w:firstLineChars="200"/>
        <w:jc w:val="left"/>
        <w:rPr>
          <w:rFonts w:hint="eastAsia" w:ascii="Times New Roman" w:hAnsi="Times New Roman"/>
          <w:sz w:val="24"/>
          <w:szCs w:val="24"/>
          <w:highlight w:val="none"/>
          <w:lang w:bidi="en-US"/>
        </w:rPr>
      </w:pPr>
      <w:r>
        <w:rPr>
          <w:rFonts w:hint="eastAsia" w:ascii="Times New Roman" w:hAnsi="Times New Roman"/>
          <w:sz w:val="24"/>
          <w:szCs w:val="24"/>
          <w:lang w:bidi="en-US"/>
        </w:rPr>
        <w:t>（</w:t>
      </w:r>
      <w:r>
        <w:rPr>
          <w:rFonts w:hint="eastAsia" w:ascii="Times New Roman" w:hAnsi="Times New Roman"/>
          <w:sz w:val="24"/>
          <w:szCs w:val="24"/>
          <w:lang w:val="en-US" w:eastAsia="zh-CN" w:bidi="en-US"/>
        </w:rPr>
        <w:t>2</w:t>
      </w:r>
      <w:r>
        <w:rPr>
          <w:rFonts w:hint="eastAsia" w:ascii="Times New Roman" w:hAnsi="Times New Roman"/>
          <w:sz w:val="24"/>
          <w:szCs w:val="24"/>
          <w:lang w:bidi="en-US"/>
        </w:rPr>
        <w:t>）</w:t>
      </w:r>
      <w:r>
        <w:rPr>
          <w:rFonts w:hint="eastAsia" w:ascii="Times New Roman" w:hAnsi="Times New Roman"/>
          <w:sz w:val="24"/>
          <w:szCs w:val="24"/>
          <w:highlight w:val="none"/>
          <w:lang w:bidi="en-US"/>
        </w:rPr>
        <w:t>加强对废气治理设备的管理和维修，严格杜绝废气系统的瘫痪的事故发生；</w:t>
      </w:r>
    </w:p>
    <w:p>
      <w:pPr>
        <w:adjustRightInd w:val="0"/>
        <w:snapToGrid w:val="0"/>
        <w:spacing w:line="360" w:lineRule="auto"/>
        <w:ind w:firstLine="480" w:firstLineChars="200"/>
        <w:jc w:val="left"/>
        <w:rPr>
          <w:rFonts w:ascii="Times New Roman" w:hAnsi="Times New Roman"/>
          <w:sz w:val="24"/>
          <w:szCs w:val="24"/>
          <w:highlight w:val="none"/>
          <w:lang w:bidi="en-US"/>
        </w:rPr>
      </w:pPr>
      <w:r>
        <w:rPr>
          <w:rFonts w:hint="eastAsia" w:ascii="Times New Roman" w:hAnsi="Times New Roman"/>
          <w:sz w:val="24"/>
          <w:szCs w:val="24"/>
          <w:highlight w:val="none"/>
          <w:lang w:bidi="en-US"/>
        </w:rPr>
        <w:t>（</w:t>
      </w:r>
      <w:r>
        <w:rPr>
          <w:rFonts w:hint="eastAsia" w:ascii="Times New Roman" w:hAnsi="Times New Roman"/>
          <w:sz w:val="24"/>
          <w:szCs w:val="24"/>
          <w:highlight w:val="none"/>
          <w:lang w:val="en-US" w:eastAsia="zh-CN" w:bidi="en-US"/>
        </w:rPr>
        <w:t>3</w:t>
      </w:r>
      <w:r>
        <w:rPr>
          <w:rFonts w:hint="eastAsia" w:ascii="Times New Roman" w:hAnsi="Times New Roman"/>
          <w:sz w:val="24"/>
          <w:szCs w:val="24"/>
          <w:highlight w:val="none"/>
          <w:lang w:bidi="en-US"/>
        </w:rPr>
        <w:t>）企业配备相应的应急设施与物资。具体配备类型</w:t>
      </w:r>
      <w:r>
        <w:rPr>
          <w:rFonts w:hint="eastAsia" w:ascii="Times New Roman" w:hAnsi="Times New Roman"/>
          <w:sz w:val="24"/>
          <w:szCs w:val="24"/>
          <w:highlight w:val="none"/>
          <w:lang w:val="en-US" w:eastAsia="zh-CN" w:bidi="en-US"/>
        </w:rPr>
        <w:t>为</w:t>
      </w:r>
      <w:r>
        <w:rPr>
          <w:rFonts w:hint="eastAsia" w:ascii="Times New Roman" w:hAnsi="Times New Roman"/>
          <w:sz w:val="24"/>
          <w:szCs w:val="24"/>
          <w:highlight w:val="none"/>
          <w:lang w:bidi="en-US"/>
        </w:rPr>
        <w:t>：a、消防器材（如灭火器、消防栓、消防泵等）；b、急救物资如急救箱；c、其余如应急照明等应急物资。</w:t>
      </w:r>
    </w:p>
    <w:p>
      <w:pPr>
        <w:pStyle w:val="6"/>
      </w:pPr>
      <w:bookmarkStart w:id="52" w:name="_Toc26791"/>
      <w:r>
        <w:rPr>
          <w:rFonts w:hint="eastAsia"/>
        </w:rPr>
        <w:t>4.2.2规范化排污口、监测设施及在线监测装置</w:t>
      </w:r>
      <w:bookmarkEnd w:id="52"/>
    </w:p>
    <w:p>
      <w:pPr>
        <w:snapToGrid w:val="0"/>
        <w:spacing w:line="360" w:lineRule="auto"/>
        <w:ind w:firstLine="480" w:firstLineChars="200"/>
        <w:rPr>
          <w:rFonts w:ascii="Times New Roman" w:hAnsi="Times New Roman"/>
        </w:rPr>
      </w:pPr>
      <w:r>
        <w:rPr>
          <w:rFonts w:hint="default" w:ascii="Times New Roman" w:hAnsi="Times New Roman" w:cs="Times New Roman"/>
          <w:sz w:val="24"/>
          <w:szCs w:val="24"/>
          <w:lang w:bidi="en-US"/>
        </w:rPr>
        <w:t>已设置规范化排污口。《浙江历山红工贸有限公司年产8000樘非标门生产线技改项目环境影响报告表》及《</w:t>
      </w:r>
      <w:r>
        <w:rPr>
          <w:rFonts w:hint="eastAsia" w:ascii="Times New Roman" w:hAnsi="Times New Roman" w:cs="Times New Roman"/>
          <w:sz w:val="24"/>
          <w:szCs w:val="24"/>
          <w:lang w:val="en-US" w:eastAsia="zh-CN" w:bidi="en-US"/>
        </w:rPr>
        <w:t>关于</w:t>
      </w:r>
      <w:r>
        <w:rPr>
          <w:rFonts w:hint="default" w:ascii="Times New Roman" w:hAnsi="Times New Roman" w:cs="Times New Roman"/>
          <w:sz w:val="24"/>
          <w:szCs w:val="24"/>
          <w:lang w:bidi="en-US"/>
        </w:rPr>
        <w:t>浙江历山红工贸有限公司年产8000樘非标门生产线技改项目环境影响报告表的审查意见》（金环建永【2023】39）</w:t>
      </w:r>
      <w:r>
        <w:rPr>
          <w:rFonts w:hint="default" w:ascii="Times New Roman" w:hAnsi="Times New Roman" w:cs="Times New Roman"/>
          <w:sz w:val="24"/>
          <w:szCs w:val="24"/>
          <w:lang w:bidi="en-US"/>
        </w:rPr>
        <w:t>中对在线监测置装未作出要求。项目无在线监测装置，符合当地环保部门要求</w:t>
      </w:r>
      <w:r>
        <w:rPr>
          <w:rFonts w:ascii="Times New Roman" w:hAnsi="Times New Roman"/>
          <w:sz w:val="24"/>
          <w:szCs w:val="24"/>
          <w:lang w:bidi="en-US"/>
        </w:rPr>
        <w:t>。</w:t>
      </w:r>
    </w:p>
    <w:p>
      <w:pPr>
        <w:pStyle w:val="6"/>
      </w:pPr>
      <w:bookmarkStart w:id="53" w:name="_Toc24738"/>
      <w:r>
        <w:rPr>
          <w:rFonts w:hint="eastAsia"/>
        </w:rPr>
        <w:t>4.2.3其他设施</w:t>
      </w:r>
      <w:bookmarkEnd w:id="53"/>
    </w:p>
    <w:p>
      <w:pPr>
        <w:adjustRightInd w:val="0"/>
        <w:snapToGrid w:val="0"/>
        <w:spacing w:line="360" w:lineRule="auto"/>
        <w:ind w:firstLine="480" w:firstLineChars="200"/>
        <w:rPr>
          <w:rFonts w:hint="eastAsia" w:ascii="Times New Roman" w:hAnsi="Times New Roman"/>
          <w:sz w:val="24"/>
          <w:szCs w:val="24"/>
          <w:lang w:bidi="en-US"/>
        </w:rPr>
      </w:pPr>
      <w:r>
        <w:rPr>
          <w:rFonts w:hint="eastAsia" w:ascii="Times New Roman" w:hAnsi="Times New Roman"/>
          <w:sz w:val="24"/>
          <w:szCs w:val="24"/>
          <w:lang w:bidi="en-US"/>
        </w:rPr>
        <w:t>本项目</w:t>
      </w:r>
      <w:r>
        <w:rPr>
          <w:rFonts w:hint="eastAsia" w:ascii="Times New Roman" w:hAnsi="Times New Roman"/>
          <w:sz w:val="24"/>
          <w:szCs w:val="24"/>
          <w:lang w:val="en-US" w:eastAsia="zh-CN" w:bidi="en-US"/>
        </w:rPr>
        <w:t>为新建（迁建）项目，原有项目已停产，设备已拆除</w:t>
      </w:r>
      <w:r>
        <w:rPr>
          <w:rFonts w:hint="eastAsia" w:ascii="Times New Roman" w:hAnsi="Times New Roman"/>
          <w:sz w:val="24"/>
          <w:szCs w:val="24"/>
          <w:lang w:bidi="en-US"/>
        </w:rPr>
        <w:t>。</w:t>
      </w:r>
    </w:p>
    <w:p>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1、厂区地面硬化；</w:t>
      </w:r>
    </w:p>
    <w:p>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2、建议将危废暂存室等区域做好重点防渗区；</w:t>
      </w:r>
    </w:p>
    <w:p>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3、加强地下水和土壤的污染监控。</w:t>
      </w:r>
    </w:p>
    <w:p>
      <w:pPr>
        <w:adjustRightInd w:val="0"/>
        <w:snapToGrid w:val="0"/>
        <w:spacing w:line="360" w:lineRule="auto"/>
        <w:ind w:firstLine="480" w:firstLineChars="200"/>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其他环境管理措施：</w:t>
      </w:r>
    </w:p>
    <w:p>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1、企业应加强对从业人员的安全卫生教育和技术培训，使职工较全面的接受有关安全卫生的政策、法规教育，增强法制观念，不断强化职工安全意识，不断提高职工安全素质，增强职工处理突发安全事故的能力。</w:t>
      </w:r>
    </w:p>
    <w:p>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2、企业在生产过程中要密切注意原料存放区、危废间及生产设备，有异常现象的应及时检修，必要时按照“生产服从安全”原则停产检修，严禁不正常运转。</w:t>
      </w:r>
    </w:p>
    <w:p>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3、油漆、稀释剂、聚氨酯胶、润滑油密封保存，不得露天堆放，在原料存放区域四周设置一定高度的围堰，同时地面进行硬化处理；危险废物暂存场所基础按照要求防渗处理，做好防风、防雨、防晒，并设计有堵截泄漏的裙脚、围堰等设施。</w:t>
      </w:r>
    </w:p>
    <w:p>
      <w:pPr>
        <w:adjustRightInd w:val="0"/>
        <w:snapToGrid w:val="0"/>
        <w:spacing w:line="360" w:lineRule="auto"/>
        <w:ind w:firstLine="480" w:firstLineChars="20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4、加强各污染防治措施管理，做好运行台账记录，确保污染物稳定达标排放。同时，根据《排污单位自行监测技术指南 总则》（HJ819-2017）中的相关要求，落实日常管理环境监测工作。</w:t>
      </w:r>
    </w:p>
    <w:p>
      <w:pPr>
        <w:pStyle w:val="5"/>
        <w:rPr>
          <w:rFonts w:eastAsia="宋体"/>
        </w:rPr>
      </w:pPr>
      <w:bookmarkStart w:id="54" w:name="_Toc5309"/>
      <w:r>
        <w:rPr>
          <w:rFonts w:eastAsia="宋体"/>
        </w:rPr>
        <w:t>4.3环保设施投资及“三同时”落实情况</w:t>
      </w:r>
      <w:bookmarkEnd w:id="54"/>
    </w:p>
    <w:p>
      <w:pPr>
        <w:pStyle w:val="6"/>
        <w:spacing w:before="120" w:after="120"/>
        <w:rPr>
          <w:rFonts w:eastAsia="宋体" w:cs="Times New Roman"/>
          <w:sz w:val="24"/>
          <w:szCs w:val="24"/>
        </w:rPr>
      </w:pPr>
      <w:bookmarkStart w:id="55" w:name="_Toc28922"/>
      <w:r>
        <w:t>4.</w:t>
      </w:r>
      <w:r>
        <w:rPr>
          <w:rFonts w:hint="eastAsia"/>
        </w:rPr>
        <w:t>3</w:t>
      </w:r>
      <w:r>
        <w:t>.</w:t>
      </w:r>
      <w:r>
        <w:rPr>
          <w:rFonts w:hint="eastAsia"/>
        </w:rPr>
        <w:t>1</w:t>
      </w:r>
      <w:r>
        <w:t xml:space="preserve"> </w:t>
      </w:r>
      <w:r>
        <w:rPr>
          <w:rFonts w:hint="eastAsia"/>
        </w:rPr>
        <w:t>环保设施投资</w:t>
      </w:r>
      <w:bookmarkEnd w:id="55"/>
    </w:p>
    <w:p>
      <w:pPr>
        <w:adjustRightInd w:val="0"/>
        <w:snapToGrid w:val="0"/>
        <w:spacing w:line="360" w:lineRule="auto"/>
        <w:ind w:firstLine="480" w:firstLineChars="200"/>
        <w:rPr>
          <w:rFonts w:ascii="Times New Roman" w:hAnsi="Times New Roman"/>
          <w:color w:val="000000" w:themeColor="text1"/>
          <w:sz w:val="24"/>
          <w:szCs w:val="24"/>
          <w:lang w:bidi="en-US"/>
          <w14:textFill>
            <w14:solidFill>
              <w14:schemeClr w14:val="tx1"/>
            </w14:solidFill>
          </w14:textFill>
        </w:rPr>
      </w:pPr>
      <w:r>
        <w:rPr>
          <w:rFonts w:ascii="Times New Roman" w:hAnsi="Times New Roman"/>
          <w:color w:val="000000" w:themeColor="text1"/>
          <w:sz w:val="24"/>
          <w:szCs w:val="24"/>
          <w:lang w:bidi="en-US"/>
          <w14:textFill>
            <w14:solidFill>
              <w14:schemeClr w14:val="tx1"/>
            </w14:solidFill>
          </w14:textFill>
        </w:rPr>
        <w:t>在生产过程中产生</w:t>
      </w:r>
      <w:r>
        <w:rPr>
          <w:rFonts w:hint="eastAsia" w:ascii="Times New Roman" w:hAnsi="Times New Roman"/>
          <w:color w:val="000000" w:themeColor="text1"/>
          <w:sz w:val="24"/>
          <w:szCs w:val="24"/>
          <w:lang w:bidi="en-US"/>
          <w14:textFill>
            <w14:solidFill>
              <w14:schemeClr w14:val="tx1"/>
            </w14:solidFill>
          </w14:textFill>
        </w:rPr>
        <w:t>“</w:t>
      </w:r>
      <w:r>
        <w:rPr>
          <w:rFonts w:ascii="Times New Roman" w:hAnsi="Times New Roman"/>
          <w:color w:val="000000" w:themeColor="text1"/>
          <w:sz w:val="24"/>
          <w:szCs w:val="24"/>
          <w:lang w:bidi="en-US"/>
          <w14:textFill>
            <w14:solidFill>
              <w14:schemeClr w14:val="tx1"/>
            </w14:solidFill>
          </w14:textFill>
        </w:rPr>
        <w:t>三废</w:t>
      </w:r>
      <w:r>
        <w:rPr>
          <w:rFonts w:hint="eastAsia" w:ascii="Times New Roman" w:hAnsi="Times New Roman"/>
          <w:color w:val="000000" w:themeColor="text1"/>
          <w:sz w:val="24"/>
          <w:szCs w:val="24"/>
          <w:lang w:bidi="en-US"/>
          <w14:textFill>
            <w14:solidFill>
              <w14:schemeClr w14:val="tx1"/>
            </w14:solidFill>
          </w14:textFill>
        </w:rPr>
        <w:t>”</w:t>
      </w:r>
      <w:r>
        <w:rPr>
          <w:rFonts w:ascii="Times New Roman" w:hAnsi="Times New Roman"/>
          <w:color w:val="000000" w:themeColor="text1"/>
          <w:sz w:val="24"/>
          <w:szCs w:val="24"/>
          <w:lang w:bidi="en-US"/>
          <w14:textFill>
            <w14:solidFill>
              <w14:schemeClr w14:val="tx1"/>
            </w14:solidFill>
          </w14:textFill>
        </w:rPr>
        <w:t>经采取措施有效处理后，在正常生产的情况下，各种污染物排放可满足相应的排放标准。项目防治污染与项目的主体工程同时设计、同时施工、同时投产使用，具体投资情况如下：</w:t>
      </w:r>
    </w:p>
    <w:p>
      <w:pPr>
        <w:ind w:left="-15" w:right="120" w:firstLine="480"/>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 4.3-1项目环保</w:t>
      </w:r>
      <w:r>
        <w:rPr>
          <w:rFonts w:hint="eastAsia" w:ascii="Times New Roman" w:hAnsi="Times New Roman"/>
          <w:b/>
          <w:color w:val="000000" w:themeColor="text1"/>
          <w:highlight w:val="none"/>
          <w14:textFill>
            <w14:solidFill>
              <w14:schemeClr w14:val="tx1"/>
            </w14:solidFill>
          </w14:textFill>
        </w:rPr>
        <w:t>设施实际</w:t>
      </w:r>
      <w:r>
        <w:rPr>
          <w:rFonts w:ascii="Times New Roman" w:hAnsi="Times New Roman"/>
          <w:b/>
          <w:color w:val="000000" w:themeColor="text1"/>
          <w:highlight w:val="none"/>
          <w14:textFill>
            <w14:solidFill>
              <w14:schemeClr w14:val="tx1"/>
            </w14:solidFill>
          </w14:textFill>
        </w:rPr>
        <w:t>投资估算</w:t>
      </w:r>
    </w:p>
    <w:tbl>
      <w:tblPr>
        <w:tblStyle w:val="31"/>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7" w:type="dxa"/>
          <w:left w:w="108" w:type="dxa"/>
          <w:bottom w:w="0" w:type="dxa"/>
          <w:right w:w="58" w:type="dxa"/>
        </w:tblCellMar>
      </w:tblPr>
      <w:tblGrid>
        <w:gridCol w:w="743"/>
        <w:gridCol w:w="1576"/>
        <w:gridCol w:w="4752"/>
        <w:gridCol w:w="139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pPr>
              <w:ind w:right="51"/>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序号</w:t>
            </w:r>
          </w:p>
        </w:tc>
        <w:tc>
          <w:tcPr>
            <w:tcW w:w="6328" w:type="dxa"/>
            <w:gridSpan w:val="2"/>
            <w:shd w:val="clear" w:color="auto" w:fill="auto"/>
            <w:vAlign w:val="center"/>
          </w:tcPr>
          <w:p>
            <w:pPr>
              <w:ind w:right="51"/>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设施名称</w:t>
            </w:r>
          </w:p>
        </w:tc>
        <w:tc>
          <w:tcPr>
            <w:tcW w:w="1395" w:type="dxa"/>
            <w:shd w:val="clear" w:color="auto" w:fill="auto"/>
            <w:vAlign w:val="center"/>
          </w:tcPr>
          <w:p>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金额（万元）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pPr>
              <w:ind w:right="51" w:rightChars="0"/>
              <w:jc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val="en-US" w:eastAsia="zh-CN"/>
              </w:rPr>
              <w:t>1</w:t>
            </w:r>
          </w:p>
        </w:tc>
        <w:tc>
          <w:tcPr>
            <w:tcW w:w="1576" w:type="dxa"/>
            <w:shd w:val="clear" w:color="auto" w:fill="auto"/>
            <w:vAlign w:val="center"/>
          </w:tcPr>
          <w:p>
            <w:pPr>
              <w:ind w:right="51"/>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废水</w:t>
            </w:r>
          </w:p>
        </w:tc>
        <w:tc>
          <w:tcPr>
            <w:tcW w:w="4752" w:type="dxa"/>
            <w:shd w:val="clear" w:color="auto" w:fill="auto"/>
            <w:vAlign w:val="center"/>
          </w:tcPr>
          <w:p>
            <w:pPr>
              <w:ind w:right="51" w:rightChars="0"/>
              <w:jc w:val="center"/>
              <w:rPr>
                <w:rFonts w:hint="default"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生产废水</w:t>
            </w:r>
            <w:r>
              <w:rPr>
                <w:rFonts w:hint="default" w:ascii="Times New Roman" w:hAnsi="Times New Roman" w:cs="Times New Roman"/>
                <w:highlight w:val="none"/>
                <w:lang w:val="en-US" w:eastAsia="zh-CN"/>
              </w:rPr>
              <w:t>处理设施</w:t>
            </w:r>
            <w:r>
              <w:rPr>
                <w:rFonts w:hint="eastAsia" w:ascii="Times New Roman" w:hAnsi="Times New Roman" w:cs="Times New Roman"/>
                <w:highlight w:val="none"/>
                <w:lang w:val="en-US" w:eastAsia="zh-CN"/>
              </w:rPr>
              <w:t>、化粪池改造、废水管道等</w:t>
            </w:r>
          </w:p>
        </w:tc>
        <w:tc>
          <w:tcPr>
            <w:tcW w:w="1395" w:type="dxa"/>
            <w:shd w:val="clear" w:color="auto" w:fill="auto"/>
            <w:vAlign w:val="center"/>
          </w:tcPr>
          <w:p>
            <w:pPr>
              <w:ind w:right="56" w:rightChars="0"/>
              <w:jc w:val="center"/>
              <w:rPr>
                <w:rFonts w:hint="default" w:ascii="Times New Roman" w:hAnsi="Times New Roman" w:cs="Times New Roman" w:eastAsiaTheme="minorEastAsia"/>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2"/>
                <w:highlight w:val="none"/>
                <w:lang w:val="en-US" w:eastAsia="zh-CN" w:bidi="ar-SA"/>
                <w14:textFill>
                  <w14:solidFill>
                    <w14:schemeClr w14:val="tx1"/>
                  </w14:solidFill>
                </w14:textFill>
              </w:rPr>
              <w:t>13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vMerge w:val="restart"/>
            <w:shd w:val="clear" w:color="auto" w:fill="auto"/>
            <w:vAlign w:val="center"/>
          </w:tcPr>
          <w:p>
            <w:pPr>
              <w:ind w:right="51" w:rightChars="0"/>
              <w:jc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highlight w:val="none"/>
                <w:lang w:val="en-US" w:eastAsia="zh-CN"/>
              </w:rPr>
              <w:t>2</w:t>
            </w:r>
          </w:p>
        </w:tc>
        <w:tc>
          <w:tcPr>
            <w:tcW w:w="1576" w:type="dxa"/>
            <w:vMerge w:val="restart"/>
            <w:shd w:val="clear" w:color="auto" w:fill="auto"/>
            <w:vAlign w:val="center"/>
          </w:tcPr>
          <w:p>
            <w:pPr>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lang w:val="en-US" w:eastAsia="zh-CN"/>
              </w:rPr>
              <w:t>废气</w:t>
            </w:r>
          </w:p>
        </w:tc>
        <w:tc>
          <w:tcPr>
            <w:tcW w:w="4752" w:type="dxa"/>
            <w:shd w:val="clear" w:color="auto" w:fill="auto"/>
            <w:vAlign w:val="center"/>
          </w:tcPr>
          <w:p>
            <w:pPr>
              <w:ind w:right="51" w:rightChars="0"/>
              <w:jc w:val="center"/>
              <w:rPr>
                <w:rFonts w:hint="default" w:ascii="Times New Roman" w:hAnsi="Times New Roman" w:cs="Times New Roman" w:eastAsiaTheme="minorEastAsia"/>
                <w:kern w:val="2"/>
                <w:sz w:val="21"/>
                <w:szCs w:val="22"/>
                <w:highlight w:val="yellow"/>
                <w:lang w:val="en-US" w:eastAsia="zh-CN" w:bidi="ar-SA"/>
              </w:rPr>
            </w:pPr>
            <w:r>
              <w:rPr>
                <w:rFonts w:hint="eastAsia" w:ascii="Times New Roman" w:hAnsi="Times New Roman" w:cs="Times New Roman"/>
                <w:lang w:val="en-US" w:eastAsia="zh-CN"/>
              </w:rPr>
              <w:t>集气系统、管道系统、1套“水旋塔+干式过滤+活性炭吸附+脱附+催化燃烧处理装置”</w:t>
            </w:r>
          </w:p>
        </w:tc>
        <w:tc>
          <w:tcPr>
            <w:tcW w:w="1395" w:type="dxa"/>
            <w:shd w:val="clear" w:color="auto" w:fill="auto"/>
            <w:vAlign w:val="center"/>
          </w:tcPr>
          <w:p>
            <w:pPr>
              <w:ind w:right="56" w:rightChars="0"/>
              <w:jc w:val="center"/>
              <w:rPr>
                <w:rFonts w:hint="default" w:ascii="Times New Roman" w:hAnsi="Times New Roman" w:cs="Times New Roman" w:eastAsiaTheme="minorEastAsia"/>
                <w:color w:val="000000" w:themeColor="text1"/>
                <w:kern w:val="2"/>
                <w:sz w:val="21"/>
                <w:szCs w:val="22"/>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2"/>
                <w:lang w:val="en-US" w:eastAsia="zh-CN" w:bidi="ar-SA"/>
                <w14:textFill>
                  <w14:solidFill>
                    <w14:schemeClr w14:val="tx1"/>
                  </w14:solidFill>
                </w14:textFill>
              </w:rPr>
              <w:t>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vMerge w:val="continue"/>
            <w:shd w:val="clear" w:color="auto" w:fill="auto"/>
            <w:vAlign w:val="center"/>
          </w:tcPr>
          <w:p>
            <w:pPr>
              <w:ind w:right="51" w:rightChars="0"/>
              <w:jc w:val="center"/>
              <w:rPr>
                <w:rFonts w:hint="default" w:ascii="Times New Roman" w:hAnsi="Times New Roman" w:cs="Times New Roman"/>
                <w:highlight w:val="none"/>
                <w:lang w:val="en-US" w:eastAsia="zh-CN"/>
              </w:rPr>
            </w:pPr>
          </w:p>
        </w:tc>
        <w:tc>
          <w:tcPr>
            <w:tcW w:w="1576" w:type="dxa"/>
            <w:vMerge w:val="continue"/>
            <w:shd w:val="clear" w:color="auto" w:fill="auto"/>
            <w:vAlign w:val="center"/>
          </w:tcPr>
          <w:p>
            <w:pPr>
              <w:jc w:val="center"/>
              <w:rPr>
                <w:rFonts w:hint="eastAsia" w:ascii="Times New Roman" w:hAnsi="Times New Roman" w:cs="Times New Roman"/>
                <w:szCs w:val="21"/>
                <w:highlight w:val="none"/>
                <w:lang w:val="en-US" w:eastAsia="zh-CN"/>
              </w:rPr>
            </w:pPr>
          </w:p>
        </w:tc>
        <w:tc>
          <w:tcPr>
            <w:tcW w:w="4752" w:type="dxa"/>
            <w:shd w:val="clear" w:color="auto" w:fill="auto"/>
            <w:vAlign w:val="center"/>
          </w:tcPr>
          <w:p>
            <w:pPr>
              <w:ind w:right="51" w:rightChars="0"/>
              <w:jc w:val="center"/>
              <w:rPr>
                <w:rFonts w:hint="eastAsia" w:ascii="Times New Roman" w:hAnsi="Times New Roman" w:cs="Times New Roman"/>
                <w:lang w:val="en-US" w:eastAsia="zh-CN"/>
              </w:rPr>
            </w:pPr>
            <w:r>
              <w:rPr>
                <w:rFonts w:hint="default" w:ascii="Times New Roman" w:hAnsi="Times New Roman" w:eastAsia="宋体" w:cs="Times New Roman"/>
                <w:color w:val="auto"/>
                <w:lang w:eastAsia="zh-CN"/>
              </w:rPr>
              <w:t>集气系统、管道系统、</w:t>
            </w:r>
            <w:r>
              <w:rPr>
                <w:rFonts w:hint="default" w:ascii="Times New Roman" w:hAnsi="Times New Roman" w:eastAsia="宋体" w:cs="Times New Roman"/>
                <w:color w:val="auto"/>
                <w:lang w:val="en-US" w:eastAsia="zh-CN"/>
              </w:rPr>
              <w:t>1套</w:t>
            </w:r>
            <w:r>
              <w:rPr>
                <w:rFonts w:hint="default" w:ascii="Times New Roman" w:hAnsi="Times New Roman" w:eastAsia="宋体" w:cs="Times New Roman"/>
                <w:color w:val="auto"/>
                <w:lang w:eastAsia="zh-CN"/>
              </w:rPr>
              <w:t>“滤筒过滤+脉冲滤芯除尘</w:t>
            </w:r>
            <w:r>
              <w:rPr>
                <w:rFonts w:hint="default" w:ascii="Times New Roman" w:hAnsi="Times New Roman" w:eastAsia="宋体" w:cs="Times New Roman"/>
                <w:color w:val="auto"/>
                <w:lang w:val="en-US" w:eastAsia="zh-CN"/>
              </w:rPr>
              <w:t>”</w:t>
            </w:r>
          </w:p>
        </w:tc>
        <w:tc>
          <w:tcPr>
            <w:tcW w:w="1395" w:type="dxa"/>
            <w:shd w:val="clear" w:color="auto" w:fill="auto"/>
            <w:vAlign w:val="center"/>
          </w:tcPr>
          <w:p>
            <w:pPr>
              <w:ind w:right="56" w:rightChars="0"/>
              <w:jc w:val="center"/>
              <w:rPr>
                <w:rFonts w:hint="default" w:ascii="Times New Roman" w:hAnsi="Times New Roman"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2"/>
                <w:lang w:val="en-US" w:eastAsia="zh-CN" w:bidi="ar-SA"/>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pPr>
              <w:ind w:right="51" w:rightChars="0"/>
              <w:jc w:val="center"/>
              <w:rPr>
                <w:rFonts w:hint="eastAsia"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kern w:val="2"/>
                <w:sz w:val="21"/>
                <w:szCs w:val="22"/>
                <w:highlight w:val="none"/>
                <w:lang w:val="en-US" w:eastAsia="zh-CN" w:bidi="ar-SA"/>
              </w:rPr>
              <w:t>3</w:t>
            </w:r>
          </w:p>
        </w:tc>
        <w:tc>
          <w:tcPr>
            <w:tcW w:w="1576" w:type="dxa"/>
            <w:shd w:val="clear" w:color="auto" w:fill="auto"/>
            <w:vAlign w:val="center"/>
          </w:tcPr>
          <w:p>
            <w:pPr>
              <w:ind w:right="51" w:rightChars="0"/>
              <w:jc w:val="center"/>
              <w:rPr>
                <w:rFonts w:hint="eastAsia"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噪声</w:t>
            </w:r>
          </w:p>
        </w:tc>
        <w:tc>
          <w:tcPr>
            <w:tcW w:w="4752" w:type="dxa"/>
            <w:shd w:val="clear" w:color="auto" w:fill="auto"/>
            <w:vAlign w:val="center"/>
          </w:tcPr>
          <w:p>
            <w:pPr>
              <w:keepNext w:val="0"/>
              <w:keepLines w:val="0"/>
              <w:widowControl/>
              <w:suppressLineNumbers w:val="0"/>
              <w:jc w:val="center"/>
              <w:rPr>
                <w:rFonts w:hint="default" w:ascii="Times New Roman" w:hAnsi="Times New Roman" w:cs="Times New Roman" w:eastAsiaTheme="minorEastAsia"/>
                <w:kern w:val="2"/>
                <w:sz w:val="21"/>
                <w:szCs w:val="22"/>
                <w:lang w:val="en-US" w:eastAsia="zh-CN" w:bidi="ar-SA"/>
              </w:rPr>
            </w:pPr>
            <w:r>
              <w:rPr>
                <w:rFonts w:hint="eastAsia" w:ascii="宋体" w:hAnsi="宋体" w:eastAsia="宋体" w:cs="宋体"/>
                <w:color w:val="000000"/>
                <w:kern w:val="0"/>
                <w:sz w:val="21"/>
                <w:szCs w:val="21"/>
                <w:lang w:val="en-US" w:eastAsia="zh-CN" w:bidi="ar"/>
              </w:rPr>
              <w:t>降噪、隔振、设备基础防振措施</w:t>
            </w:r>
          </w:p>
        </w:tc>
        <w:tc>
          <w:tcPr>
            <w:tcW w:w="1395" w:type="dxa"/>
            <w:shd w:val="clear" w:color="auto" w:fill="auto"/>
            <w:vAlign w:val="center"/>
          </w:tcPr>
          <w:p>
            <w:pPr>
              <w:ind w:right="56" w:rightChars="0"/>
              <w:jc w:val="center"/>
              <w:rPr>
                <w:rFonts w:hint="default" w:ascii="Times New Roman" w:hAnsi="Times New Roman" w:cs="Times New Roman" w:eastAsiaTheme="minorEastAsia"/>
                <w:color w:val="000000" w:themeColor="text1"/>
                <w:kern w:val="2"/>
                <w:sz w:val="21"/>
                <w:szCs w:val="22"/>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2"/>
                <w:lang w:val="en-US" w:eastAsia="zh-CN" w:bidi="ar-SA"/>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pPr>
              <w:ind w:right="51" w:rightChars="0"/>
              <w:jc w:val="center"/>
              <w:rPr>
                <w:rFonts w:hint="eastAsia"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4</w:t>
            </w:r>
          </w:p>
        </w:tc>
        <w:tc>
          <w:tcPr>
            <w:tcW w:w="1576" w:type="dxa"/>
            <w:shd w:val="clear" w:color="auto" w:fill="auto"/>
            <w:vAlign w:val="center"/>
          </w:tcPr>
          <w:p>
            <w:pPr>
              <w:ind w:right="51" w:rightChars="0"/>
              <w:jc w:val="center"/>
              <w:rPr>
                <w:rFonts w:hint="eastAsia" w:ascii="Times New Roman" w:hAnsi="Times New Roman" w:cs="Times New Roman" w:eastAsiaTheme="minorEastAsia"/>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固废</w:t>
            </w:r>
          </w:p>
        </w:tc>
        <w:tc>
          <w:tcPr>
            <w:tcW w:w="4752" w:type="dxa"/>
            <w:shd w:val="clear" w:color="auto" w:fill="auto"/>
            <w:vAlign w:val="center"/>
          </w:tcPr>
          <w:p>
            <w:pPr>
              <w:ind w:right="51" w:rightChars="0"/>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lang w:val="en-US" w:eastAsia="zh-CN"/>
              </w:rPr>
              <w:t>一般固废仓库、</w:t>
            </w:r>
            <w:r>
              <w:rPr>
                <w:rFonts w:hint="default" w:ascii="Times New Roman" w:hAnsi="Times New Roman" w:cs="Times New Roman"/>
                <w:lang w:val="en-US" w:eastAsia="zh-CN"/>
              </w:rPr>
              <w:t>危废委托处置、危废仓库</w:t>
            </w:r>
          </w:p>
        </w:tc>
        <w:tc>
          <w:tcPr>
            <w:tcW w:w="1395" w:type="dxa"/>
            <w:shd w:val="clear" w:color="auto" w:fill="auto"/>
            <w:vAlign w:val="center"/>
          </w:tcPr>
          <w:p>
            <w:pPr>
              <w:ind w:right="56" w:rightChars="0"/>
              <w:jc w:val="center"/>
              <w:rPr>
                <w:rFonts w:hint="default" w:ascii="Times New Roman" w:hAnsi="Times New Roman" w:cs="Times New Roman" w:eastAsiaTheme="minorEastAsia"/>
                <w:color w:val="000000" w:themeColor="text1"/>
                <w:kern w:val="2"/>
                <w:sz w:val="21"/>
                <w:szCs w:val="22"/>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2"/>
                <w:lang w:val="en-US" w:eastAsia="zh-CN" w:bidi="ar-SA"/>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43" w:type="dxa"/>
            <w:shd w:val="clear" w:color="auto" w:fill="auto"/>
            <w:vAlign w:val="center"/>
          </w:tcPr>
          <w:p>
            <w:pPr>
              <w:ind w:right="51" w:rightChars="0"/>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5</w:t>
            </w:r>
          </w:p>
        </w:tc>
        <w:tc>
          <w:tcPr>
            <w:tcW w:w="1576" w:type="dxa"/>
            <w:shd w:val="clear" w:color="auto" w:fill="auto"/>
            <w:vAlign w:val="center"/>
          </w:tcPr>
          <w:p>
            <w:pPr>
              <w:ind w:right="51" w:right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风险防范</w:t>
            </w:r>
          </w:p>
        </w:tc>
        <w:tc>
          <w:tcPr>
            <w:tcW w:w="4752" w:type="dxa"/>
            <w:shd w:val="clear" w:color="auto" w:fill="auto"/>
            <w:vAlign w:val="center"/>
          </w:tcPr>
          <w:p>
            <w:pPr>
              <w:ind w:right="51" w:right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危废仓库防渗防漏等措施</w:t>
            </w:r>
          </w:p>
        </w:tc>
        <w:tc>
          <w:tcPr>
            <w:tcW w:w="1395" w:type="dxa"/>
            <w:shd w:val="clear" w:color="auto" w:fill="auto"/>
            <w:vAlign w:val="center"/>
          </w:tcPr>
          <w:p>
            <w:pPr>
              <w:ind w:right="56" w:rightChars="0"/>
              <w:jc w:val="center"/>
              <w:rPr>
                <w:rFonts w:hint="default" w:ascii="Times New Roman" w:hAnsi="Times New Roman"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2"/>
                <w:lang w:val="en-US" w:eastAsia="zh-CN" w:bidi="ar-SA"/>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071" w:type="dxa"/>
            <w:gridSpan w:val="3"/>
            <w:shd w:val="clear" w:color="auto" w:fill="auto"/>
            <w:vAlign w:val="center"/>
          </w:tcPr>
          <w:p>
            <w:pPr>
              <w:ind w:right="56" w:rightChars="0"/>
              <w:jc w:val="center"/>
              <w:rPr>
                <w:rFonts w:hint="default" w:ascii="Times New Roman" w:hAnsi="Times New Roman" w:cs="Times New Roman" w:eastAsiaTheme="minorEastAsia"/>
                <w:color w:val="auto"/>
                <w:kern w:val="2"/>
                <w:sz w:val="21"/>
                <w:szCs w:val="22"/>
                <w:highlight w:val="none"/>
                <w:lang w:val="en-US" w:eastAsia="zh-CN" w:bidi="ar-SA"/>
              </w:rPr>
            </w:pPr>
            <w:r>
              <w:rPr>
                <w:rFonts w:hint="default" w:ascii="Times New Roman" w:hAnsi="Times New Roman" w:cs="Times New Roman"/>
                <w:color w:val="auto"/>
                <w:highlight w:val="none"/>
              </w:rPr>
              <w:t>合计</w:t>
            </w:r>
          </w:p>
        </w:tc>
        <w:tc>
          <w:tcPr>
            <w:tcW w:w="1395" w:type="dxa"/>
            <w:shd w:val="clear" w:color="auto" w:fill="auto"/>
            <w:vAlign w:val="center"/>
          </w:tcPr>
          <w:p>
            <w:pPr>
              <w:ind w:right="56" w:rightChars="0"/>
              <w:jc w:val="center"/>
              <w:rPr>
                <w:rFonts w:hint="default" w:ascii="Times New Roman" w:hAnsi="Times New Roman" w:cs="Times New Roman" w:eastAsiaTheme="minorEastAsia"/>
                <w:color w:val="auto"/>
                <w:kern w:val="2"/>
                <w:sz w:val="21"/>
                <w:szCs w:val="22"/>
                <w:highlight w:val="none"/>
                <w:lang w:val="en-US" w:eastAsia="zh-CN" w:bidi="ar-SA"/>
              </w:rPr>
            </w:pPr>
            <w:r>
              <w:rPr>
                <w:rFonts w:hint="eastAsia" w:ascii="Times New Roman" w:hAnsi="Times New Roman" w:cs="Times New Roman"/>
                <w:color w:val="auto"/>
                <w:kern w:val="2"/>
                <w:sz w:val="21"/>
                <w:szCs w:val="22"/>
                <w:highlight w:val="none"/>
                <w:lang w:val="en-US" w:eastAsia="zh-CN" w:bidi="ar-SA"/>
              </w:rPr>
              <w:t>58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071" w:type="dxa"/>
            <w:gridSpan w:val="3"/>
            <w:shd w:val="clear" w:color="auto" w:fill="auto"/>
            <w:vAlign w:val="center"/>
          </w:tcPr>
          <w:p>
            <w:pPr>
              <w:ind w:right="56" w:rightChars="0"/>
              <w:jc w:val="center"/>
              <w:rPr>
                <w:rFonts w:hint="default"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总投资</w:t>
            </w:r>
          </w:p>
        </w:tc>
        <w:tc>
          <w:tcPr>
            <w:tcW w:w="1395" w:type="dxa"/>
            <w:shd w:val="clear" w:color="auto" w:fill="auto"/>
            <w:vAlign w:val="center"/>
          </w:tcPr>
          <w:p>
            <w:pPr>
              <w:ind w:right="56" w:rightChars="0"/>
              <w:jc w:val="center"/>
              <w:rPr>
                <w:rFonts w:hint="default"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kern w:val="2"/>
                <w:sz w:val="21"/>
                <w:szCs w:val="22"/>
                <w:highlight w:val="none"/>
                <w:lang w:val="en-US" w:eastAsia="zh-CN" w:bidi="ar-SA"/>
              </w:rPr>
              <w:t>504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397" w:hRule="atLeast"/>
          <w:jc w:val="center"/>
        </w:trPr>
        <w:tc>
          <w:tcPr>
            <w:tcW w:w="7071" w:type="dxa"/>
            <w:gridSpan w:val="3"/>
            <w:shd w:val="clear" w:color="auto" w:fill="auto"/>
            <w:vAlign w:val="center"/>
          </w:tcPr>
          <w:p>
            <w:pPr>
              <w:ind w:right="56" w:rightChars="0"/>
              <w:jc w:val="center"/>
              <w:rPr>
                <w:rFonts w:hint="default" w:ascii="Times New Roman" w:hAnsi="Times New Roman" w:cs="Times New Roman" w:eastAsiaTheme="minorEastAsia"/>
                <w:kern w:val="2"/>
                <w:sz w:val="21"/>
                <w:szCs w:val="22"/>
                <w:highlight w:val="none"/>
                <w:lang w:val="en-US" w:eastAsia="zh-CN" w:bidi="ar-SA"/>
              </w:rPr>
            </w:pPr>
            <w:r>
              <w:rPr>
                <w:rFonts w:ascii="Times New Roman" w:hAnsi="Times New Roman" w:cs="Times New Roman"/>
                <w:szCs w:val="21"/>
                <w:highlight w:val="none"/>
                <w:lang w:bidi="en-US"/>
              </w:rPr>
              <w:t>环保投资占总投资</w:t>
            </w:r>
            <w:r>
              <w:rPr>
                <w:rFonts w:hint="eastAsia" w:ascii="Times New Roman" w:hAnsi="Times New Roman" w:cs="Times New Roman"/>
                <w:szCs w:val="21"/>
                <w:highlight w:val="none"/>
                <w:lang w:val="en-US" w:eastAsia="zh-CN" w:bidi="en-US"/>
              </w:rPr>
              <w:t>的比例（%）</w:t>
            </w:r>
          </w:p>
        </w:tc>
        <w:tc>
          <w:tcPr>
            <w:tcW w:w="1395" w:type="dxa"/>
            <w:shd w:val="clear" w:color="auto" w:fill="auto"/>
            <w:vAlign w:val="center"/>
          </w:tcPr>
          <w:p>
            <w:pPr>
              <w:ind w:right="56" w:rightChars="0"/>
              <w:jc w:val="center"/>
              <w:rPr>
                <w:rFonts w:hint="default"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kern w:val="2"/>
                <w:sz w:val="21"/>
                <w:szCs w:val="22"/>
                <w:highlight w:val="none"/>
                <w:lang w:val="en-US" w:eastAsia="zh-CN" w:bidi="ar-SA"/>
              </w:rPr>
              <w:t>11.5</w:t>
            </w:r>
          </w:p>
        </w:tc>
      </w:tr>
    </w:tbl>
    <w:p>
      <w:pPr>
        <w:snapToGrid w:val="0"/>
        <w:spacing w:line="240" w:lineRule="auto"/>
        <w:ind w:firstLine="480"/>
        <w:rPr>
          <w:rFonts w:ascii="Times New Roman" w:hAnsi="Times New Roman"/>
          <w:color w:val="000000" w:themeColor="text1"/>
          <w:sz w:val="24"/>
          <w:szCs w:val="24"/>
          <w:lang w:bidi="en-US"/>
          <w14:textFill>
            <w14:solidFill>
              <w14:schemeClr w14:val="tx1"/>
            </w14:solidFill>
          </w14:textFill>
        </w:rPr>
      </w:pPr>
    </w:p>
    <w:p>
      <w:pPr>
        <w:snapToGrid w:val="0"/>
        <w:spacing w:line="360" w:lineRule="auto"/>
        <w:ind w:firstLine="480"/>
        <w:rPr>
          <w:rFonts w:ascii="Times New Roman" w:hAnsi="Times New Roman"/>
          <w:color w:val="000000" w:themeColor="text1"/>
          <w:sz w:val="24"/>
          <w:szCs w:val="24"/>
          <w:lang w:bidi="en-US"/>
          <w14:textFill>
            <w14:solidFill>
              <w14:schemeClr w14:val="tx1"/>
            </w14:solidFill>
          </w14:textFill>
        </w:rPr>
      </w:pPr>
      <w:r>
        <w:rPr>
          <w:rFonts w:ascii="Times New Roman" w:hAnsi="Times New Roman"/>
          <w:color w:val="000000" w:themeColor="text1"/>
          <w:sz w:val="24"/>
          <w:szCs w:val="24"/>
          <w:lang w:bidi="en-US"/>
          <w14:textFill>
            <w14:solidFill>
              <w14:schemeClr w14:val="tx1"/>
            </w14:solidFill>
          </w14:textFill>
        </w:rPr>
        <w:t>从上表可以看出：环保治理措施具有较好的针对性，抓住了本项目污染治理的重点，同时，注重固废的处理，落到实处并有资金保证。</w:t>
      </w:r>
      <w:r>
        <w:rPr>
          <w:rFonts w:hint="eastAsia" w:ascii="Times New Roman" w:hAnsi="Times New Roman"/>
          <w:color w:val="000000" w:themeColor="text1"/>
          <w:sz w:val="24"/>
          <w:szCs w:val="24"/>
          <w:lang w:bidi="en-US"/>
          <w14:textFill>
            <w14:solidFill>
              <w14:schemeClr w14:val="tx1"/>
            </w14:solidFill>
          </w14:textFill>
        </w:rPr>
        <w:t>企业</w:t>
      </w:r>
      <w:r>
        <w:rPr>
          <w:rFonts w:ascii="Times New Roman" w:hAnsi="Times New Roman"/>
          <w:color w:val="000000" w:themeColor="text1"/>
          <w:sz w:val="24"/>
          <w:szCs w:val="24"/>
          <w:lang w:bidi="en-US"/>
          <w14:textFill>
            <w14:solidFill>
              <w14:schemeClr w14:val="tx1"/>
            </w14:solidFill>
          </w14:textFill>
        </w:rPr>
        <w:t>建立</w:t>
      </w:r>
      <w:r>
        <w:rPr>
          <w:rFonts w:hint="eastAsia" w:ascii="Times New Roman" w:hAnsi="Times New Roman"/>
          <w:color w:val="000000" w:themeColor="text1"/>
          <w:sz w:val="24"/>
          <w:szCs w:val="24"/>
          <w:lang w:bidi="en-US"/>
          <w14:textFill>
            <w14:solidFill>
              <w14:schemeClr w14:val="tx1"/>
            </w14:solidFill>
          </w14:textFill>
        </w:rPr>
        <w:t>了</w:t>
      </w:r>
      <w:r>
        <w:rPr>
          <w:rFonts w:ascii="Times New Roman" w:hAnsi="Times New Roman"/>
          <w:color w:val="000000" w:themeColor="text1"/>
          <w:sz w:val="24"/>
          <w:szCs w:val="24"/>
          <w:lang w:bidi="en-US"/>
          <w14:textFill>
            <w14:solidFill>
              <w14:schemeClr w14:val="tx1"/>
            </w14:solidFill>
          </w14:textFill>
        </w:rPr>
        <w:t>较为完善的污染控制设施，有效地控制废气</w:t>
      </w:r>
      <w:r>
        <w:rPr>
          <w:rFonts w:hint="eastAsia" w:ascii="Times New Roman" w:hAnsi="Times New Roman"/>
          <w:color w:val="000000" w:themeColor="text1"/>
          <w:sz w:val="24"/>
          <w:szCs w:val="24"/>
          <w:lang w:val="en-US" w:eastAsia="zh-CN" w:bidi="en-US"/>
          <w14:textFill>
            <w14:solidFill>
              <w14:schemeClr w14:val="tx1"/>
            </w14:solidFill>
          </w14:textFill>
        </w:rPr>
        <w:t>的</w:t>
      </w:r>
      <w:r>
        <w:rPr>
          <w:rFonts w:ascii="Times New Roman" w:hAnsi="Times New Roman"/>
          <w:color w:val="000000" w:themeColor="text1"/>
          <w:sz w:val="24"/>
          <w:szCs w:val="24"/>
          <w:lang w:bidi="en-US"/>
          <w14:textFill>
            <w14:solidFill>
              <w14:schemeClr w14:val="tx1"/>
            </w14:solidFill>
          </w14:textFill>
        </w:rPr>
        <w:t>排放和避免噪声等对环境的污染，可使本项目在产生经济效益的同时有效保护周围环境。</w:t>
      </w:r>
    </w:p>
    <w:p>
      <w:pPr>
        <w:pStyle w:val="6"/>
        <w:spacing w:before="120" w:after="120"/>
        <w:rPr>
          <w:rFonts w:eastAsia="宋体" w:cs="Times New Roman"/>
          <w:sz w:val="24"/>
          <w:szCs w:val="24"/>
        </w:rPr>
      </w:pPr>
      <w:bookmarkStart w:id="56" w:name="_Toc520725490"/>
      <w:bookmarkStart w:id="57" w:name="_Toc522281271"/>
      <w:bookmarkStart w:id="58" w:name="_Toc19594"/>
      <w:r>
        <w:t>4.</w:t>
      </w:r>
      <w:r>
        <w:rPr>
          <w:rFonts w:hint="eastAsia"/>
        </w:rPr>
        <w:t>3</w:t>
      </w:r>
      <w:r>
        <w:t xml:space="preserve">.2 </w:t>
      </w:r>
      <w:r>
        <w:rPr>
          <w:rFonts w:hint="eastAsia"/>
        </w:rPr>
        <w:t>“三同时”落实情况</w:t>
      </w:r>
      <w:bookmarkEnd w:id="56"/>
      <w:bookmarkEnd w:id="57"/>
      <w:bookmarkEnd w:id="58"/>
    </w:p>
    <w:p>
      <w:pPr>
        <w:spacing w:line="360" w:lineRule="auto"/>
        <w:ind w:firstLine="482"/>
        <w:rPr>
          <w:rFonts w:hint="eastAsia" w:ascii="Times New Roman" w:hAnsi="Times New Roman" w:eastAsiaTheme="minorEastAsia"/>
          <w:sz w:val="24"/>
          <w:lang w:eastAsia="zh-CN"/>
        </w:rPr>
      </w:pPr>
      <w:r>
        <w:rPr>
          <w:rFonts w:hint="eastAsia" w:ascii="Times New Roman" w:hAnsi="Times New Roman"/>
          <w:sz w:val="24"/>
          <w:szCs w:val="24"/>
          <w:lang w:eastAsia="zh-CN" w:bidi="en-US"/>
        </w:rPr>
        <w:t>浙江历山红工贸有限公司</w:t>
      </w:r>
      <w:r>
        <w:rPr>
          <w:rFonts w:hint="eastAsia" w:ascii="Times New Roman" w:hAnsi="Times New Roman"/>
          <w:sz w:val="24"/>
        </w:rPr>
        <w:t>根据《中华人民共和国环境保护法》和《建设项目环境保护管理条例》的规定进行了环境影响评价，环保审批手续齐全，落实了环境影响评价及环保主管部门的要求和规定，做到环保设施与主体工程同时设计、同时施工、同时投产</w:t>
      </w:r>
      <w:r>
        <w:rPr>
          <w:rFonts w:hint="eastAsia" w:ascii="Times New Roman" w:hAnsi="Times New Roman"/>
          <w:sz w:val="24"/>
          <w:lang w:eastAsia="zh-CN"/>
        </w:rPr>
        <w:t>。</w:t>
      </w:r>
    </w:p>
    <w:p>
      <w:pPr>
        <w:spacing w:line="360" w:lineRule="auto"/>
        <w:ind w:firstLine="482"/>
        <w:rPr>
          <w:rFonts w:ascii="Times New Roman" w:hAnsi="Times New Roman"/>
          <w:sz w:val="24"/>
        </w:rPr>
      </w:pPr>
    </w:p>
    <w:p>
      <w:pPr>
        <w:ind w:left="-15" w:right="120" w:firstLine="480"/>
        <w:jc w:val="center"/>
        <w:rPr>
          <w:rFonts w:hint="default" w:ascii="Times New Roman" w:hAnsi="Times New Roman" w:eastAsiaTheme="minorEastAsia"/>
          <w:b/>
          <w:color w:val="000000" w:themeColor="text1"/>
          <w:lang w:val="en-US" w:eastAsia="zh-CN"/>
          <w14:textFill>
            <w14:solidFill>
              <w14:schemeClr w14:val="tx1"/>
            </w14:solidFill>
          </w14:textFill>
        </w:rPr>
      </w:pPr>
      <w:r>
        <w:rPr>
          <w:rFonts w:ascii="Times New Roman" w:hAnsi="Times New Roman"/>
          <w:b/>
          <w:color w:val="000000" w:themeColor="text1"/>
          <w14:textFill>
            <w14:solidFill>
              <w14:schemeClr w14:val="tx1"/>
            </w14:solidFill>
          </w14:textFill>
        </w:rPr>
        <w:t>表 4.3-</w:t>
      </w:r>
      <w:r>
        <w:rPr>
          <w:rFonts w:hint="eastAsia" w:ascii="Times New Roman" w:hAnsi="Times New Roman"/>
          <w:b/>
          <w:color w:val="000000" w:themeColor="text1"/>
          <w:lang w:val="en-US" w:eastAsia="zh-CN"/>
          <w14:textFill>
            <w14:solidFill>
              <w14:schemeClr w14:val="tx1"/>
            </w14:solidFill>
          </w14:textFill>
        </w:rPr>
        <w:t>2</w:t>
      </w:r>
      <w:r>
        <w:rPr>
          <w:rFonts w:ascii="Times New Roman" w:hAnsi="Times New Roman"/>
          <w:b/>
          <w:color w:val="000000" w:themeColor="text1"/>
          <w:highlight w:val="none"/>
          <w14:textFill>
            <w14:solidFill>
              <w14:schemeClr w14:val="tx1"/>
            </w14:solidFill>
          </w14:textFill>
        </w:rPr>
        <w:t>项目环保</w:t>
      </w:r>
      <w:r>
        <w:rPr>
          <w:rFonts w:hint="eastAsia" w:ascii="Times New Roman" w:hAnsi="Times New Roman"/>
          <w:b/>
          <w:color w:val="000000" w:themeColor="text1"/>
          <w:highlight w:val="none"/>
          <w14:textFill>
            <w14:solidFill>
              <w14:schemeClr w14:val="tx1"/>
            </w14:solidFill>
          </w14:textFill>
        </w:rPr>
        <w:t>设施</w:t>
      </w:r>
      <w:r>
        <w:rPr>
          <w:rFonts w:hint="eastAsia" w:ascii="Times New Roman" w:hAnsi="Times New Roman"/>
          <w:b/>
          <w:color w:val="000000" w:themeColor="text1"/>
          <w:highlight w:val="none"/>
          <w:lang w:eastAsia="zh-CN"/>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三同时</w:t>
      </w:r>
      <w:r>
        <w:rPr>
          <w:rFonts w:hint="eastAsia" w:ascii="Times New Roman" w:hAnsi="Times New Roman"/>
          <w:b/>
          <w:color w:val="000000" w:themeColor="text1"/>
          <w:highlight w:val="none"/>
          <w:lang w:eastAsia="zh-CN"/>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落实情况</w:t>
      </w:r>
    </w:p>
    <w:tbl>
      <w:tblPr>
        <w:tblStyle w:val="31"/>
        <w:tblW w:w="4894"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7" w:type="dxa"/>
          <w:left w:w="108" w:type="dxa"/>
          <w:bottom w:w="0" w:type="dxa"/>
          <w:right w:w="58" w:type="dxa"/>
        </w:tblCellMar>
      </w:tblPr>
      <w:tblGrid>
        <w:gridCol w:w="630"/>
        <w:gridCol w:w="4220"/>
        <w:gridCol w:w="34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tblHeader/>
          <w:jc w:val="center"/>
        </w:trPr>
        <w:tc>
          <w:tcPr>
            <w:tcW w:w="630" w:type="dxa"/>
            <w:shd w:val="clear" w:color="auto" w:fill="auto"/>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4221" w:type="dxa"/>
            <w:shd w:val="clear" w:color="auto" w:fill="auto"/>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主要环评审查意见</w:t>
            </w:r>
          </w:p>
        </w:tc>
        <w:tc>
          <w:tcPr>
            <w:tcW w:w="3437" w:type="dxa"/>
            <w:shd w:val="clear" w:color="auto" w:fill="auto"/>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企业落实情况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jc w:val="center"/>
        </w:trPr>
        <w:tc>
          <w:tcPr>
            <w:tcW w:w="630"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4221" w:type="dxa"/>
            <w:shd w:val="clear" w:color="auto" w:fill="auto"/>
            <w:vAlign w:val="center"/>
          </w:tcPr>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原则同意浙江凯峰慈欣环保科技有限责任公司编制的环境影响报告表的评价结论、对策措施和建议，环境影响报告表可作为该项目设计和今后实施环境管理的</w:t>
            </w:r>
            <w:r>
              <w:rPr>
                <w:rFonts w:hint="eastAsia" w:ascii="Times New Roman" w:hAnsi="Times New Roman" w:eastAsia="宋体" w:cs="Times New Roman"/>
                <w:color w:val="auto"/>
                <w:sz w:val="21"/>
                <w:szCs w:val="21"/>
                <w:lang w:val="en-US" w:eastAsia="zh-CN"/>
              </w:rPr>
              <w:t>依据。</w:t>
            </w:r>
          </w:p>
        </w:tc>
        <w:tc>
          <w:tcPr>
            <w:tcW w:w="3437" w:type="dxa"/>
            <w:shd w:val="clear" w:color="auto" w:fill="auto"/>
            <w:vAlign w:val="center"/>
          </w:tcPr>
          <w:p>
            <w:pPr>
              <w:jc w:val="left"/>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已落实。 </w:t>
            </w:r>
          </w:p>
          <w:p>
            <w:pPr>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项目实际建设与环评基本一致。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jc w:val="center"/>
        </w:trPr>
        <w:tc>
          <w:tcPr>
            <w:tcW w:w="630"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4221" w:type="dxa"/>
            <w:shd w:val="clear" w:color="auto" w:fill="auto"/>
            <w:vAlign w:val="center"/>
          </w:tcPr>
          <w:p>
            <w:pPr>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原则同意本项目在永康市西城街道西周路18号实施，项目建成后形成年产8000樘非标门的生产能力。</w:t>
            </w:r>
          </w:p>
        </w:tc>
        <w:tc>
          <w:tcPr>
            <w:tcW w:w="3437" w:type="dxa"/>
            <w:shd w:val="clear" w:color="auto" w:fill="auto"/>
            <w:vAlign w:val="center"/>
          </w:tcPr>
          <w:p>
            <w:pPr>
              <w:jc w:val="left"/>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已落实。 </w:t>
            </w:r>
          </w:p>
          <w:p>
            <w:pPr>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项目实际建设与环评基本一致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jc w:val="center"/>
        </w:trPr>
        <w:tc>
          <w:tcPr>
            <w:tcW w:w="630"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4221" w:type="dxa"/>
            <w:shd w:val="clear" w:color="auto" w:fill="auto"/>
            <w:vAlign w:val="center"/>
          </w:tcPr>
          <w:p>
            <w:pPr>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进一步完善本区块排水系统统筹规划和建设，做好雨污分流、清污分流的管道布设，并与当地排水管网相衔接。生产废水、生活污水经处理后达到《污水综合排放标准》(GB 8978-1996)三级标准排入当地污水管网，纳入污水处理厂处理，设置规范化排污口。</w:t>
            </w:r>
          </w:p>
        </w:tc>
        <w:tc>
          <w:tcPr>
            <w:tcW w:w="3437" w:type="dxa"/>
            <w:shd w:val="clear" w:color="auto" w:fill="auto"/>
            <w:vAlign w:val="center"/>
          </w:tcPr>
          <w:p>
            <w:pPr>
              <w:jc w:val="left"/>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已落实。 </w:t>
            </w:r>
          </w:p>
          <w:p>
            <w:pPr>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设置规范化排污口，生产废水、生活污水经处理后达到《污水综合排放标准》(GB 8978-1996)三级标准排入当地污水管网，纳入污水处理厂处理。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jc w:val="center"/>
        </w:trPr>
        <w:tc>
          <w:tcPr>
            <w:tcW w:w="630"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4221" w:type="dxa"/>
            <w:shd w:val="clear" w:color="auto" w:fill="auto"/>
            <w:vAlign w:val="center"/>
          </w:tcPr>
          <w:p>
            <w:pPr>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认真落实各项废气处置措施，加强车间通风，切实做好废气污染防治工作。调漆废气、喷漆废气、烘干废气、喷塑废气及固化废气排放执行《工业涂装工序大气污染物排放标准》(DB33/2146-2018)中相关标准，天然气燃烧废气排放执行《浙江省工业炉窑大气污染综合治理方案》(浙环函[2019]315号)中相关标准。</w:t>
            </w:r>
          </w:p>
        </w:tc>
        <w:tc>
          <w:tcPr>
            <w:tcW w:w="3437" w:type="dxa"/>
            <w:shd w:val="clear" w:color="auto" w:fill="auto"/>
            <w:vAlign w:val="center"/>
          </w:tcPr>
          <w:p>
            <w:pPr>
              <w:jc w:val="left"/>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已落实。 </w:t>
            </w:r>
          </w:p>
          <w:p>
            <w:pPr>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调漆废气、喷漆废气、烘干废气、喷塑废气及固化废气排放均符合《工业涂装工序大气污染物排放标准》(DB 33/2146-2018)中相关标准，天然气燃烧废气排放符合《浙江省工业炉窑大气污染综合治理方案》(浙环函[2019]315号)中相关标准。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jc w:val="center"/>
        </w:trPr>
        <w:tc>
          <w:tcPr>
            <w:tcW w:w="630"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4221" w:type="dxa"/>
            <w:shd w:val="clear" w:color="auto" w:fill="auto"/>
            <w:vAlign w:val="center"/>
          </w:tcPr>
          <w:p>
            <w:pPr>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认真落实各项噪声污染防治措施，严格控制营运期间产生的噪声对环境的影响。合理布局车间，加强绿化，并按环评报告表要求做好各消声降噪工作，确保厂界噪声达标排放。</w:t>
            </w:r>
          </w:p>
        </w:tc>
        <w:tc>
          <w:tcPr>
            <w:tcW w:w="3437" w:type="dxa"/>
            <w:shd w:val="clear" w:color="auto" w:fill="auto"/>
            <w:vAlign w:val="center"/>
          </w:tcPr>
          <w:p>
            <w:pPr>
              <w:jc w:val="left"/>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已落实。 </w:t>
            </w:r>
          </w:p>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企业合理安排作业时间，减少对周边企业的噪声影响；平时加强设备的维护，确保设备处于良好的运转状态，杜绝因设备不正常运转时产生的高噪声现象</w:t>
            </w:r>
            <w:r>
              <w:rPr>
                <w:rFonts w:hint="eastAsia" w:ascii="Times New Roman" w:hAnsi="Times New Roman" w:eastAsia="宋体"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jc w:val="center"/>
        </w:trPr>
        <w:tc>
          <w:tcPr>
            <w:tcW w:w="630"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4221" w:type="dxa"/>
            <w:shd w:val="clear" w:color="auto" w:fill="auto"/>
            <w:vAlign w:val="center"/>
          </w:tcPr>
          <w:p>
            <w:pPr>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按照“资源化、减量化、无害化”的固废处置原则，提高综合利用率，防止产生二次污染。危险废物委托有资质单位代为处置，危险废物贮存应满足《危险废物贮存污染控制标准》要求，贮存场所必须按照《环境保护图形标志固体废物贮存(处置)场》中的规定设置警示标志，危险废物运输应符合《危险废物收集贮存运输技术规范》技术要求。一般固体废物的贮存参照《一般工业固体废物贮存和填埋污染控制标准》中相关环境保护要求。生活垃圾分类收集后委托环卫部门清运处置。</w:t>
            </w:r>
          </w:p>
        </w:tc>
        <w:tc>
          <w:tcPr>
            <w:tcW w:w="3437" w:type="dxa"/>
            <w:shd w:val="clear" w:color="auto" w:fill="auto"/>
            <w:vAlign w:val="center"/>
          </w:tcPr>
          <w:p>
            <w:pPr>
              <w:jc w:val="left"/>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已落实。 </w:t>
            </w:r>
          </w:p>
          <w:p>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项目产生的各固废分类收集存放，一般固废仓库位于厂区南侧，危废仓库位于厂区东南侧，约40m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。暂存间均已落实分区及防腐防渗措施。危废委托处理处置合同详见附件5</w:t>
            </w:r>
            <w:r>
              <w:rPr>
                <w:rFonts w:hint="eastAsia" w:ascii="Times New Roman" w:hAnsi="Times New Roman" w:eastAsia="宋体"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7" w:type="dxa"/>
            <w:left w:w="108" w:type="dxa"/>
            <w:bottom w:w="0" w:type="dxa"/>
            <w:right w:w="58" w:type="dxa"/>
          </w:tblCellMar>
        </w:tblPrEx>
        <w:trPr>
          <w:trHeight w:val="454" w:hRule="atLeast"/>
          <w:jc w:val="center"/>
        </w:trPr>
        <w:tc>
          <w:tcPr>
            <w:tcW w:w="630"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4221" w:type="dxa"/>
            <w:shd w:val="clear" w:color="auto" w:fill="auto"/>
            <w:vAlign w:val="center"/>
          </w:tcPr>
          <w:p>
            <w:pPr>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强项目的日常监督管理和安全防范，按照有关部门规定要求做好安全防范相关工作，健全各项环保规章制度和岗位责任制度，设置专职的环保管理人员；做好各类生产设备和环保设施的运行管理和日常检修维护，确保各类环保设施稳定正常运行和污染物的稳定达标排放；项目污染防治设施及危废贮存场所等，须与主体工程一起按照安全生产要求设计，并纳入本项目安全预评价，经相关职能部门审批同意后方可实施。认真落实各项环境风险防范措施，有效防范因环境污染事故引发的环境风险，确保周边环境安全。</w:t>
            </w:r>
          </w:p>
        </w:tc>
        <w:tc>
          <w:tcPr>
            <w:tcW w:w="3437" w:type="dxa"/>
            <w:shd w:val="clear" w:color="auto" w:fill="auto"/>
            <w:vAlign w:val="center"/>
          </w:tcPr>
          <w:p>
            <w:pPr>
              <w:jc w:val="left"/>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已落实。 </w:t>
            </w:r>
          </w:p>
          <w:p>
            <w:pPr>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设置专职的环保管理人员；做好各类生产设备和环保设施的运行管理和日常检修维护，确保各类环保设施稳定正常运行和污染物的稳定达标排放。</w:t>
            </w:r>
          </w:p>
        </w:tc>
      </w:tr>
    </w:tbl>
    <w:p>
      <w:pPr>
        <w:pStyle w:val="2"/>
        <w:sectPr>
          <w:footerReference r:id="rId11" w:type="default"/>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rPr>
          <w:color w:val="000000" w:themeColor="text1"/>
          <w14:textFill>
            <w14:solidFill>
              <w14:schemeClr w14:val="tx1"/>
            </w14:solidFill>
          </w14:textFill>
        </w:rPr>
      </w:pPr>
      <w:bookmarkStart w:id="59" w:name="_Toc6965"/>
      <w:r>
        <w:rPr>
          <w:rFonts w:hint="eastAsia"/>
          <w:color w:val="000000" w:themeColor="text1"/>
          <w14:textFill>
            <w14:solidFill>
              <w14:schemeClr w14:val="tx1"/>
            </w14:solidFill>
          </w14:textFill>
        </w:rPr>
        <w:t>5建设项目</w:t>
      </w:r>
      <w:r>
        <w:rPr>
          <w:rFonts w:hint="eastAsia"/>
          <w:color w:val="000000" w:themeColor="text1"/>
          <w:lang w:eastAsia="zh-CN"/>
          <w14:textFill>
            <w14:solidFill>
              <w14:schemeClr w14:val="tx1"/>
            </w14:solidFill>
          </w14:textFill>
        </w:rPr>
        <w:t>环评报告</w:t>
      </w:r>
      <w:r>
        <w:rPr>
          <w:rFonts w:hint="eastAsia"/>
          <w:color w:val="000000" w:themeColor="text1"/>
          <w14:textFill>
            <w14:solidFill>
              <w14:schemeClr w14:val="tx1"/>
            </w14:solidFill>
          </w14:textFill>
        </w:rPr>
        <w:t>的主要结论与建议及其审批部门审批决定</w:t>
      </w:r>
      <w:bookmarkEnd w:id="59"/>
    </w:p>
    <w:p>
      <w:pPr>
        <w:pStyle w:val="5"/>
        <w:rPr>
          <w:rFonts w:eastAsia="宋体"/>
        </w:rPr>
      </w:pPr>
      <w:bookmarkStart w:id="60" w:name="_Toc13456"/>
      <w:r>
        <w:rPr>
          <w:rFonts w:eastAsia="宋体"/>
        </w:rPr>
        <w:t>5.1建设项目</w:t>
      </w:r>
      <w:r>
        <w:rPr>
          <w:rFonts w:hint="eastAsia" w:eastAsia="宋体"/>
          <w:lang w:eastAsia="zh-CN"/>
        </w:rPr>
        <w:t>环评报告</w:t>
      </w:r>
      <w:r>
        <w:rPr>
          <w:rFonts w:eastAsia="宋体"/>
        </w:rPr>
        <w:t>的主要结论与建议</w:t>
      </w:r>
      <w:bookmarkEnd w:id="60"/>
    </w:p>
    <w:p>
      <w:pPr>
        <w:pStyle w:val="6"/>
        <w:spacing w:before="120" w:after="120"/>
      </w:pPr>
      <w:bookmarkStart w:id="61" w:name="_Toc7192"/>
      <w:bookmarkStart w:id="62" w:name="_Toc5979"/>
      <w:r>
        <w:rPr>
          <w:rFonts w:hint="default"/>
          <w:lang w:val="en-US" w:eastAsia="zh-CN"/>
        </w:rPr>
        <w:t xml:space="preserve">5.1.1 </w:t>
      </w:r>
      <w:r>
        <w:rPr>
          <w:rFonts w:hint="eastAsia"/>
          <w:lang w:val="en-US" w:eastAsia="zh-CN"/>
        </w:rPr>
        <w:t>建设项目污染产生和防治措施</w:t>
      </w:r>
      <w:bookmarkEnd w:id="61"/>
      <w:bookmarkEnd w:id="62"/>
    </w:p>
    <w:p>
      <w:pPr>
        <w:ind w:left="-15" w:right="120" w:firstLine="480"/>
        <w:jc w:val="center"/>
        <w:rPr>
          <w:rFonts w:hint="default" w:ascii="Times New Roman" w:hAnsi="Times New Roman"/>
          <w:b/>
          <w:color w:val="000000" w:themeColor="text1"/>
          <w:lang w:val="en-US"/>
          <w14:textFill>
            <w14:solidFill>
              <w14:schemeClr w14:val="tx1"/>
            </w14:solidFill>
          </w14:textFill>
        </w:rPr>
      </w:pPr>
      <w:r>
        <w:rPr>
          <w:rFonts w:hint="eastAsia" w:ascii="Times New Roman" w:hAnsi="Times New Roman"/>
          <w:b/>
          <w:color w:val="000000" w:themeColor="text1"/>
          <w:lang w:val="en-US" w:eastAsia="zh-CN"/>
          <w14:textFill>
            <w14:solidFill>
              <w14:schemeClr w14:val="tx1"/>
            </w14:solidFill>
          </w14:textFill>
        </w:rPr>
        <w:t xml:space="preserve">表 </w:t>
      </w:r>
      <w:r>
        <w:rPr>
          <w:rFonts w:hint="default" w:ascii="Times New Roman" w:hAnsi="Times New Roman"/>
          <w:b/>
          <w:color w:val="000000" w:themeColor="text1"/>
          <w:lang w:val="en-US" w:eastAsia="zh-CN"/>
          <w14:textFill>
            <w14:solidFill>
              <w14:schemeClr w14:val="tx1"/>
            </w14:solidFill>
          </w14:textFill>
        </w:rPr>
        <w:t>5.</w:t>
      </w:r>
      <w:r>
        <w:rPr>
          <w:rFonts w:hint="eastAsia" w:ascii="Times New Roman" w:hAnsi="Times New Roman"/>
          <w:b/>
          <w:color w:val="000000" w:themeColor="text1"/>
          <w:lang w:val="en-US" w:eastAsia="zh-CN"/>
          <w14:textFill>
            <w14:solidFill>
              <w14:schemeClr w14:val="tx1"/>
            </w14:solidFill>
          </w14:textFill>
        </w:rPr>
        <w:t>1.</w:t>
      </w:r>
      <w:r>
        <w:rPr>
          <w:rFonts w:hint="default" w:ascii="Times New Roman" w:hAnsi="Times New Roman"/>
          <w:b/>
          <w:color w:val="000000" w:themeColor="text1"/>
          <w:lang w:val="en-US" w:eastAsia="zh-CN"/>
          <w14:textFill>
            <w14:solidFill>
              <w14:schemeClr w14:val="tx1"/>
            </w14:solidFill>
          </w14:textFill>
        </w:rPr>
        <w:t>1-1</w:t>
      </w:r>
      <w:r>
        <w:rPr>
          <w:rFonts w:hint="eastAsia" w:ascii="Times New Roman" w:hAnsi="Times New Roman"/>
          <w:b/>
          <w:color w:val="000000" w:themeColor="text1"/>
          <w:lang w:val="en-US" w:eastAsia="zh-CN"/>
          <w14:textFill>
            <w14:solidFill>
              <w14:schemeClr w14:val="tx1"/>
            </w14:solidFill>
          </w14:textFill>
        </w:rPr>
        <w:t>项目污染治理措施汇总表</w:t>
      </w:r>
    </w:p>
    <w:tbl>
      <w:tblPr>
        <w:tblStyle w:val="31"/>
        <w:tblW w:w="494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2"/>
        <w:gridCol w:w="1533"/>
        <w:gridCol w:w="1368"/>
        <w:gridCol w:w="2090"/>
        <w:gridCol w:w="25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cs="Times New Roman" w:asciiTheme="minorEastAsia" w:hAnsiTheme="minorEastAsia"/>
                <w:b/>
                <w:bCs/>
                <w:szCs w:val="21"/>
                <w:lang w:val="en-US" w:eastAsia="zh-CN"/>
              </w:rPr>
            </w:pPr>
            <w:r>
              <w:rPr>
                <w:rFonts w:hint="eastAsia" w:cs="Times New Roman" w:asciiTheme="minorEastAsia" w:hAnsiTheme="minorEastAsia"/>
                <w:b/>
                <w:bCs/>
                <w:szCs w:val="21"/>
                <w:lang w:val="en-US" w:eastAsia="zh-CN"/>
              </w:rPr>
              <w:t>分类</w:t>
            </w:r>
          </w:p>
        </w:tc>
        <w:tc>
          <w:tcPr>
            <w:tcW w:w="153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cs="Times New Roman" w:asciiTheme="minorEastAsia" w:hAnsiTheme="minorEastAsia"/>
                <w:b/>
                <w:bCs/>
                <w:szCs w:val="21"/>
                <w:lang w:val="en-US" w:eastAsia="zh-CN"/>
              </w:rPr>
            </w:pPr>
            <w:r>
              <w:rPr>
                <w:rFonts w:hint="eastAsia" w:cs="Times New Roman" w:asciiTheme="minorEastAsia" w:hAnsiTheme="minorEastAsia"/>
                <w:b/>
                <w:bCs/>
                <w:szCs w:val="21"/>
                <w:lang w:val="en-US" w:eastAsia="zh-CN"/>
              </w:rPr>
              <w:t>排放口(编号、名称)/污染源</w:t>
            </w:r>
          </w:p>
        </w:tc>
        <w:tc>
          <w:tcPr>
            <w:tcW w:w="1368" w:type="dxa"/>
            <w:shd w:val="clear" w:color="auto" w:fill="auto"/>
            <w:vAlign w:val="center"/>
          </w:tcPr>
          <w:p>
            <w:pPr>
              <w:adjustRightInd w:val="0"/>
              <w:snapToGrid w:val="0"/>
              <w:spacing w:line="240" w:lineRule="exact"/>
              <w:jc w:val="center"/>
              <w:rPr>
                <w:rFonts w:hint="eastAsia" w:cs="Times New Roman" w:asciiTheme="minorEastAsia" w:hAnsiTheme="minorEastAsia" w:eastAsiaTheme="minorEastAsia"/>
                <w:b/>
                <w:bCs/>
                <w:kern w:val="2"/>
                <w:sz w:val="21"/>
                <w:szCs w:val="21"/>
                <w:lang w:val="en-US" w:eastAsia="zh-CN" w:bidi="ar-SA"/>
              </w:rPr>
            </w:pPr>
            <w:r>
              <w:rPr>
                <w:rFonts w:hint="eastAsia" w:cs="Times New Roman" w:asciiTheme="minorEastAsia" w:hAnsiTheme="minorEastAsia"/>
                <w:b/>
                <w:bCs/>
                <w:szCs w:val="21"/>
                <w:lang w:val="en-US" w:eastAsia="zh-CN"/>
              </w:rPr>
              <w:t>污染物</w:t>
            </w:r>
          </w:p>
        </w:tc>
        <w:tc>
          <w:tcPr>
            <w:tcW w:w="2090" w:type="dxa"/>
            <w:shd w:val="clear" w:color="auto" w:fill="auto"/>
            <w:vAlign w:val="center"/>
          </w:tcPr>
          <w:p>
            <w:pPr>
              <w:keepNext w:val="0"/>
              <w:keepLines w:val="0"/>
              <w:widowControl/>
              <w:suppressLineNumbers w:val="0"/>
              <w:jc w:val="center"/>
              <w:rPr>
                <w:rFonts w:cs="Times New Roman" w:asciiTheme="minorEastAsia" w:hAnsiTheme="minorEastAsia"/>
                <w:b/>
                <w:bCs/>
                <w:szCs w:val="21"/>
              </w:rPr>
            </w:pPr>
            <w:r>
              <w:rPr>
                <w:rFonts w:hint="eastAsia" w:ascii="宋体" w:hAnsi="宋体" w:eastAsia="宋体" w:cs="宋体"/>
                <w:b/>
                <w:bCs/>
                <w:color w:val="000000"/>
                <w:kern w:val="0"/>
                <w:sz w:val="20"/>
                <w:szCs w:val="20"/>
                <w:lang w:val="en-US" w:eastAsia="zh-CN" w:bidi="ar"/>
              </w:rPr>
              <w:t>治理措施主要内容</w:t>
            </w:r>
          </w:p>
        </w:tc>
        <w:tc>
          <w:tcPr>
            <w:tcW w:w="2595" w:type="dxa"/>
            <w:shd w:val="clear" w:color="auto" w:fill="auto"/>
            <w:vAlign w:val="center"/>
          </w:tcPr>
          <w:p>
            <w:pPr>
              <w:adjustRightInd w:val="0"/>
              <w:snapToGrid w:val="0"/>
              <w:spacing w:line="240" w:lineRule="exact"/>
              <w:jc w:val="center"/>
              <w:rPr>
                <w:rFonts w:hint="default" w:cs="Times New Roman" w:asciiTheme="minorEastAsia" w:hAnsiTheme="minorEastAsia" w:eastAsiaTheme="minorEastAsia"/>
                <w:b/>
                <w:bCs/>
                <w:szCs w:val="21"/>
                <w:lang w:val="en-US" w:eastAsia="zh-CN"/>
              </w:rPr>
            </w:pPr>
            <w:r>
              <w:rPr>
                <w:rFonts w:hint="eastAsia" w:cs="Times New Roman" w:asciiTheme="minorEastAsia" w:hAnsiTheme="minorEastAsia"/>
                <w:b/>
                <w:bCs/>
                <w:szCs w:val="21"/>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69" w:hRule="atLeast"/>
          <w:tblHeader/>
          <w:jc w:val="center"/>
        </w:trPr>
        <w:tc>
          <w:tcPr>
            <w:tcW w:w="842" w:type="dxa"/>
            <w:shd w:val="clear" w:color="auto" w:fill="auto"/>
            <w:vAlign w:val="center"/>
          </w:tcPr>
          <w:p>
            <w:pPr>
              <w:ind w:right="56" w:rightChars="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废水</w:t>
            </w:r>
          </w:p>
        </w:tc>
        <w:tc>
          <w:tcPr>
            <w:tcW w:w="1533" w:type="dxa"/>
            <w:shd w:val="clear" w:color="auto" w:fill="auto"/>
            <w:vAlign w:val="center"/>
          </w:tcPr>
          <w:p>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DW001/</w:t>
            </w:r>
            <w:r>
              <w:rPr>
                <w:rFonts w:hint="default" w:ascii="Times New Roman" w:hAnsi="Times New Roman" w:eastAsia="宋体" w:cs="Times New Roman"/>
                <w:color w:val="auto"/>
                <w:sz w:val="21"/>
                <w:szCs w:val="21"/>
              </w:rPr>
              <w:t>生活</w:t>
            </w:r>
            <w:r>
              <w:rPr>
                <w:rFonts w:hint="default" w:ascii="Times New Roman" w:hAnsi="Times New Roman" w:eastAsia="宋体" w:cs="Times New Roman"/>
                <w:color w:val="auto"/>
                <w:sz w:val="21"/>
                <w:szCs w:val="21"/>
                <w:lang w:eastAsia="zh-CN"/>
              </w:rPr>
              <w:t>污水、生产废水</w:t>
            </w:r>
          </w:p>
        </w:tc>
        <w:tc>
          <w:tcPr>
            <w:tcW w:w="1368" w:type="dxa"/>
            <w:shd w:val="clear" w:color="auto" w:fill="auto"/>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rPr>
              <w:t>COD</w:t>
            </w:r>
            <w:r>
              <w:rPr>
                <w:rFonts w:hint="eastAsia" w:ascii="Times New Roman" w:hAnsi="Times New Roman" w:eastAsia="宋体" w:cs="Times New Roman"/>
                <w:color w:val="auto"/>
                <w:sz w:val="21"/>
                <w:szCs w:val="21"/>
                <w:vertAlign w:val="subscript"/>
                <w:lang w:val="en-US" w:eastAsia="zh-CN"/>
              </w:rPr>
              <w:t>C</w:t>
            </w:r>
            <w:r>
              <w:rPr>
                <w:rFonts w:hint="default" w:ascii="Times New Roman" w:hAnsi="Times New Roman" w:eastAsia="宋体" w:cs="Times New Roman"/>
                <w:color w:val="auto"/>
                <w:sz w:val="21"/>
                <w:szCs w:val="21"/>
                <w:vertAlign w:val="subscript"/>
              </w:rPr>
              <w:t>r</w:t>
            </w:r>
            <w:r>
              <w:rPr>
                <w:rFonts w:hint="default" w:ascii="Times New Roman" w:hAnsi="Times New Roman" w:eastAsia="宋体" w:cs="Times New Roman"/>
                <w:color w:val="auto"/>
                <w:lang w:eastAsia="zh-CN"/>
              </w:rPr>
              <w:t>、</w:t>
            </w:r>
          </w:p>
          <w:p>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w:t>
            </w:r>
            <w:r>
              <w:rPr>
                <w:rFonts w:hint="default" w:ascii="Times New Roman" w:hAnsi="Times New Roman" w:eastAsia="宋体" w:cs="Times New Roman"/>
                <w:color w:val="auto"/>
                <w:lang w:eastAsia="zh-CN"/>
              </w:rPr>
              <w:t>、石油类、</w:t>
            </w:r>
            <w:r>
              <w:rPr>
                <w:rFonts w:hint="default" w:ascii="Times New Roman" w:hAnsi="Times New Roman" w:eastAsia="宋体" w:cs="Times New Roman"/>
                <w:color w:val="auto"/>
                <w:lang w:val="en-US" w:eastAsia="zh-CN"/>
              </w:rPr>
              <w:t>SS</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 w:val="21"/>
                <w:szCs w:val="21"/>
                <w:lang w:eastAsia="zh-CN"/>
              </w:rPr>
              <w:t>生产废水经过</w:t>
            </w:r>
            <w:r>
              <w:rPr>
                <w:rFonts w:hint="eastAsia" w:ascii="Times New Roman" w:hAnsi="Times New Roman" w:eastAsia="宋体" w:cs="Times New Roman"/>
                <w:color w:val="auto"/>
                <w:sz w:val="21"/>
                <w:szCs w:val="21"/>
                <w:lang w:eastAsia="zh-CN"/>
              </w:rPr>
              <w:t>污水处理设施</w:t>
            </w:r>
            <w:r>
              <w:rPr>
                <w:rFonts w:hint="default" w:ascii="Times New Roman" w:hAnsi="Times New Roman" w:eastAsia="宋体" w:cs="Times New Roman"/>
                <w:color w:val="auto"/>
                <w:sz w:val="21"/>
                <w:szCs w:val="21"/>
                <w:lang w:eastAsia="zh-CN"/>
              </w:rPr>
              <w:t>处理，生活污水经过化粪池</w:t>
            </w:r>
            <w:r>
              <w:rPr>
                <w:rFonts w:hint="default" w:ascii="Times New Roman" w:hAnsi="Times New Roman" w:eastAsia="宋体" w:cs="Times New Roman"/>
                <w:color w:val="auto"/>
                <w:sz w:val="21"/>
                <w:szCs w:val="21"/>
              </w:rPr>
              <w:t>预处理</w:t>
            </w:r>
            <w:r>
              <w:rPr>
                <w:rFonts w:hint="default" w:ascii="Times New Roman" w:hAnsi="Times New Roman" w:eastAsia="宋体" w:cs="Times New Roman"/>
                <w:color w:val="auto"/>
                <w:sz w:val="21"/>
                <w:szCs w:val="21"/>
                <w:lang w:eastAsia="zh-CN"/>
              </w:rPr>
              <w:t>，分别达到纳管标准后</w:t>
            </w:r>
            <w:r>
              <w:rPr>
                <w:rFonts w:hint="default" w:ascii="Times New Roman" w:hAnsi="Times New Roman" w:eastAsia="宋体" w:cs="Times New Roman"/>
                <w:color w:val="auto"/>
                <w:sz w:val="21"/>
                <w:szCs w:val="21"/>
              </w:rPr>
              <w:t>纳管排放，</w:t>
            </w:r>
            <w:r>
              <w:rPr>
                <w:rFonts w:hint="default" w:ascii="Times New Roman" w:hAnsi="Times New Roman" w:eastAsia="宋体" w:cs="Times New Roman"/>
                <w:color w:val="auto"/>
                <w:sz w:val="21"/>
                <w:szCs w:val="21"/>
                <w:lang w:eastAsia="zh-CN"/>
              </w:rPr>
              <w:t>汇同</w:t>
            </w:r>
            <w:r>
              <w:rPr>
                <w:rFonts w:hint="default" w:ascii="Times New Roman" w:hAnsi="Times New Roman" w:eastAsia="宋体" w:cs="Times New Roman"/>
                <w:color w:val="auto"/>
                <w:sz w:val="21"/>
                <w:szCs w:val="21"/>
              </w:rPr>
              <w:t>经</w:t>
            </w:r>
            <w:r>
              <w:rPr>
                <w:rFonts w:hint="eastAsia" w:ascii="Times New Roman" w:hAnsi="Times New Roman" w:eastAsia="宋体" w:cs="Times New Roman"/>
                <w:color w:val="auto"/>
                <w:sz w:val="21"/>
                <w:szCs w:val="21"/>
                <w:lang w:eastAsia="zh-CN"/>
              </w:rPr>
              <w:t>永康市城市污水处理厂</w:t>
            </w:r>
            <w:r>
              <w:rPr>
                <w:rFonts w:hint="default" w:ascii="Times New Roman" w:hAnsi="Times New Roman" w:eastAsia="宋体" w:cs="Times New Roman"/>
                <w:color w:val="auto"/>
                <w:sz w:val="21"/>
                <w:szCs w:val="21"/>
              </w:rPr>
              <w:t>处理</w:t>
            </w:r>
            <w:r>
              <w:rPr>
                <w:rFonts w:hint="default" w:ascii="Times New Roman" w:hAnsi="Times New Roman" w:eastAsia="宋体" w:cs="Times New Roman"/>
                <w:color w:val="auto"/>
                <w:sz w:val="21"/>
                <w:szCs w:val="21"/>
                <w:lang w:eastAsia="zh-CN"/>
              </w:rPr>
              <w:t>后达标排放</w:t>
            </w:r>
          </w:p>
        </w:tc>
        <w:tc>
          <w:tcPr>
            <w:tcW w:w="2595"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纳管</w:t>
            </w:r>
            <w:r>
              <w:rPr>
                <w:rFonts w:hint="eastAsia" w:ascii="Times New Roman" w:hAnsi="Times New Roman" w:eastAsia="宋体" w:cs="Times New Roman"/>
                <w:color w:val="auto"/>
                <w:lang w:val="en-US" w:eastAsia="zh-CN"/>
              </w:rPr>
              <w:t>执行</w:t>
            </w:r>
            <w:r>
              <w:rPr>
                <w:rFonts w:hint="default" w:ascii="Times New Roman" w:hAnsi="Times New Roman" w:eastAsia="宋体" w:cs="Times New Roman"/>
                <w:color w:val="auto"/>
              </w:rPr>
              <w:t>《污水综合排放标准》（GB8978-1996）三级标准；</w:t>
            </w:r>
            <w:r>
              <w:rPr>
                <w:rFonts w:hint="eastAsia" w:ascii="Times New Roman" w:hAnsi="Times New Roman" w:eastAsia="宋体" w:cs="Times New Roman"/>
                <w:color w:val="auto"/>
                <w:lang w:val="en-US" w:eastAsia="zh-CN"/>
              </w:rPr>
              <w:t>污水处理厂CODcr、氨氮、总氮、总磷指标执行</w:t>
            </w:r>
            <w:r>
              <w:rPr>
                <w:rFonts w:hint="default" w:ascii="Times New Roman" w:hAnsi="Times New Roman" w:eastAsia="宋体" w:cs="Times New Roman"/>
                <w:color w:val="auto"/>
                <w:lang w:eastAsia="zh-CN"/>
              </w:rPr>
              <w:t>浙江省《城镇污水处理厂主要水污染物排放标准》（DB33/2169-2018）中</w:t>
            </w:r>
            <w:r>
              <w:rPr>
                <w:rFonts w:hint="eastAsia" w:ascii="Times New Roman" w:hAnsi="Times New Roman" w:eastAsia="宋体" w:cs="Times New Roman"/>
                <w:color w:val="auto"/>
                <w:lang w:val="en-US" w:eastAsia="zh-CN"/>
              </w:rPr>
              <w:t>表1标准</w:t>
            </w:r>
            <w:r>
              <w:rPr>
                <w:rFonts w:hint="default" w:ascii="Times New Roman" w:hAnsi="Times New Roman" w:eastAsia="宋体" w:cs="Times New Roman"/>
                <w:color w:val="auto"/>
                <w:lang w:eastAsia="zh-CN"/>
              </w:rPr>
              <w:t>；其余指标执行《城镇污水处理厂污染物排放标准》（GB18918-2002）中的一级A标准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5" w:hRule="atLeast"/>
          <w:tblHeader/>
          <w:jc w:val="center"/>
        </w:trPr>
        <w:tc>
          <w:tcPr>
            <w:tcW w:w="842" w:type="dxa"/>
            <w:vMerge w:val="restart"/>
            <w:shd w:val="clear" w:color="auto" w:fill="auto"/>
            <w:vAlign w:val="center"/>
          </w:tcPr>
          <w:p>
            <w:pPr>
              <w:ind w:right="56" w:rightChars="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废气</w:t>
            </w:r>
          </w:p>
        </w:tc>
        <w:tc>
          <w:tcPr>
            <w:tcW w:w="1533" w:type="dxa"/>
            <w:vMerge w:val="restart"/>
            <w:shd w:val="clear" w:color="auto" w:fill="auto"/>
            <w:vAlign w:val="center"/>
          </w:tcPr>
          <w:p>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DA00</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调漆、</w:t>
            </w:r>
            <w:r>
              <w:rPr>
                <w:rFonts w:hint="default" w:ascii="Times New Roman" w:hAnsi="Times New Roman" w:eastAsia="宋体" w:cs="Times New Roman"/>
                <w:color w:val="auto"/>
                <w:lang w:val="en-US" w:eastAsia="zh-CN"/>
              </w:rPr>
              <w:t>喷漆、</w:t>
            </w:r>
            <w:r>
              <w:rPr>
                <w:rFonts w:hint="eastAsia" w:ascii="Times New Roman" w:hAnsi="Times New Roman" w:eastAsia="宋体" w:cs="Times New Roman"/>
                <w:color w:val="auto"/>
                <w:lang w:val="en-US" w:eastAsia="zh-CN"/>
              </w:rPr>
              <w:t>烘干、固化</w:t>
            </w:r>
            <w:r>
              <w:rPr>
                <w:rFonts w:hint="default" w:ascii="Times New Roman" w:hAnsi="Times New Roman" w:eastAsia="宋体" w:cs="Times New Roman"/>
                <w:color w:val="auto"/>
                <w:lang w:val="en-US" w:eastAsia="zh-CN"/>
              </w:rPr>
              <w:t>工序废气</w:t>
            </w:r>
          </w:p>
        </w:tc>
        <w:tc>
          <w:tcPr>
            <w:tcW w:w="1368"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1"/>
                <w:lang w:val="en-US" w:eastAsia="zh-CN"/>
              </w:rPr>
              <w:t>苯系物、乙酸酯类、非甲烷总烃、臭气浓度</w:t>
            </w:r>
          </w:p>
        </w:tc>
        <w:tc>
          <w:tcPr>
            <w:tcW w:w="2090" w:type="dxa"/>
            <w:vMerge w:val="restart"/>
            <w:shd w:val="clear" w:color="auto" w:fill="auto"/>
            <w:vAlign w:val="center"/>
          </w:tcPr>
          <w:p>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水帘除漆雾，经</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水旋塔+干式过滤+活性炭吸附+脱附+催化燃烧处理装置</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处理后通过</w:t>
            </w:r>
            <w:r>
              <w:rPr>
                <w:rFonts w:hint="default" w:ascii="Times New Roman" w:hAnsi="Times New Roman" w:eastAsia="宋体" w:cs="Times New Roman"/>
                <w:color w:val="auto"/>
                <w:spacing w:val="-2"/>
                <w:sz w:val="21"/>
                <w:szCs w:val="21"/>
                <w:lang w:val="en-US" w:eastAsia="zh-CN"/>
              </w:rPr>
              <w:t>15</w:t>
            </w:r>
            <w:r>
              <w:rPr>
                <w:rFonts w:hint="default" w:ascii="Times New Roman" w:hAnsi="Times New Roman" w:eastAsia="宋体" w:cs="Times New Roman"/>
                <w:color w:val="auto"/>
                <w:spacing w:val="-2"/>
                <w:sz w:val="21"/>
                <w:szCs w:val="21"/>
              </w:rPr>
              <w:t>m高排气筒（</w:t>
            </w:r>
            <w:r>
              <w:rPr>
                <w:rFonts w:hint="default" w:ascii="Times New Roman" w:hAnsi="Times New Roman" w:eastAsia="宋体" w:cs="Times New Roman"/>
                <w:color w:val="auto"/>
                <w:spacing w:val="-2"/>
                <w:sz w:val="21"/>
                <w:szCs w:val="21"/>
                <w:lang w:val="en-US" w:eastAsia="zh-CN"/>
              </w:rPr>
              <w:t>DA00</w:t>
            </w:r>
            <w:r>
              <w:rPr>
                <w:rFonts w:hint="eastAsia" w:ascii="Times New Roman" w:hAnsi="Times New Roman" w:eastAsia="宋体" w:cs="Times New Roman"/>
                <w:color w:val="auto"/>
                <w:spacing w:val="-2"/>
                <w:sz w:val="21"/>
                <w:szCs w:val="21"/>
                <w:lang w:val="en-US" w:eastAsia="zh-CN"/>
              </w:rPr>
              <w:t>1</w:t>
            </w:r>
            <w:r>
              <w:rPr>
                <w:rFonts w:hint="default" w:ascii="Times New Roman" w:hAnsi="Times New Roman" w:eastAsia="宋体" w:cs="Times New Roman"/>
                <w:color w:val="auto"/>
                <w:spacing w:val="-2"/>
                <w:sz w:val="21"/>
                <w:szCs w:val="21"/>
              </w:rPr>
              <w:t>）排放</w:t>
            </w:r>
          </w:p>
        </w:tc>
        <w:tc>
          <w:tcPr>
            <w:tcW w:w="2595"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《工业涂装工序大气污染物排放标准》（DB33/2146-2018）中表1排放限值标准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5" w:hRule="atLeast"/>
          <w:tblHeader/>
          <w:jc w:val="center"/>
        </w:trPr>
        <w:tc>
          <w:tcPr>
            <w:tcW w:w="842" w:type="dxa"/>
            <w:vMerge w:val="continue"/>
            <w:shd w:val="clear" w:color="auto" w:fill="auto"/>
            <w:vAlign w:val="center"/>
          </w:tcPr>
          <w:p>
            <w:pPr>
              <w:ind w:right="56" w:rightChars="0"/>
              <w:jc w:val="center"/>
            </w:pPr>
          </w:p>
        </w:tc>
        <w:tc>
          <w:tcPr>
            <w:tcW w:w="1533"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368"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1"/>
                <w:lang w:val="en-US" w:eastAsia="zh-CN"/>
              </w:rPr>
              <w:t>SO</w:t>
            </w:r>
            <w:r>
              <w:rPr>
                <w:rFonts w:hint="default" w:ascii="Times New Roman" w:hAnsi="Times New Roman" w:eastAsia="宋体" w:cs="Times New Roman"/>
                <w:color w:val="auto"/>
                <w:kern w:val="2"/>
                <w:sz w:val="21"/>
                <w:szCs w:val="21"/>
                <w:vertAlign w:val="subscript"/>
                <w:lang w:val="en-US" w:eastAsia="zh-CN"/>
              </w:rPr>
              <w:t>2</w:t>
            </w:r>
            <w:r>
              <w:rPr>
                <w:rFonts w:hint="default" w:ascii="Times New Roman" w:hAnsi="Times New Roman" w:eastAsia="宋体" w:cs="Times New Roman"/>
                <w:color w:val="auto"/>
                <w:kern w:val="2"/>
                <w:sz w:val="21"/>
                <w:szCs w:val="21"/>
                <w:vertAlign w:val="baseline"/>
                <w:lang w:val="en-US" w:eastAsia="zh-CN"/>
              </w:rPr>
              <w:t>、NO</w:t>
            </w:r>
            <w:r>
              <w:rPr>
                <w:rFonts w:hint="default" w:ascii="Times New Roman" w:hAnsi="Times New Roman" w:eastAsia="宋体" w:cs="Times New Roman"/>
                <w:color w:val="auto"/>
                <w:kern w:val="2"/>
                <w:sz w:val="21"/>
                <w:szCs w:val="21"/>
                <w:vertAlign w:val="subscript"/>
                <w:lang w:val="en-US" w:eastAsia="zh-CN"/>
              </w:rPr>
              <w:t>X</w:t>
            </w:r>
            <w:r>
              <w:rPr>
                <w:rFonts w:hint="default" w:ascii="Times New Roman" w:hAnsi="Times New Roman" w:eastAsia="宋体" w:cs="Times New Roman"/>
                <w:color w:val="auto"/>
                <w:kern w:val="2"/>
                <w:sz w:val="21"/>
                <w:szCs w:val="21"/>
                <w:vertAlign w:val="baseline"/>
                <w:lang w:val="en-US" w:eastAsia="zh-CN"/>
              </w:rPr>
              <w:t>、颗粒物</w:t>
            </w:r>
          </w:p>
        </w:tc>
        <w:tc>
          <w:tcPr>
            <w:tcW w:w="2090"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2595"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《浙江省工业炉窑大气污染物综合治理实施方案》（浙环函〔2019〕315号）中的相关要求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5"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DA00</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喷塑</w:t>
            </w:r>
            <w:r>
              <w:rPr>
                <w:rFonts w:hint="default" w:ascii="Times New Roman" w:hAnsi="Times New Roman" w:eastAsia="宋体" w:cs="Times New Roman"/>
                <w:color w:val="auto"/>
                <w:lang w:val="en-US" w:eastAsia="zh-CN"/>
              </w:rPr>
              <w:t>工序</w:t>
            </w:r>
            <w:r>
              <w:rPr>
                <w:rFonts w:hint="default" w:ascii="Times New Roman" w:hAnsi="Times New Roman" w:eastAsia="宋体" w:cs="Times New Roman"/>
                <w:color w:val="auto"/>
                <w:lang w:eastAsia="zh-CN"/>
              </w:rPr>
              <w:t>废气</w:t>
            </w:r>
          </w:p>
        </w:tc>
        <w:tc>
          <w:tcPr>
            <w:tcW w:w="1368"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vertAlign w:val="baseline"/>
                <w:lang w:val="en-US" w:eastAsia="zh-CN"/>
              </w:rPr>
              <w:t>颗粒物</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收集后经“滤筒过滤+脉冲滤芯除尘”二级回收处理后通过15m高排气筒（DA00</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）排放</w:t>
            </w:r>
          </w:p>
        </w:tc>
        <w:tc>
          <w:tcPr>
            <w:tcW w:w="2595"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1"/>
                <w:lang w:val="en-US" w:eastAsia="zh-CN"/>
              </w:rPr>
              <w:t>《工业涂装工序大气污染物排放标准》（DB33/2146-2018）中表1排放限值标准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5"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厂区内</w:t>
            </w:r>
          </w:p>
        </w:tc>
        <w:tc>
          <w:tcPr>
            <w:tcW w:w="1368"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非甲烷总烃</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加强车间通风</w:t>
            </w:r>
          </w:p>
        </w:tc>
        <w:tc>
          <w:tcPr>
            <w:tcW w:w="2595"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《挥发性有机物无组织排放控制标准》（GB 37822-2019）表A.1特别排放限值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5"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restart"/>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厂界</w:t>
            </w:r>
          </w:p>
        </w:tc>
        <w:tc>
          <w:tcPr>
            <w:tcW w:w="1368"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颗粒物</w:t>
            </w:r>
          </w:p>
        </w:tc>
        <w:tc>
          <w:tcPr>
            <w:tcW w:w="2090" w:type="dxa"/>
            <w:vMerge w:val="restart"/>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加强车间通风</w:t>
            </w:r>
          </w:p>
        </w:tc>
        <w:tc>
          <w:tcPr>
            <w:tcW w:w="2595"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《大气污染物综合排放标准》（GB 16297-1996）表2无组织监控浓度限值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5"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continue"/>
            <w:shd w:val="clear" w:color="auto" w:fill="auto"/>
            <w:vAlign w:val="center"/>
          </w:tcPr>
          <w:p>
            <w:pPr>
              <w:ind w:right="56" w:rightChars="0"/>
              <w:jc w:val="center"/>
              <w:rPr>
                <w:rFonts w:hint="default" w:ascii="Times New Roman" w:hAnsi="Times New Roman" w:cs="Times New Roman"/>
                <w:color w:val="000000" w:themeColor="text1"/>
                <w:lang w:val="en-US" w:eastAsia="zh-CN"/>
                <w14:textFill>
                  <w14:solidFill>
                    <w14:schemeClr w14:val="tx1"/>
                  </w14:solidFill>
                </w14:textFill>
              </w:rPr>
            </w:pPr>
          </w:p>
        </w:tc>
        <w:tc>
          <w:tcPr>
            <w:tcW w:w="1368"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eastAsia="zh-CN"/>
              </w:rPr>
              <w:t>苯系物、乙酸酯类</w:t>
            </w:r>
            <w:r>
              <w:rPr>
                <w:rFonts w:hint="default" w:ascii="Times New Roman" w:hAnsi="Times New Roman" w:eastAsia="宋体" w:cs="Times New Roman"/>
                <w:color w:val="auto"/>
              </w:rPr>
              <w:t>、非甲烷总烃、臭气浓度</w:t>
            </w:r>
          </w:p>
        </w:tc>
        <w:tc>
          <w:tcPr>
            <w:tcW w:w="2090"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2595" w:type="dxa"/>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1"/>
                <w:lang w:val="en-US" w:eastAsia="zh-CN"/>
              </w:rPr>
              <w:t>《工业涂装工序大气污染物排放标准》（DB33/2146-2018）表6标准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shd w:val="clear" w:color="auto" w:fill="auto"/>
            <w:vAlign w:val="center"/>
          </w:tcPr>
          <w:p>
            <w:pPr>
              <w:ind w:right="56" w:rightChars="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噪声</w:t>
            </w:r>
          </w:p>
        </w:tc>
        <w:tc>
          <w:tcPr>
            <w:tcW w:w="1533" w:type="dxa"/>
            <w:shd w:val="clear" w:color="auto" w:fill="auto"/>
            <w:vAlign w:val="center"/>
          </w:tcPr>
          <w:p>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设备运行</w:t>
            </w:r>
          </w:p>
        </w:tc>
        <w:tc>
          <w:tcPr>
            <w:tcW w:w="1368"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等效连续A声级</w:t>
            </w:r>
          </w:p>
        </w:tc>
        <w:tc>
          <w:tcPr>
            <w:tcW w:w="2090" w:type="dxa"/>
            <w:shd w:val="clear" w:color="auto" w:fill="auto"/>
            <w:vAlign w:val="center"/>
          </w:tcPr>
          <w:p>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采用低噪声设备，合理车间布局，</w:t>
            </w:r>
            <w:r>
              <w:rPr>
                <w:rFonts w:hint="default" w:ascii="Times New Roman" w:hAnsi="Times New Roman" w:eastAsia="宋体" w:cs="Times New Roman"/>
                <w:color w:val="auto"/>
                <w:lang w:val="zh-CN"/>
              </w:rPr>
              <w:t>采取减振措施，加强设备维护</w:t>
            </w:r>
            <w:r>
              <w:rPr>
                <w:rFonts w:hint="default" w:ascii="Times New Roman" w:hAnsi="Times New Roman" w:eastAsia="宋体" w:cs="Times New Roman"/>
                <w:color w:val="auto"/>
                <w:lang w:val="en-US" w:eastAsia="zh-CN"/>
              </w:rPr>
              <w:t>和</w:t>
            </w:r>
            <w:r>
              <w:rPr>
                <w:rFonts w:hint="default" w:ascii="Times New Roman" w:hAnsi="Times New Roman" w:eastAsia="宋体" w:cs="Times New Roman"/>
                <w:color w:val="auto"/>
                <w:lang w:val="zh-CN"/>
              </w:rPr>
              <w:t>管理等</w:t>
            </w:r>
          </w:p>
        </w:tc>
        <w:tc>
          <w:tcPr>
            <w:tcW w:w="2595"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《工业企业厂界环境噪声排放标准》（GB12348- 2008）3类标准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电磁</w:t>
            </w:r>
          </w:p>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辐射</w:t>
            </w:r>
          </w:p>
        </w:tc>
        <w:tc>
          <w:tcPr>
            <w:tcW w:w="1533"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w:t>
            </w:r>
          </w:p>
        </w:tc>
        <w:tc>
          <w:tcPr>
            <w:tcW w:w="1368"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w:t>
            </w:r>
          </w:p>
        </w:tc>
        <w:tc>
          <w:tcPr>
            <w:tcW w:w="2595"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restart"/>
            <w:shd w:val="clear" w:color="auto" w:fill="auto"/>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固体</w:t>
            </w:r>
          </w:p>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废物</w:t>
            </w:r>
          </w:p>
        </w:tc>
        <w:tc>
          <w:tcPr>
            <w:tcW w:w="1533" w:type="dxa"/>
            <w:shd w:val="clear" w:color="auto" w:fill="auto"/>
            <w:vAlign w:val="center"/>
          </w:tcPr>
          <w:p>
            <w:pPr>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一般固废</w:t>
            </w:r>
          </w:p>
        </w:tc>
        <w:tc>
          <w:tcPr>
            <w:tcW w:w="1368" w:type="dxa"/>
            <w:shd w:val="clear" w:color="auto" w:fill="auto"/>
            <w:vAlign w:val="center"/>
          </w:tcPr>
          <w:p>
            <w:pPr>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lang w:val="en-US" w:eastAsia="zh-CN"/>
              </w:rPr>
              <w:t>金属</w:t>
            </w:r>
            <w:r>
              <w:rPr>
                <w:rFonts w:hint="default" w:ascii="Times New Roman" w:hAnsi="Times New Roman" w:eastAsia="宋体" w:cs="Times New Roman"/>
                <w:color w:val="auto"/>
                <w:szCs w:val="21"/>
                <w:lang w:eastAsia="zh-CN"/>
              </w:rPr>
              <w:t>边角料</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收集后外售给物资单位</w:t>
            </w:r>
          </w:p>
        </w:tc>
        <w:tc>
          <w:tcPr>
            <w:tcW w:w="2595" w:type="dxa"/>
            <w:vMerge w:val="restart"/>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落实措施，固废做好收集处置工作，实现零排放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restart"/>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员工生活</w:t>
            </w:r>
          </w:p>
        </w:tc>
        <w:tc>
          <w:tcPr>
            <w:tcW w:w="1368"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一般废包装物</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收集后外售给物资单位</w:t>
            </w:r>
          </w:p>
        </w:tc>
        <w:tc>
          <w:tcPr>
            <w:tcW w:w="2595"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c>
          <w:tcPr>
            <w:tcW w:w="1368"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废塑粉</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收集后外售给物资单位</w:t>
            </w:r>
          </w:p>
        </w:tc>
        <w:tc>
          <w:tcPr>
            <w:tcW w:w="2595"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c>
          <w:tcPr>
            <w:tcW w:w="1368"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废滤芯</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收集后外售给物资单位</w:t>
            </w:r>
          </w:p>
        </w:tc>
        <w:tc>
          <w:tcPr>
            <w:tcW w:w="2595"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continue"/>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p>
        </w:tc>
        <w:tc>
          <w:tcPr>
            <w:tcW w:w="1368"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生活垃圾</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收集后委托环卫部门清运</w:t>
            </w:r>
          </w:p>
        </w:tc>
        <w:tc>
          <w:tcPr>
            <w:tcW w:w="2595"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restart"/>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危险固废</w:t>
            </w:r>
          </w:p>
        </w:tc>
        <w:tc>
          <w:tcPr>
            <w:tcW w:w="1368"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1"/>
                <w:lang w:val="en-US" w:eastAsia="zh-CN" w:bidi="ar-SA"/>
              </w:rPr>
              <w:t>漆渣</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收集后委托资质单位处理</w:t>
            </w:r>
          </w:p>
        </w:tc>
        <w:tc>
          <w:tcPr>
            <w:tcW w:w="2595"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c>
          <w:tcPr>
            <w:tcW w:w="1368"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1"/>
                <w:lang w:val="en-US" w:eastAsia="zh-CN" w:bidi="ar-SA"/>
              </w:rPr>
              <w:t>危险废包装桶</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收集后委托资质单位处理</w:t>
            </w:r>
          </w:p>
        </w:tc>
        <w:tc>
          <w:tcPr>
            <w:tcW w:w="2595"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c>
          <w:tcPr>
            <w:tcW w:w="1368" w:type="dxa"/>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w:t>
            </w:r>
            <w:r>
              <w:rPr>
                <w:rFonts w:hint="eastAsia" w:ascii="Times New Roman" w:hAnsi="Times New Roman" w:eastAsia="宋体" w:cs="Times New Roman"/>
                <w:color w:val="auto"/>
                <w:kern w:val="2"/>
                <w:sz w:val="21"/>
                <w:szCs w:val="21"/>
                <w:lang w:val="en-US" w:eastAsia="zh-CN" w:bidi="ar-SA"/>
              </w:rPr>
              <w:t>润滑油</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收集后委托资质单位处理</w:t>
            </w:r>
          </w:p>
        </w:tc>
        <w:tc>
          <w:tcPr>
            <w:tcW w:w="2595"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c>
          <w:tcPr>
            <w:tcW w:w="1368" w:type="dxa"/>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废油桶</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收集后委托资质单位处理</w:t>
            </w:r>
          </w:p>
        </w:tc>
        <w:tc>
          <w:tcPr>
            <w:tcW w:w="2595"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c>
          <w:tcPr>
            <w:tcW w:w="1368" w:type="dxa"/>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废活性炭</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收集后委托资质单位处理</w:t>
            </w:r>
          </w:p>
        </w:tc>
        <w:tc>
          <w:tcPr>
            <w:tcW w:w="2595"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c>
          <w:tcPr>
            <w:tcW w:w="1368" w:type="dxa"/>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废过滤棉</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收集后委托资质单位处理</w:t>
            </w:r>
          </w:p>
        </w:tc>
        <w:tc>
          <w:tcPr>
            <w:tcW w:w="2595"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c>
          <w:tcPr>
            <w:tcW w:w="1368" w:type="dxa"/>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废催化剂</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eastAsia="zh-CN"/>
              </w:rPr>
              <w:t>收集后委托资质单位处理</w:t>
            </w:r>
          </w:p>
        </w:tc>
        <w:tc>
          <w:tcPr>
            <w:tcW w:w="2595"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vMerge w:val="continue"/>
            <w:shd w:val="clear" w:color="auto" w:fill="auto"/>
            <w:vAlign w:val="center"/>
          </w:tcPr>
          <w:p>
            <w:pPr>
              <w:ind w:right="56" w:rightChars="0"/>
              <w:jc w:val="center"/>
              <w:rPr>
                <w:rFonts w:hint="eastAsia" w:ascii="Times New Roman" w:hAnsi="Times New Roman" w:cs="Times New Roman"/>
                <w:color w:val="000000" w:themeColor="text1"/>
                <w:lang w:val="en-US" w:eastAsia="zh-CN"/>
                <w14:textFill>
                  <w14:solidFill>
                    <w14:schemeClr w14:val="tx1"/>
                  </w14:solidFill>
                </w14:textFill>
              </w:rPr>
            </w:pPr>
          </w:p>
        </w:tc>
        <w:tc>
          <w:tcPr>
            <w:tcW w:w="1533"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c>
          <w:tcPr>
            <w:tcW w:w="1368" w:type="dxa"/>
            <w:shd w:val="clear" w:color="auto" w:fill="auto"/>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废抹布</w:t>
            </w:r>
          </w:p>
        </w:tc>
        <w:tc>
          <w:tcPr>
            <w:tcW w:w="2090" w:type="dxa"/>
            <w:shd w:val="clear" w:color="auto" w:fill="auto"/>
            <w:vAlign w:val="center"/>
          </w:tcPr>
          <w:p>
            <w:pPr>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eastAsia="zh-CN"/>
              </w:rPr>
              <w:t>收集后委托资质单位处理</w:t>
            </w:r>
          </w:p>
        </w:tc>
        <w:tc>
          <w:tcPr>
            <w:tcW w:w="2595" w:type="dxa"/>
            <w:vMerge w:val="continue"/>
            <w:shd w:val="clear" w:color="auto" w:fill="auto"/>
            <w:vAlign w:val="center"/>
          </w:tcPr>
          <w:p>
            <w:pPr>
              <w:keepNext w:val="0"/>
              <w:keepLines w:val="0"/>
              <w:widowControl/>
              <w:suppressLineNumbers w:val="0"/>
              <w:jc w:val="left"/>
              <w:rPr>
                <w:rFonts w:hint="eastAsia"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土壤及地下水污染防治措施</w:t>
            </w:r>
          </w:p>
        </w:tc>
        <w:tc>
          <w:tcPr>
            <w:tcW w:w="7586" w:type="dxa"/>
            <w:gridSpan w:val="4"/>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1、厂区地面硬化；2、建议将危废暂存室等区域做好重点防渗区；3、加强</w:t>
            </w:r>
            <w:r>
              <w:rPr>
                <w:rFonts w:hint="default" w:ascii="Times New Roman" w:hAnsi="Times New Roman" w:eastAsia="宋体" w:cs="Times New Roman"/>
                <w:color w:val="auto"/>
                <w:lang w:val="zh-CN"/>
              </w:rPr>
              <w:t>地下水和土壤的污染监控</w:t>
            </w:r>
            <w:r>
              <w:rPr>
                <w:rFonts w:hint="default" w:ascii="Times New Roman" w:hAnsi="Times New Roman" w:eastAsia="宋体"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bookmarkStart w:id="63" w:name="_Toc24719"/>
            <w:r>
              <w:rPr>
                <w:rFonts w:hint="default" w:ascii="Times New Roman" w:hAnsi="Times New Roman" w:eastAsia="宋体" w:cs="Times New Roman"/>
                <w:color w:val="auto"/>
              </w:rPr>
              <w:t>生态保护措施</w:t>
            </w:r>
          </w:p>
        </w:tc>
        <w:tc>
          <w:tcPr>
            <w:tcW w:w="7586" w:type="dxa"/>
            <w:gridSpan w:val="4"/>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shd w:val="clear" w:color="auto" w:fill="auto"/>
            <w:vAlign w:val="center"/>
          </w:tcPr>
          <w:p>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环境风险防范措施</w:t>
            </w:r>
          </w:p>
        </w:tc>
        <w:tc>
          <w:tcPr>
            <w:tcW w:w="7586" w:type="dxa"/>
            <w:gridSpan w:val="4"/>
            <w:shd w:val="clear" w:color="auto" w:fill="auto"/>
            <w:vAlign w:val="center"/>
          </w:tcPr>
          <w:p>
            <w:pPr>
              <w:pStyle w:val="128"/>
              <w:keepNext w:val="0"/>
              <w:keepLines w:val="0"/>
              <w:pageBreakBefore w:val="0"/>
              <w:widowControl w:val="0"/>
              <w:kinsoku/>
              <w:wordWrap/>
              <w:overflowPunct/>
              <w:topLinePunct w:val="0"/>
              <w:autoSpaceDE/>
              <w:autoSpaceDN/>
              <w:bidi w:val="0"/>
              <w:snapToGrid w:val="0"/>
              <w:spacing w:line="240" w:lineRule="auto"/>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①企业应加强对从业人员的安全卫生教育和技术培训，使职工较全面的接受有关安全卫生的政策、法规教育，增强法制观念，不断强化职工安全意识，不断提高职工安全素质，增强职工处理突发安全事故的能力。</w:t>
            </w:r>
          </w:p>
          <w:p>
            <w:pPr>
              <w:pStyle w:val="128"/>
              <w:keepNext w:val="0"/>
              <w:keepLines w:val="0"/>
              <w:pageBreakBefore w:val="0"/>
              <w:widowControl w:val="0"/>
              <w:kinsoku/>
              <w:wordWrap/>
              <w:overflowPunct/>
              <w:topLinePunct w:val="0"/>
              <w:autoSpaceDE/>
              <w:autoSpaceDN/>
              <w:bidi w:val="0"/>
              <w:snapToGrid w:val="0"/>
              <w:spacing w:line="240" w:lineRule="auto"/>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②企业在生产过程中要密切注意原料存放区、危废间及生产设备，有异常现象的应及时检修，必要时按照“生产服从安全”原则停产检修，严禁不正常运转。</w:t>
            </w:r>
          </w:p>
          <w:p>
            <w:pPr>
              <w:keepNext w:val="0"/>
              <w:keepLines w:val="0"/>
              <w:pageBreakBefore w:val="0"/>
              <w:widowControl w:val="0"/>
              <w:kinsoku/>
              <w:wordWrap/>
              <w:overflowPunct/>
              <w:topLinePunct w:val="0"/>
              <w:autoSpaceDE/>
              <w:autoSpaceDN/>
              <w:bidi w:val="0"/>
              <w:spacing w:line="240" w:lineRule="auto"/>
              <w:jc w:val="left"/>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4"/>
                <w:lang w:val="en-US" w:eastAsia="zh-CN" w:bidi="ar-SA"/>
              </w:rPr>
              <w:t>③油漆、稀释剂</w:t>
            </w:r>
            <w:r>
              <w:rPr>
                <w:rFonts w:hint="eastAsia" w:ascii="Times New Roman" w:hAnsi="Times New Roman" w:eastAsia="宋体" w:cs="Times New Roman"/>
                <w:color w:val="auto"/>
                <w:kern w:val="2"/>
                <w:sz w:val="21"/>
                <w:szCs w:val="24"/>
                <w:lang w:val="en-US" w:eastAsia="zh-CN" w:bidi="ar-SA"/>
              </w:rPr>
              <w:t>、聚氨酯胶、润滑油</w:t>
            </w:r>
            <w:r>
              <w:rPr>
                <w:rFonts w:hint="default" w:ascii="Times New Roman" w:hAnsi="Times New Roman" w:eastAsia="宋体" w:cs="Times New Roman"/>
                <w:color w:val="auto"/>
                <w:kern w:val="2"/>
                <w:sz w:val="21"/>
                <w:szCs w:val="24"/>
                <w:lang w:val="en-US" w:eastAsia="zh-CN" w:bidi="ar-SA"/>
              </w:rPr>
              <w:t>密封保存，不得露天堆放，在原料存放区域四周设置一定高度的围堰，同时地面进行硬化处理；危险废物暂存场所基础按照要求防渗处理，做好防风、防雨、防晒，并设计有堵截泄漏的裙脚、围堰等设施。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842" w:type="dxa"/>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其他环境管理要求</w:t>
            </w:r>
          </w:p>
        </w:tc>
        <w:tc>
          <w:tcPr>
            <w:tcW w:w="7586" w:type="dxa"/>
            <w:gridSpan w:val="4"/>
            <w:shd w:val="clear" w:color="auto" w:fill="auto"/>
            <w:vAlign w:val="center"/>
          </w:tcPr>
          <w:p>
            <w:pPr>
              <w:jc w:val="center"/>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加强各污染防治措施管理，做好运行台账记录，确保污染物稳定达标排放。同时，根据《排污单位自行监测技术指南 总则》（HJ819-2017）中的相关要求，落实日常管理环境监测工作。</w:t>
            </w:r>
          </w:p>
        </w:tc>
      </w:tr>
    </w:tbl>
    <w:p>
      <w:pPr>
        <w:pStyle w:val="6"/>
        <w:spacing w:before="120" w:after="120"/>
        <w:rPr>
          <w:rFonts w:hint="default"/>
          <w:lang w:val="en-US" w:eastAsia="zh-CN"/>
        </w:rPr>
      </w:pPr>
      <w:bookmarkStart w:id="64" w:name="_Toc16294"/>
      <w:r>
        <w:rPr>
          <w:rFonts w:hint="default"/>
          <w:lang w:val="en-US" w:eastAsia="zh-CN"/>
        </w:rPr>
        <w:t xml:space="preserve">5.1.2 </w:t>
      </w:r>
      <w:r>
        <w:rPr>
          <w:rFonts w:hint="eastAsia"/>
          <w:lang w:val="en-US" w:eastAsia="zh-CN"/>
        </w:rPr>
        <w:t>环评总结论</w:t>
      </w:r>
      <w:bookmarkEnd w:id="63"/>
      <w:bookmarkEnd w:id="64"/>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b/>
          <w:sz w:val="24"/>
          <w:szCs w:val="24"/>
        </w:rPr>
      </w:pPr>
      <w:r>
        <w:rPr>
          <w:rFonts w:hint="eastAsia" w:ascii="Times New Roman" w:hAnsi="Times New Roman"/>
          <w:sz w:val="24"/>
          <w:szCs w:val="24"/>
          <w:lang w:eastAsia="zh-CN" w:bidi="en-US"/>
        </w:rPr>
        <w:t>综上所述，浙江历山红工贸有限公司年产8000樘非标门生产线技改项目永康市“三线一单”生态环境分区管控方案、永康市城市总体规划、永康市生态保护红线划定以及国土空间管控中的相关要求，符合国家及地方有关产业政策，污染物能实现达标排放，区域环境质量能维持现状，项目排放污染物能满足总量控制要求。因此，从环保角度看，本项目在该厂址实施是可行的</w:t>
      </w:r>
      <w:r>
        <w:rPr>
          <w:rFonts w:hint="eastAsia" w:ascii="Times New Roman" w:hAnsi="Times New Roman"/>
          <w:color w:val="000000" w:themeColor="text1"/>
          <w:sz w:val="24"/>
          <w:szCs w:val="24"/>
          <w:lang w:val="en-US" w:eastAsia="zh-CN" w:bidi="en-US"/>
          <w14:textFill>
            <w14:solidFill>
              <w14:schemeClr w14:val="tx1"/>
            </w14:solidFill>
          </w14:textFill>
        </w:rPr>
        <w:t>。</w:t>
      </w:r>
    </w:p>
    <w:p>
      <w:pPr>
        <w:pStyle w:val="5"/>
        <w:rPr>
          <w:rFonts w:eastAsia="宋体"/>
        </w:rPr>
      </w:pPr>
      <w:bookmarkStart w:id="65" w:name="_Toc10170"/>
      <w:r>
        <w:rPr>
          <w:rFonts w:eastAsia="宋体"/>
        </w:rPr>
        <w:t>5.2审批部门审批决定</w:t>
      </w:r>
      <w:bookmarkEnd w:id="65"/>
    </w:p>
    <w:p>
      <w:pPr>
        <w:spacing w:line="360" w:lineRule="auto"/>
        <w:jc w:val="center"/>
        <w:rPr>
          <w:rFonts w:hint="eastAsia" w:ascii="Times New Roman" w:hAnsi="Times New Roman" w:cs="Times New Roman"/>
          <w:sz w:val="32"/>
          <w:szCs w:val="32"/>
          <w:lang w:eastAsia="zh-CN"/>
        </w:rPr>
      </w:pPr>
      <w:r>
        <w:rPr>
          <w:rFonts w:ascii="Times New Roman" w:hAnsi="Times New Roman" w:cs="Times New Roman"/>
          <w:sz w:val="32"/>
          <w:szCs w:val="32"/>
        </w:rPr>
        <w:t>关于</w:t>
      </w:r>
      <w:r>
        <w:rPr>
          <w:rFonts w:hint="eastAsia" w:ascii="Times New Roman" w:hAnsi="Times New Roman" w:cs="Times New Roman"/>
          <w:sz w:val="32"/>
          <w:szCs w:val="32"/>
          <w:lang w:eastAsia="zh-CN"/>
        </w:rPr>
        <w:t>浙江历山红工贸有限公司年产8000樘非标门</w:t>
      </w:r>
    </w:p>
    <w:p>
      <w:pPr>
        <w:spacing w:line="360" w:lineRule="auto"/>
        <w:jc w:val="center"/>
        <w:rPr>
          <w:rFonts w:ascii="Times New Roman" w:hAnsi="Times New Roman" w:cs="Times New Roman"/>
          <w:sz w:val="32"/>
          <w:szCs w:val="32"/>
        </w:rPr>
      </w:pPr>
      <w:r>
        <w:rPr>
          <w:rFonts w:hint="eastAsia" w:ascii="Times New Roman" w:hAnsi="Times New Roman" w:cs="Times New Roman"/>
          <w:sz w:val="32"/>
          <w:szCs w:val="32"/>
          <w:lang w:eastAsia="zh-CN"/>
        </w:rPr>
        <w:t>生产线技改项目</w:t>
      </w:r>
      <w:r>
        <w:rPr>
          <w:rFonts w:hint="eastAsia" w:ascii="Times New Roman" w:hAnsi="Times New Roman" w:cs="Times New Roman"/>
          <w:sz w:val="32"/>
          <w:szCs w:val="32"/>
          <w:lang w:val="en-US" w:eastAsia="zh-CN"/>
        </w:rPr>
        <w:t>环境影响报告表</w:t>
      </w:r>
      <w:r>
        <w:rPr>
          <w:rFonts w:ascii="Times New Roman" w:hAnsi="Times New Roman" w:cs="Times New Roman"/>
          <w:sz w:val="32"/>
          <w:szCs w:val="32"/>
        </w:rPr>
        <w:t>的审查意见</w:t>
      </w:r>
    </w:p>
    <w:p>
      <w:pPr>
        <w:spacing w:line="360" w:lineRule="auto"/>
        <w:rPr>
          <w:w w:val="105"/>
          <w:sz w:val="24"/>
        </w:rPr>
      </w:pPr>
      <w:r>
        <w:rPr>
          <w:rFonts w:hint="eastAsia"/>
          <w:w w:val="105"/>
          <w:sz w:val="24"/>
          <w:lang w:eastAsia="zh-CN"/>
        </w:rPr>
        <w:t>浙江历山红工贸有限公司</w:t>
      </w:r>
      <w:r>
        <w:rPr>
          <w:w w:val="105"/>
          <w:sz w:val="24"/>
        </w:rPr>
        <w:t>：</w:t>
      </w:r>
    </w:p>
    <w:p>
      <w:pPr>
        <w:spacing w:line="360" w:lineRule="auto"/>
        <w:ind w:firstLine="504" w:firstLineChars="200"/>
        <w:rPr>
          <w:rFonts w:hint="default" w:ascii="Times New Roman" w:hAnsi="Times New Roman" w:cs="Times New Roman"/>
          <w:w w:val="105"/>
          <w:sz w:val="24"/>
        </w:rPr>
      </w:pPr>
      <w:r>
        <w:rPr>
          <w:rFonts w:hint="default" w:ascii="Times New Roman" w:hAnsi="Times New Roman" w:cs="Times New Roman"/>
          <w:w w:val="105"/>
          <w:sz w:val="24"/>
        </w:rPr>
        <w:t>你公司委托浙江凯峰慈欣环保科技有限责任公司编制的《浙江历山红工贸有限公司年产8000樘非标门生产线技改项目环境影响报告表》已收悉，我局对该项目进行了公示，公示期间未接到公众意见。经研究，我局审查意见如下：</w:t>
      </w:r>
    </w:p>
    <w:p>
      <w:pPr>
        <w:spacing w:line="360" w:lineRule="auto"/>
        <w:ind w:firstLine="504" w:firstLineChars="200"/>
        <w:rPr>
          <w:rFonts w:hint="default" w:ascii="Times New Roman" w:hAnsi="Times New Roman" w:cs="Times New Roman"/>
          <w:w w:val="105"/>
          <w:sz w:val="24"/>
        </w:rPr>
      </w:pPr>
      <w:r>
        <w:rPr>
          <w:rFonts w:hint="default" w:ascii="Times New Roman" w:hAnsi="Times New Roman" w:cs="Times New Roman"/>
          <w:w w:val="105"/>
          <w:sz w:val="24"/>
        </w:rPr>
        <w:t>一、原则同意浙江凯峰慈欣环保科技有限责任公司编制的环境影响报告表的评价结论、对策措施和建议，环境影响报告表可作为该项目设计和今后实施环境管理的</w:t>
      </w:r>
      <w:r>
        <w:rPr>
          <w:rFonts w:hint="eastAsia" w:ascii="Times New Roman" w:hAnsi="Times New Roman" w:cs="Times New Roman"/>
          <w:w w:val="105"/>
          <w:sz w:val="24"/>
          <w:lang w:val="en-US" w:eastAsia="zh-CN"/>
        </w:rPr>
        <w:t>依据</w:t>
      </w:r>
      <w:r>
        <w:rPr>
          <w:rFonts w:hint="default" w:ascii="Times New Roman" w:hAnsi="Times New Roman" w:cs="Times New Roman"/>
          <w:w w:val="105"/>
          <w:sz w:val="24"/>
        </w:rPr>
        <w:t>。</w:t>
      </w:r>
    </w:p>
    <w:p>
      <w:pPr>
        <w:spacing w:line="360" w:lineRule="auto"/>
        <w:ind w:firstLine="504" w:firstLineChars="200"/>
        <w:rPr>
          <w:rFonts w:hint="default" w:ascii="Times New Roman" w:hAnsi="Times New Roman" w:cs="Times New Roman"/>
          <w:w w:val="105"/>
          <w:sz w:val="24"/>
        </w:rPr>
      </w:pPr>
      <w:r>
        <w:rPr>
          <w:rFonts w:hint="default" w:ascii="Times New Roman" w:hAnsi="Times New Roman" w:cs="Times New Roman"/>
          <w:w w:val="105"/>
          <w:sz w:val="24"/>
        </w:rPr>
        <w:t>二、</w:t>
      </w:r>
      <w:r>
        <w:rPr>
          <w:rFonts w:hint="eastAsia" w:ascii="Times New Roman" w:hAnsi="Times New Roman" w:cs="Times New Roman"/>
          <w:w w:val="105"/>
          <w:sz w:val="24"/>
          <w:lang w:val="en-US" w:eastAsia="zh-CN"/>
        </w:rPr>
        <w:t>原则同意本项目在永康市西城街道西周路18号实施，项目建成后形成年产8000樘非标门的生产能力</w:t>
      </w:r>
      <w:r>
        <w:rPr>
          <w:rFonts w:hint="default" w:ascii="Times New Roman" w:hAnsi="Times New Roman" w:cs="Times New Roman"/>
          <w:w w:val="105"/>
          <w:sz w:val="24"/>
        </w:rPr>
        <w:t>。</w:t>
      </w:r>
    </w:p>
    <w:p>
      <w:pPr>
        <w:spacing w:line="360" w:lineRule="auto"/>
        <w:ind w:firstLine="504" w:firstLineChars="200"/>
        <w:rPr>
          <w:rFonts w:hint="eastAsia" w:ascii="Times New Roman" w:hAnsi="Times New Roman" w:cs="Times New Roman"/>
          <w:w w:val="105"/>
          <w:sz w:val="24"/>
          <w:lang w:eastAsia="zh-CN"/>
        </w:rPr>
      </w:pPr>
      <w:r>
        <w:rPr>
          <w:rFonts w:hint="default" w:ascii="Times New Roman" w:hAnsi="Times New Roman" w:cs="Times New Roman"/>
          <w:w w:val="105"/>
          <w:sz w:val="24"/>
        </w:rPr>
        <w:t>三、你公司应高度重视项目环境保护工作，环境保护设施必须与主体工程同时设计、同时施工、同时投产使用，并认真落实环评报告表提出的各项污染防治措施，重点做好以下工作</w:t>
      </w:r>
      <w:r>
        <w:rPr>
          <w:rFonts w:hint="eastAsia" w:ascii="Times New Roman" w:hAnsi="Times New Roman" w:cs="Times New Roman"/>
          <w:w w:val="105"/>
          <w:sz w:val="24"/>
          <w:lang w:eastAsia="zh-CN"/>
        </w:rPr>
        <w:t>：</w:t>
      </w:r>
    </w:p>
    <w:p>
      <w:pPr>
        <w:spacing w:line="360" w:lineRule="auto"/>
        <w:ind w:firstLine="504" w:firstLineChars="200"/>
        <w:rPr>
          <w:rFonts w:hint="eastAsia" w:ascii="Times New Roman" w:hAnsi="Times New Roman" w:cs="Times New Roman"/>
          <w:w w:val="105"/>
          <w:sz w:val="24"/>
          <w:lang w:eastAsia="zh-CN"/>
        </w:rPr>
      </w:pPr>
      <w:r>
        <w:rPr>
          <w:rFonts w:hint="eastAsia" w:ascii="Times New Roman" w:hAnsi="Times New Roman" w:cs="Times New Roman"/>
          <w:w w:val="105"/>
          <w:sz w:val="24"/>
          <w:lang w:eastAsia="zh-CN"/>
        </w:rPr>
        <w:t>（</w:t>
      </w:r>
      <w:r>
        <w:rPr>
          <w:rFonts w:hint="eastAsia" w:ascii="Times New Roman" w:hAnsi="Times New Roman" w:cs="Times New Roman"/>
          <w:w w:val="105"/>
          <w:sz w:val="24"/>
          <w:lang w:val="en-US" w:eastAsia="zh-CN"/>
        </w:rPr>
        <w:t>一</w:t>
      </w:r>
      <w:r>
        <w:rPr>
          <w:rFonts w:hint="eastAsia" w:ascii="Times New Roman" w:hAnsi="Times New Roman" w:cs="Times New Roman"/>
          <w:w w:val="105"/>
          <w:sz w:val="24"/>
          <w:lang w:eastAsia="zh-CN"/>
        </w:rPr>
        <w:t>）进一步完善本区块排水系统统筹规划和建设，做好雨污分流、清污分流的管道布设，并与当地排水管网相衔接。生产废水、生活污水经处理后达到《污水综合排放标准》(GB8978-1996)三级标准排入当地污水管网，纳入污水处理厂处理，设置规范化排污口。</w:t>
      </w:r>
    </w:p>
    <w:p>
      <w:pPr>
        <w:spacing w:line="360" w:lineRule="auto"/>
        <w:ind w:firstLine="504" w:firstLineChars="200"/>
        <w:rPr>
          <w:rFonts w:hint="eastAsia" w:ascii="Times New Roman" w:hAnsi="Times New Roman" w:cs="Times New Roman"/>
          <w:w w:val="105"/>
          <w:sz w:val="24"/>
          <w:lang w:eastAsia="zh-CN"/>
        </w:rPr>
      </w:pPr>
      <w:r>
        <w:rPr>
          <w:rFonts w:hint="eastAsia" w:ascii="Times New Roman" w:hAnsi="Times New Roman" w:cs="Times New Roman"/>
          <w:w w:val="105"/>
          <w:sz w:val="24"/>
          <w:lang w:eastAsia="zh-CN"/>
        </w:rPr>
        <w:t>（</w:t>
      </w:r>
      <w:r>
        <w:rPr>
          <w:rFonts w:hint="eastAsia" w:ascii="Times New Roman" w:hAnsi="Times New Roman" w:cs="Times New Roman"/>
          <w:w w:val="105"/>
          <w:sz w:val="24"/>
          <w:lang w:val="en-US" w:eastAsia="zh-CN"/>
        </w:rPr>
        <w:t>二</w:t>
      </w:r>
      <w:r>
        <w:rPr>
          <w:rFonts w:hint="eastAsia" w:ascii="Times New Roman" w:hAnsi="Times New Roman" w:cs="Times New Roman"/>
          <w:w w:val="105"/>
          <w:sz w:val="24"/>
          <w:lang w:eastAsia="zh-CN"/>
        </w:rPr>
        <w:t>）认真落实各项废气处置措施，加强车间通风，切实做好废气污染防治工作。调漆废气、喷漆废气、烘干废气、喷塑废气及固化废气排放执行《工业涂装工序大气污染物排放标准》(DB33/2146-2018)中相关标准，天然气燃烧废气排放执行《浙江省工业炉窑大气污染综合治理方案》(浙环函[2019]315号)中相关标准。</w:t>
      </w:r>
    </w:p>
    <w:p>
      <w:pPr>
        <w:spacing w:line="360" w:lineRule="auto"/>
        <w:ind w:firstLine="504" w:firstLineChars="200"/>
        <w:rPr>
          <w:rFonts w:hint="eastAsia" w:ascii="Times New Roman" w:hAnsi="Times New Roman" w:cs="Times New Roman" w:eastAsiaTheme="minorEastAsia"/>
          <w:w w:val="105"/>
          <w:sz w:val="24"/>
          <w:lang w:eastAsia="zh-CN"/>
        </w:rPr>
      </w:pPr>
      <w:r>
        <w:rPr>
          <w:rFonts w:hint="eastAsia" w:ascii="Times New Roman" w:hAnsi="Times New Roman" w:cs="Times New Roman"/>
          <w:w w:val="105"/>
          <w:sz w:val="24"/>
          <w:lang w:eastAsia="zh-CN"/>
        </w:rPr>
        <w:t>（</w:t>
      </w:r>
      <w:r>
        <w:rPr>
          <w:rFonts w:hint="eastAsia" w:ascii="Times New Roman" w:hAnsi="Times New Roman" w:cs="Times New Roman"/>
          <w:w w:val="105"/>
          <w:sz w:val="24"/>
          <w:lang w:val="en-US" w:eastAsia="zh-CN"/>
        </w:rPr>
        <w:t>三</w:t>
      </w:r>
      <w:r>
        <w:rPr>
          <w:rFonts w:hint="eastAsia" w:ascii="Times New Roman" w:hAnsi="Times New Roman" w:cs="Times New Roman"/>
          <w:w w:val="105"/>
          <w:sz w:val="24"/>
          <w:lang w:eastAsia="zh-CN"/>
        </w:rPr>
        <w:t>）认真落实各项噪声污染防治措施，严格控制营运期间产生的噪声对环境的影响。合理布局车间，加强绿化，并按环评报告表要求做好各消声降噪工作，确保厂界噪声达标排放</w:t>
      </w:r>
    </w:p>
    <w:p>
      <w:pPr>
        <w:spacing w:line="360" w:lineRule="auto"/>
        <w:ind w:firstLine="504" w:firstLineChars="200"/>
        <w:rPr>
          <w:rFonts w:hint="eastAsia" w:ascii="Times New Roman" w:hAnsi="Times New Roman" w:cs="Times New Roman" w:eastAsiaTheme="minorEastAsia"/>
          <w:w w:val="105"/>
          <w:sz w:val="24"/>
          <w:lang w:eastAsia="zh-CN"/>
        </w:rPr>
      </w:pPr>
      <w:r>
        <w:rPr>
          <w:rFonts w:hint="eastAsia" w:ascii="Times New Roman" w:hAnsi="Times New Roman" w:cs="Times New Roman"/>
          <w:w w:val="105"/>
          <w:sz w:val="24"/>
          <w:lang w:eastAsia="zh-CN"/>
        </w:rPr>
        <w:t>（</w:t>
      </w:r>
      <w:r>
        <w:rPr>
          <w:rFonts w:hint="eastAsia" w:ascii="Times New Roman" w:hAnsi="Times New Roman" w:cs="Times New Roman"/>
          <w:w w:val="105"/>
          <w:sz w:val="24"/>
          <w:lang w:val="en-US" w:eastAsia="zh-CN"/>
        </w:rPr>
        <w:t>四</w:t>
      </w:r>
      <w:r>
        <w:rPr>
          <w:rFonts w:hint="eastAsia" w:ascii="Times New Roman" w:hAnsi="Times New Roman" w:cs="Times New Roman"/>
          <w:w w:val="105"/>
          <w:sz w:val="24"/>
          <w:lang w:eastAsia="zh-CN"/>
        </w:rPr>
        <w:t>）按照“资源化、减量化、无害化”的固废处置原则，提高综合利用率，防止产生二次污染。危险废物委托有资质单位代为处置，危险废物贮存应满足《危险废物贮存污染控制标准》要求，贮存场所必须按照《环境保护图形标志固体废物贮存(处置)场》中的规定设置警示标志，危险废物运输应符合《危险废物收集贮存运输技术规范》技术要求。一般固体废物的贮存参照《一般工业固体废物贮存和填埋污染控制标准》中相关环境保护要求。生活垃圾分类收集后委托环卫部门清运处置。</w:t>
      </w:r>
    </w:p>
    <w:p>
      <w:pPr>
        <w:spacing w:line="360" w:lineRule="auto"/>
        <w:ind w:firstLine="504" w:firstLineChars="200"/>
        <w:rPr>
          <w:rFonts w:hint="default" w:ascii="Times New Roman" w:hAnsi="Times New Roman" w:cs="Times New Roman"/>
          <w:w w:val="105"/>
          <w:sz w:val="24"/>
        </w:rPr>
      </w:pPr>
      <w:r>
        <w:rPr>
          <w:rFonts w:hint="default" w:ascii="Times New Roman" w:hAnsi="Times New Roman" w:cs="Times New Roman"/>
          <w:w w:val="105"/>
          <w:sz w:val="24"/>
        </w:rPr>
        <w:t>四、</w:t>
      </w:r>
      <w:r>
        <w:rPr>
          <w:rFonts w:hint="eastAsia" w:ascii="Times New Roman" w:hAnsi="Times New Roman" w:cs="Times New Roman"/>
          <w:w w:val="105"/>
          <w:sz w:val="24"/>
          <w:lang w:val="en-US" w:eastAsia="zh-CN"/>
        </w:rPr>
        <w:t>加强项目的日常监督管理和安全防范，按照有关部门规定要求做好安全防范相关工作，健全各项环保规章制度和岗位责任制度，设置专职的环保管理人员；做好各类生产设备和环保设施的运行管理和日常检修维护，确保各类环保设施稳定正常运行和污染物的稳定达标排放；项目污染防治设施及危废贮存场所等，须与主体工程一起按照安全生产要求设计，并纳入本项目安全预评价，经相关职能部门审批同意后方可实施。认真落实各项环境风险防范措施，有效防范因环境污染事故引发的环境风险，确保周边环境安全</w:t>
      </w:r>
      <w:r>
        <w:rPr>
          <w:rFonts w:hint="default" w:ascii="Times New Roman" w:hAnsi="Times New Roman" w:cs="Times New Roman"/>
          <w:w w:val="105"/>
          <w:sz w:val="24"/>
        </w:rPr>
        <w:t>。</w:t>
      </w:r>
    </w:p>
    <w:p>
      <w:pPr>
        <w:spacing w:line="360" w:lineRule="auto"/>
        <w:ind w:firstLine="504" w:firstLineChars="200"/>
        <w:rPr>
          <w:rFonts w:hint="default" w:ascii="Times New Roman" w:hAnsi="Times New Roman" w:cs="Times New Roman"/>
          <w:w w:val="105"/>
          <w:sz w:val="24"/>
        </w:rPr>
      </w:pPr>
      <w:r>
        <w:rPr>
          <w:rFonts w:hint="default" w:ascii="Times New Roman" w:hAnsi="Times New Roman" w:cs="Times New Roman"/>
          <w:w w:val="105"/>
          <w:sz w:val="24"/>
        </w:rPr>
        <w:t>五、本项目环评报告表经批准后，若项目的性质、规模、地点、采用的生产工艺或者防治污染、防止生态破坏措施发生重大变动的应当重新报批;自批准之日起超过5年方决定开工建设的应当报原审批部门重新审核。</w:t>
      </w:r>
    </w:p>
    <w:p>
      <w:pPr>
        <w:spacing w:line="360" w:lineRule="auto"/>
        <w:ind w:firstLine="504" w:firstLineChars="200"/>
        <w:rPr>
          <w:rFonts w:hint="default" w:ascii="Times New Roman" w:hAnsi="Times New Roman" w:cs="Times New Roman"/>
          <w:w w:val="105"/>
          <w:sz w:val="24"/>
        </w:rPr>
      </w:pPr>
      <w:r>
        <w:rPr>
          <w:rFonts w:hint="default" w:ascii="Times New Roman" w:hAnsi="Times New Roman" w:cs="Times New Roman"/>
          <w:w w:val="105"/>
          <w:sz w:val="24"/>
        </w:rPr>
        <w:t>六、严格落实污染物排放总量控制措施。你公司主要污染物排放总量控制指标为</w:t>
      </w:r>
      <w:r>
        <w:rPr>
          <w:rFonts w:hint="eastAsia" w:ascii="Times New Roman" w:hAnsi="Times New Roman" w:cs="Times New Roman"/>
          <w:w w:val="105"/>
          <w:sz w:val="24"/>
          <w:lang w:eastAsia="zh-CN"/>
        </w:rPr>
        <w:t>：</w:t>
      </w:r>
      <w:r>
        <w:rPr>
          <w:rFonts w:hint="default" w:ascii="Times New Roman" w:hAnsi="Times New Roman" w:cs="Times New Roman"/>
          <w:w w:val="105"/>
          <w:sz w:val="24"/>
        </w:rPr>
        <w:t>COD</w:t>
      </w:r>
      <w:r>
        <w:rPr>
          <w:rFonts w:hint="eastAsia" w:ascii="Times New Roman" w:hAnsi="Times New Roman" w:cs="Times New Roman"/>
          <w:w w:val="105"/>
          <w:sz w:val="24"/>
          <w:lang w:val="en-US" w:eastAsia="zh-CN"/>
        </w:rPr>
        <w:t xml:space="preserve">cr </w:t>
      </w:r>
      <w:r>
        <w:rPr>
          <w:rFonts w:hint="default" w:ascii="Times New Roman" w:hAnsi="Times New Roman" w:cs="Times New Roman"/>
          <w:w w:val="105"/>
          <w:sz w:val="24"/>
        </w:rPr>
        <w:t>0.023吨/年、氨氮0.002吨/年、二氧化硫0.020吨/年、氮氧化物0.187吨/年</w:t>
      </w:r>
      <w:r>
        <w:rPr>
          <w:rFonts w:hint="eastAsia" w:ascii="Times New Roman" w:hAnsi="Times New Roman" w:cs="Times New Roman"/>
          <w:w w:val="105"/>
          <w:sz w:val="24"/>
          <w:lang w:eastAsia="zh-CN"/>
        </w:rPr>
        <w:t>、VOCs</w:t>
      </w:r>
      <w:r>
        <w:rPr>
          <w:rFonts w:hint="eastAsia" w:ascii="Times New Roman" w:hAnsi="Times New Roman" w:cs="Times New Roman"/>
          <w:w w:val="105"/>
          <w:sz w:val="24"/>
          <w:lang w:val="en-US" w:eastAsia="zh-CN"/>
        </w:rPr>
        <w:t xml:space="preserve"> </w:t>
      </w:r>
      <w:r>
        <w:rPr>
          <w:rFonts w:hint="eastAsia" w:ascii="Times New Roman" w:hAnsi="Times New Roman" w:cs="Times New Roman"/>
          <w:w w:val="105"/>
          <w:sz w:val="24"/>
          <w:lang w:eastAsia="zh-CN"/>
        </w:rPr>
        <w:t>0.415吨/年</w:t>
      </w:r>
      <w:r>
        <w:rPr>
          <w:rFonts w:hint="default" w:ascii="Times New Roman" w:hAnsi="Times New Roman" w:cs="Times New Roman"/>
          <w:w w:val="105"/>
          <w:sz w:val="24"/>
        </w:rPr>
        <w:t>。</w:t>
      </w:r>
    </w:p>
    <w:p>
      <w:pPr>
        <w:spacing w:line="360" w:lineRule="auto"/>
        <w:ind w:firstLine="504" w:firstLineChars="200"/>
        <w:rPr>
          <w:rFonts w:hint="eastAsia"/>
          <w:w w:val="105"/>
          <w:sz w:val="24"/>
          <w:lang w:eastAsia="zh-CN"/>
        </w:rPr>
      </w:pPr>
      <w:r>
        <w:rPr>
          <w:rFonts w:hint="eastAsia" w:ascii="Times New Roman" w:hAnsi="Times New Roman" w:cs="Times New Roman"/>
          <w:w w:val="105"/>
          <w:sz w:val="24"/>
          <w:lang w:val="en-US" w:eastAsia="zh-CN"/>
        </w:rPr>
        <w:t>以上意见请你公司在项目设计、施工、管理中落实。项目需按照排污许可管理有关规定，在项目发生实际排污行为之前，按照经批准的环境影响评价文件认真梳理并落实各项环境保护措施，污染物排放清单及其他有关内容载入排污许可证，有机衔接环境影响评价与排污许可证申领、变更，并按证排污。项目建设必须严格执行环保“三同时”制度，污染防治工程必须请有资质的公司设计，并认真落实环评报告表提出的各项防治措施。项目竣工后，你公司必须按规定的标准和程序对配套建设的环境保护设施进行验收，经验收合格后，方可投入生产</w:t>
      </w:r>
      <w:r>
        <w:rPr>
          <w:rFonts w:hint="eastAsia"/>
          <w:w w:val="105"/>
          <w:sz w:val="24"/>
          <w:lang w:eastAsia="zh-CN"/>
        </w:rPr>
        <w:t>。</w:t>
      </w:r>
    </w:p>
    <w:p>
      <w:pPr>
        <w:spacing w:line="360" w:lineRule="auto"/>
        <w:ind w:firstLine="504" w:firstLineChars="200"/>
        <w:rPr>
          <w:w w:val="105"/>
          <w:sz w:val="24"/>
        </w:rPr>
      </w:pPr>
      <w:r>
        <w:rPr>
          <w:rFonts w:hint="eastAsia"/>
          <w:w w:val="105"/>
          <w:sz w:val="24"/>
          <w:lang w:eastAsia="zh-CN"/>
        </w:rPr>
        <w:t>如不服本行政许可决定，可在接到决定书之日起六十日内向金华市人民政府申请复议</w:t>
      </w:r>
      <w:r>
        <w:rPr>
          <w:rFonts w:hint="eastAsia"/>
          <w:w w:val="105"/>
          <w:sz w:val="24"/>
        </w:rPr>
        <w:t>。</w:t>
      </w:r>
      <w:r>
        <w:rPr>
          <w:w w:val="105"/>
          <w:sz w:val="24"/>
        </w:rPr>
        <w:cr/>
      </w:r>
      <w:r>
        <w:rPr>
          <w:w w:val="105"/>
          <w:sz w:val="24"/>
        </w:rPr>
        <w:cr/>
      </w:r>
    </w:p>
    <w:p>
      <w:pPr>
        <w:spacing w:line="360" w:lineRule="auto"/>
        <w:ind w:firstLine="6000" w:firstLineChars="2500"/>
        <w:rPr>
          <w:rFonts w:ascii="Times New Roman" w:hAnsi="Times New Roman" w:cs="Times New Roman"/>
          <w:sz w:val="24"/>
          <w:szCs w:val="24"/>
          <w:lang w:bidi="zh-CN"/>
        </w:rPr>
      </w:pPr>
      <w:r>
        <w:rPr>
          <w:rFonts w:hint="eastAsia" w:ascii="Times New Roman" w:hAnsi="Times New Roman" w:cs="Times New Roman"/>
          <w:sz w:val="24"/>
          <w:szCs w:val="24"/>
          <w:lang w:val="en-US" w:bidi="zh-CN"/>
        </w:rPr>
        <w:t>金华市环境保护局</w:t>
      </w:r>
      <w:r>
        <w:rPr>
          <w:rFonts w:hint="eastAsia" w:ascii="Times New Roman" w:hAnsi="Times New Roman" w:cs="Times New Roman"/>
          <w:sz w:val="24"/>
          <w:szCs w:val="24"/>
          <w:lang w:bidi="zh-CN"/>
        </w:rPr>
        <w:t xml:space="preserve">     </w:t>
      </w:r>
    </w:p>
    <w:p>
      <w:pPr>
        <w:wordWrap w:val="0"/>
        <w:spacing w:line="360" w:lineRule="auto"/>
        <w:ind w:firstLine="480" w:firstLineChars="200"/>
        <w:jc w:val="right"/>
        <w:rPr>
          <w:rFonts w:hint="default" w:ascii="Times New Roman" w:hAnsi="Times New Roman" w:cs="Times New Roman"/>
          <w:b/>
          <w:bCs/>
          <w:w w:val="105"/>
          <w:sz w:val="24"/>
          <w:lang w:val="en-US"/>
        </w:rPr>
      </w:pPr>
      <w:r>
        <w:rPr>
          <w:rFonts w:hint="eastAsia" w:ascii="Times New Roman" w:hAnsi="Times New Roman" w:cs="Times New Roman"/>
          <w:sz w:val="24"/>
          <w:szCs w:val="24"/>
          <w:lang w:val="en-US" w:bidi="zh-CN"/>
        </w:rPr>
        <w:t xml:space="preserve">2023年5月18日   </w:t>
      </w:r>
    </w:p>
    <w:p>
      <w:pPr>
        <w:pStyle w:val="13"/>
        <w:spacing w:beforeAutospacing="0" w:afterAutospacing="0" w:line="400" w:lineRule="exact"/>
        <w:jc w:val="right"/>
        <w:rPr>
          <w:rFonts w:ascii="Times New Roman" w:hAnsi="Times New Roman" w:cs="Times New Roman"/>
          <w:sz w:val="24"/>
          <w:szCs w:val="24"/>
        </w:rPr>
        <w:sectPr>
          <w:pgSz w:w="11906" w:h="16838"/>
          <w:pgMar w:top="1440" w:right="1803" w:bottom="1440" w:left="1803" w:header="850" w:footer="992" w:gutter="0"/>
          <w:pgBorders>
            <w:top w:val="none" w:sz="0" w:space="0"/>
            <w:left w:val="none" w:sz="0" w:space="0"/>
            <w:bottom w:val="none" w:sz="0" w:space="0"/>
            <w:right w:val="none" w:sz="0" w:space="0"/>
          </w:pgBorders>
          <w:cols w:space="0" w:num="1"/>
          <w:docGrid w:type="lines" w:linePitch="319" w:charSpace="0"/>
        </w:sectPr>
      </w:pPr>
    </w:p>
    <w:p>
      <w:pPr>
        <w:pStyle w:val="4"/>
      </w:pPr>
      <w:bookmarkStart w:id="66" w:name="_Toc5048"/>
      <w:r>
        <w:rPr>
          <w:rFonts w:hint="eastAsia"/>
        </w:rPr>
        <w:t>6验收执行标准</w:t>
      </w:r>
      <w:bookmarkEnd w:id="66"/>
    </w:p>
    <w:p>
      <w:pPr>
        <w:pStyle w:val="5"/>
        <w:keepNext/>
        <w:keepLines/>
        <w:pageBreakBefore w:val="0"/>
        <w:widowControl w:val="0"/>
        <w:kinsoku/>
        <w:wordWrap/>
        <w:overflowPunct/>
        <w:topLinePunct w:val="0"/>
        <w:autoSpaceDE/>
        <w:autoSpaceDN/>
        <w:bidi w:val="0"/>
        <w:adjustRightInd/>
        <w:snapToGrid/>
        <w:spacing w:before="200" w:after="200" w:line="416" w:lineRule="auto"/>
        <w:textAlignment w:val="auto"/>
        <w:rPr>
          <w:rFonts w:eastAsia="宋体"/>
        </w:rPr>
      </w:pPr>
      <w:bookmarkStart w:id="67" w:name="_Toc19900"/>
      <w:r>
        <w:rPr>
          <w:rFonts w:hint="eastAsia" w:eastAsia="宋体"/>
        </w:rPr>
        <w:t>6</w:t>
      </w:r>
      <w:r>
        <w:rPr>
          <w:rFonts w:eastAsia="宋体"/>
        </w:rPr>
        <w:t>.1</w:t>
      </w:r>
      <w:r>
        <w:rPr>
          <w:rFonts w:hint="eastAsia" w:eastAsia="宋体"/>
        </w:rPr>
        <w:t>废水验收执行标准</w:t>
      </w:r>
      <w:bookmarkEnd w:id="67"/>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lang w:val="en-US" w:bidi="zh-CN"/>
        </w:rPr>
        <w:t>本项目生产</w:t>
      </w:r>
      <w:r>
        <w:rPr>
          <w:rFonts w:hint="default" w:ascii="Times New Roman" w:hAnsi="Times New Roman" w:cs="Times New Roman"/>
          <w:sz w:val="24"/>
          <w:szCs w:val="24"/>
          <w:lang w:bidi="zh-CN"/>
        </w:rPr>
        <w:t>废水经过污水处理设备处理，生活污水经化粪池处理后</w:t>
      </w:r>
      <w:r>
        <w:rPr>
          <w:rFonts w:hint="eastAsia" w:ascii="Times New Roman" w:hAnsi="Times New Roman" w:cs="Times New Roman"/>
          <w:sz w:val="24"/>
          <w:szCs w:val="24"/>
          <w:lang w:bidi="zh-CN"/>
        </w:rPr>
        <w:t>，</w:t>
      </w:r>
      <w:r>
        <w:rPr>
          <w:rFonts w:hint="eastAsia" w:ascii="Times New Roman" w:hAnsi="Times New Roman" w:cs="Times New Roman"/>
          <w:sz w:val="24"/>
          <w:szCs w:val="24"/>
          <w:lang w:val="en-US" w:bidi="zh-CN"/>
        </w:rPr>
        <w:t>分别</w:t>
      </w:r>
      <w:r>
        <w:rPr>
          <w:rFonts w:hint="default" w:ascii="Times New Roman" w:hAnsi="Times New Roman" w:cs="Times New Roman"/>
          <w:sz w:val="24"/>
          <w:szCs w:val="24"/>
          <w:lang w:bidi="zh-CN"/>
        </w:rPr>
        <w:t>达到《污水综合排放标准》（GB</w:t>
      </w:r>
      <w:r>
        <w:rPr>
          <w:rFonts w:hint="eastAsia" w:ascii="Times New Roman" w:hAnsi="Times New Roman" w:cs="Times New Roman"/>
          <w:sz w:val="24"/>
          <w:szCs w:val="24"/>
          <w:lang w:val="en-US" w:bidi="zh-CN"/>
        </w:rPr>
        <w:t xml:space="preserve"> </w:t>
      </w:r>
      <w:r>
        <w:rPr>
          <w:rFonts w:hint="default" w:ascii="Times New Roman" w:hAnsi="Times New Roman" w:cs="Times New Roman"/>
          <w:sz w:val="24"/>
          <w:szCs w:val="24"/>
          <w:lang w:bidi="zh-CN"/>
        </w:rPr>
        <w:t>8978-1996）三级标准</w:t>
      </w:r>
      <w:r>
        <w:rPr>
          <w:rFonts w:hint="eastAsia" w:ascii="Times New Roman" w:hAnsi="Times New Roman" w:cs="Times New Roman"/>
          <w:sz w:val="24"/>
          <w:szCs w:val="24"/>
          <w:lang w:bidi="zh-CN"/>
        </w:rPr>
        <w:t>（</w:t>
      </w:r>
      <w:r>
        <w:rPr>
          <w:rFonts w:hint="eastAsia" w:ascii="Times New Roman" w:hAnsi="Times New Roman" w:cs="Times New Roman"/>
          <w:sz w:val="24"/>
          <w:szCs w:val="24"/>
          <w:lang w:val="en-US" w:bidi="zh-CN"/>
        </w:rPr>
        <w:t>其中氨氮、总磷执行《工业企业废水氮、磷污染物间接排放限值》（DB33/887-2013）中的标准</w:t>
      </w:r>
      <w:r>
        <w:rPr>
          <w:rFonts w:hint="eastAsia" w:ascii="Times New Roman" w:hAnsi="Times New Roman" w:cs="Times New Roman"/>
          <w:sz w:val="24"/>
          <w:szCs w:val="24"/>
          <w:lang w:bidi="zh-CN"/>
        </w:rPr>
        <w:t>）</w:t>
      </w:r>
      <w:r>
        <w:rPr>
          <w:rFonts w:hint="default" w:ascii="Times New Roman" w:hAnsi="Times New Roman" w:cs="Times New Roman"/>
          <w:sz w:val="24"/>
          <w:szCs w:val="24"/>
          <w:lang w:bidi="zh-CN"/>
        </w:rPr>
        <w:t>后纳入污水管网，</w:t>
      </w:r>
      <w:r>
        <w:rPr>
          <w:rFonts w:hint="eastAsia" w:ascii="Times New Roman" w:hAnsi="Times New Roman" w:cs="Times New Roman"/>
          <w:bCs/>
          <w:sz w:val="24"/>
          <w:szCs w:val="24"/>
          <w:highlight w:val="none"/>
          <w:lang w:val="en-US" w:eastAsia="zh-CN" w:bidi="zh-CN"/>
        </w:rPr>
        <w:t>排入永康市城市污水处理厂，处理达标后排入永康江</w:t>
      </w:r>
      <w:r>
        <w:rPr>
          <w:rFonts w:hint="eastAsia" w:asciiTheme="minorEastAsia" w:hAnsiTheme="minorEastAsia"/>
          <w:sz w:val="24"/>
          <w:szCs w:val="24"/>
          <w:lang w:bidi="zh-CN"/>
        </w:rPr>
        <w:t>，</w:t>
      </w:r>
      <w:r>
        <w:rPr>
          <w:rFonts w:hint="default" w:ascii="Times New Roman" w:hAnsi="Times New Roman" w:cs="Times New Roman"/>
          <w:sz w:val="24"/>
          <w:szCs w:val="24"/>
        </w:rPr>
        <w:t>具体</w:t>
      </w:r>
      <w:r>
        <w:rPr>
          <w:rFonts w:ascii="Times New Roman" w:hAnsi="Times New Roman" w:cs="Times New Roman"/>
          <w:sz w:val="24"/>
          <w:szCs w:val="24"/>
        </w:rPr>
        <w:t>标准限值见表6.1-1。</w:t>
      </w:r>
    </w:p>
    <w:p>
      <w:pPr>
        <w:spacing w:after="3" w:line="360" w:lineRule="auto"/>
        <w:ind w:left="369" w:right="484" w:firstLine="200"/>
        <w:jc w:val="right"/>
        <w:rPr>
          <w:rFonts w:hint="default" w:ascii="Times New Roman" w:hAnsi="Times New Roman" w:eastAsiaTheme="minorEastAsia"/>
          <w:b/>
          <w:bCs/>
          <w:szCs w:val="21"/>
          <w:lang w:val="en-US" w:eastAsia="zh-CN"/>
        </w:rPr>
      </w:pPr>
      <w:r>
        <w:rPr>
          <w:rFonts w:ascii="Times New Roman" w:hAnsi="Times New Roman"/>
          <w:b/>
          <w:bCs/>
          <w:szCs w:val="21"/>
        </w:rPr>
        <w:t xml:space="preserve">表 </w:t>
      </w:r>
      <w:r>
        <w:rPr>
          <w:rFonts w:hint="eastAsia" w:ascii="Times New Roman" w:hAnsi="Times New Roman"/>
          <w:b/>
          <w:bCs/>
          <w:szCs w:val="21"/>
        </w:rPr>
        <w:t>6.1-1</w:t>
      </w:r>
      <w:r>
        <w:rPr>
          <w:rFonts w:ascii="Times New Roman" w:hAnsi="Times New Roman"/>
          <w:b/>
          <w:bCs/>
          <w:szCs w:val="21"/>
        </w:rPr>
        <w:t xml:space="preserve"> </w:t>
      </w:r>
      <w:r>
        <w:rPr>
          <w:rFonts w:hint="eastAsia" w:ascii="Times New Roman" w:hAnsi="Times New Roman"/>
          <w:b/>
          <w:bCs/>
          <w:szCs w:val="21"/>
        </w:rPr>
        <w:t>《污水综合排放标准》</w:t>
      </w:r>
      <w:r>
        <w:rPr>
          <w:rFonts w:hint="eastAsia" w:ascii="Times New Roman" w:hAnsi="Times New Roman"/>
          <w:b/>
          <w:bCs/>
          <w:szCs w:val="21"/>
          <w:lang w:eastAsia="zh-CN"/>
        </w:rPr>
        <w:t>（</w:t>
      </w:r>
      <w:r>
        <w:rPr>
          <w:rFonts w:hint="eastAsia" w:ascii="Times New Roman" w:hAnsi="Times New Roman"/>
          <w:b/>
          <w:bCs/>
          <w:szCs w:val="21"/>
          <w:lang w:val="en-US" w:eastAsia="zh-CN"/>
        </w:rPr>
        <w:t>GB 8978-1996</w:t>
      </w:r>
      <w:r>
        <w:rPr>
          <w:rFonts w:hint="eastAsia" w:ascii="Times New Roman" w:hAnsi="Times New Roman"/>
          <w:b/>
          <w:bCs/>
          <w:szCs w:val="21"/>
          <w:lang w:eastAsia="zh-CN"/>
        </w:rPr>
        <w:t>）</w:t>
      </w:r>
      <w:r>
        <w:rPr>
          <w:rFonts w:ascii="Times New Roman" w:hAnsi="Times New Roman"/>
          <w:b/>
          <w:bCs/>
          <w:szCs w:val="21"/>
        </w:rPr>
        <w:t xml:space="preserve"> </w:t>
      </w:r>
      <w:r>
        <w:rPr>
          <w:rFonts w:hint="eastAsia" w:ascii="Times New Roman" w:hAnsi="Times New Roman"/>
          <w:b/>
          <w:bCs/>
          <w:szCs w:val="21"/>
        </w:rPr>
        <w:t xml:space="preserve"> </w:t>
      </w:r>
      <w:r>
        <w:rPr>
          <w:rFonts w:ascii="Times New Roman" w:hAnsi="Times New Roman"/>
          <w:b/>
          <w:bCs/>
          <w:szCs w:val="21"/>
        </w:rPr>
        <w:t>单位：mg/L，pH</w:t>
      </w:r>
      <w:r>
        <w:rPr>
          <w:rFonts w:hint="eastAsia" w:ascii="Times New Roman" w:hAnsi="Times New Roman"/>
          <w:b/>
          <w:bCs/>
          <w:szCs w:val="21"/>
          <w:lang w:val="en-US" w:eastAsia="zh-CN"/>
        </w:rPr>
        <w:t>无量纲</w:t>
      </w:r>
    </w:p>
    <w:tbl>
      <w:tblPr>
        <w:tblStyle w:val="121"/>
        <w:tblW w:w="493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4"/>
        <w:gridCol w:w="716"/>
        <w:gridCol w:w="900"/>
        <w:gridCol w:w="888"/>
        <w:gridCol w:w="877"/>
        <w:gridCol w:w="752"/>
        <w:gridCol w:w="753"/>
        <w:gridCol w:w="923"/>
        <w:gridCol w:w="923"/>
        <w:gridCol w:w="9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442"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污染因子</w:t>
            </w:r>
          </w:p>
        </w:tc>
        <w:tc>
          <w:tcPr>
            <w:tcW w:w="426" w:type="pct"/>
            <w:vAlign w:val="center"/>
          </w:tcPr>
          <w:p>
            <w:pPr>
              <w:jc w:val="center"/>
              <w:rPr>
                <w:rFonts w:ascii="Times New Roman" w:hAnsi="Times New Roman" w:eastAsia="宋体" w:cs="Times New Roman"/>
                <w:b/>
                <w:bCs/>
                <w:kern w:val="2"/>
                <w:sz w:val="21"/>
                <w:szCs w:val="21"/>
                <w:highlight w:val="none"/>
                <w:lang w:val="en-US" w:eastAsia="zh-CN" w:bidi="ar-SA"/>
              </w:rPr>
            </w:pPr>
            <w:r>
              <w:rPr>
                <w:rFonts w:ascii="Times New Roman" w:hAnsi="Times New Roman" w:eastAsia="宋体" w:cs="Times New Roman"/>
                <w:b/>
                <w:bCs/>
                <w:szCs w:val="21"/>
                <w:highlight w:val="none"/>
              </w:rPr>
              <w:t>pH</w:t>
            </w:r>
          </w:p>
        </w:tc>
        <w:tc>
          <w:tcPr>
            <w:tcW w:w="535" w:type="pct"/>
            <w:vAlign w:val="center"/>
          </w:tcPr>
          <w:p>
            <w:pPr>
              <w:jc w:val="center"/>
              <w:rPr>
                <w:rFonts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rPr>
              <w:t>化学需氧量</w:t>
            </w:r>
          </w:p>
        </w:tc>
        <w:tc>
          <w:tcPr>
            <w:tcW w:w="528" w:type="pct"/>
            <w:vAlign w:val="center"/>
          </w:tcPr>
          <w:p>
            <w:pPr>
              <w:jc w:val="center"/>
              <w:rPr>
                <w:rFonts w:hint="default" w:ascii="Times New Roman" w:hAnsi="Times New Roman" w:eastAsia="宋体" w:cs="Times New Roman"/>
                <w:b/>
                <w:bCs/>
                <w:kern w:val="2"/>
                <w:sz w:val="21"/>
                <w:szCs w:val="21"/>
                <w:highlight w:val="none"/>
                <w:lang w:val="en-US" w:eastAsia="zh-CN" w:bidi="ar-SA"/>
              </w:rPr>
            </w:pPr>
            <w:r>
              <w:rPr>
                <w:rFonts w:ascii="Times New Roman" w:hAnsi="Times New Roman" w:eastAsia="宋体" w:cs="Times New Roman"/>
                <w:b/>
                <w:bCs/>
                <w:szCs w:val="21"/>
                <w:highlight w:val="none"/>
              </w:rPr>
              <w:t>悬浮物</w:t>
            </w:r>
          </w:p>
        </w:tc>
        <w:tc>
          <w:tcPr>
            <w:tcW w:w="522" w:type="pct"/>
            <w:vAlign w:val="center"/>
          </w:tcPr>
          <w:p>
            <w:pPr>
              <w:jc w:val="center"/>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lang w:val="en-US" w:eastAsia="zh-CN"/>
              </w:rPr>
              <w:t>石油类</w:t>
            </w:r>
          </w:p>
        </w:tc>
        <w:tc>
          <w:tcPr>
            <w:tcW w:w="447" w:type="pct"/>
            <w:vAlign w:val="center"/>
          </w:tcPr>
          <w:p>
            <w:pPr>
              <w:jc w:val="center"/>
              <w:rPr>
                <w:rFonts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rPr>
              <w:t>总磷</w:t>
            </w:r>
          </w:p>
        </w:tc>
        <w:tc>
          <w:tcPr>
            <w:tcW w:w="448" w:type="pct"/>
            <w:vAlign w:val="center"/>
          </w:tcPr>
          <w:p>
            <w:pPr>
              <w:jc w:val="center"/>
              <w:rPr>
                <w:rFonts w:hint="default" w:ascii="Times New Roman" w:hAnsi="Times New Roman" w:eastAsia="宋体" w:cs="Times New Roman"/>
                <w:b/>
                <w:bCs/>
                <w:kern w:val="2"/>
                <w:sz w:val="21"/>
                <w:szCs w:val="21"/>
                <w:highlight w:val="none"/>
                <w:lang w:val="en-US" w:eastAsia="zh-CN" w:bidi="ar-SA"/>
              </w:rPr>
            </w:pPr>
            <w:r>
              <w:rPr>
                <w:rFonts w:ascii="Times New Roman" w:hAnsi="Times New Roman" w:eastAsia="宋体" w:cs="Times New Roman"/>
                <w:b/>
                <w:bCs/>
                <w:szCs w:val="21"/>
                <w:highlight w:val="none"/>
              </w:rPr>
              <w:t>氨氮</w:t>
            </w:r>
          </w:p>
        </w:tc>
        <w:tc>
          <w:tcPr>
            <w:tcW w:w="549" w:type="pct"/>
            <w:vAlign w:val="center"/>
          </w:tcPr>
          <w:p>
            <w:pPr>
              <w:jc w:val="center"/>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szCs w:val="21"/>
                <w:highlight w:val="none"/>
                <w:lang w:val="en-US" w:eastAsia="zh-CN"/>
              </w:rPr>
              <w:t>五日生化需氧量</w:t>
            </w:r>
          </w:p>
        </w:tc>
        <w:tc>
          <w:tcPr>
            <w:tcW w:w="549" w:type="pct"/>
            <w:vAlign w:val="center"/>
          </w:tcPr>
          <w:p>
            <w:pPr>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阴离子表面活性剂</w:t>
            </w:r>
          </w:p>
        </w:tc>
        <w:tc>
          <w:tcPr>
            <w:tcW w:w="550" w:type="pct"/>
            <w:vAlign w:val="center"/>
          </w:tcPr>
          <w:p>
            <w:pPr>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动植物油类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atLeast"/>
          <w:jc w:val="center"/>
        </w:trPr>
        <w:tc>
          <w:tcPr>
            <w:tcW w:w="442"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三级</w:t>
            </w:r>
            <w:r>
              <w:rPr>
                <w:rFonts w:ascii="Times New Roman" w:hAnsi="Times New Roman" w:eastAsia="宋体" w:cs="Times New Roman"/>
                <w:szCs w:val="21"/>
              </w:rPr>
              <w:t>标准</w:t>
            </w:r>
          </w:p>
        </w:tc>
        <w:tc>
          <w:tcPr>
            <w:tcW w:w="426" w:type="pct"/>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6</w:t>
            </w:r>
            <w:r>
              <w:rPr>
                <w:rFonts w:ascii="Times New Roman" w:hAnsi="Times New Roman" w:eastAsia="宋体" w:cs="Times New Roman"/>
                <w:szCs w:val="21"/>
              </w:rPr>
              <w:t>~9</w:t>
            </w:r>
          </w:p>
        </w:tc>
        <w:tc>
          <w:tcPr>
            <w:tcW w:w="535" w:type="pct"/>
            <w:vAlign w:val="center"/>
          </w:tcPr>
          <w:p>
            <w:pPr>
              <w:jc w:val="center"/>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kern w:val="0"/>
                <w:szCs w:val="21"/>
              </w:rPr>
              <w:t>≤</w:t>
            </w:r>
            <w:r>
              <w:rPr>
                <w:rFonts w:hint="eastAsia" w:ascii="Times New Roman" w:hAnsi="Times New Roman" w:eastAsia="宋体" w:cs="Times New Roman"/>
                <w:szCs w:val="21"/>
              </w:rPr>
              <w:t>5</w:t>
            </w:r>
            <w:r>
              <w:rPr>
                <w:rFonts w:ascii="Times New Roman" w:hAnsi="Times New Roman" w:eastAsia="宋体" w:cs="Times New Roman"/>
                <w:szCs w:val="21"/>
              </w:rPr>
              <w:t>00</w:t>
            </w:r>
          </w:p>
        </w:tc>
        <w:tc>
          <w:tcPr>
            <w:tcW w:w="528" w:type="pct"/>
            <w:vAlign w:val="center"/>
          </w:tcPr>
          <w:p>
            <w:pPr>
              <w:jc w:val="center"/>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kern w:val="0"/>
                <w:szCs w:val="21"/>
              </w:rPr>
              <w:t>≤</w:t>
            </w:r>
            <w:r>
              <w:rPr>
                <w:rFonts w:hint="eastAsia" w:ascii="Times New Roman" w:hAnsi="Times New Roman" w:eastAsia="宋体" w:cs="Times New Roman"/>
                <w:szCs w:val="21"/>
              </w:rPr>
              <w:t>4</w:t>
            </w:r>
            <w:r>
              <w:rPr>
                <w:rFonts w:ascii="Times New Roman" w:hAnsi="Times New Roman" w:eastAsia="宋体" w:cs="Times New Roman"/>
                <w:szCs w:val="21"/>
              </w:rPr>
              <w:t>00</w:t>
            </w:r>
          </w:p>
        </w:tc>
        <w:tc>
          <w:tcPr>
            <w:tcW w:w="522" w:type="pct"/>
            <w:vAlign w:val="center"/>
          </w:tcPr>
          <w:p>
            <w:pPr>
              <w:jc w:val="center"/>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kern w:val="0"/>
                <w:szCs w:val="21"/>
              </w:rPr>
              <w:t>≤</w:t>
            </w:r>
            <w:r>
              <w:rPr>
                <w:rFonts w:hint="eastAsia" w:ascii="Times New Roman" w:hAnsi="Times New Roman" w:eastAsia="宋体" w:cs="Times New Roman"/>
                <w:szCs w:val="21"/>
                <w:lang w:val="en-US" w:eastAsia="zh-CN"/>
              </w:rPr>
              <w:t>20</w:t>
            </w:r>
          </w:p>
        </w:tc>
        <w:tc>
          <w:tcPr>
            <w:tcW w:w="447" w:type="pct"/>
            <w:vAlign w:val="center"/>
          </w:tcPr>
          <w:p>
            <w:pPr>
              <w:jc w:val="center"/>
              <w:rPr>
                <w:rFonts w:hint="default" w:ascii="Times New Roman" w:hAnsi="Times New Roman" w:eastAsia="宋体" w:cs="Times New Roman"/>
                <w:kern w:val="2"/>
                <w:sz w:val="21"/>
                <w:szCs w:val="21"/>
                <w:vertAlign w:val="superscript"/>
                <w:lang w:val="en-US" w:eastAsia="zh-CN" w:bidi="ar-SA"/>
              </w:rPr>
            </w:pPr>
            <w:r>
              <w:rPr>
                <w:rFonts w:ascii="Times New Roman" w:hAnsi="Times New Roman" w:eastAsia="宋体" w:cs="Times New Roman"/>
                <w:kern w:val="0"/>
                <w:szCs w:val="21"/>
              </w:rPr>
              <w:t>≤</w:t>
            </w:r>
            <w:r>
              <w:rPr>
                <w:rFonts w:hint="eastAsia" w:ascii="Times New Roman" w:hAnsi="Times New Roman" w:eastAsia="宋体" w:cs="Times New Roman"/>
                <w:szCs w:val="21"/>
              </w:rPr>
              <w:t>8</w:t>
            </w:r>
            <w:r>
              <w:rPr>
                <w:rFonts w:ascii="Times New Roman" w:hAnsi="Times New Roman" w:eastAsia="宋体" w:cs="Times New Roman"/>
                <w:szCs w:val="21"/>
                <w:vertAlign w:val="superscript"/>
              </w:rPr>
              <w:t>*</w:t>
            </w:r>
          </w:p>
        </w:tc>
        <w:tc>
          <w:tcPr>
            <w:tcW w:w="448" w:type="pct"/>
            <w:vAlign w:val="center"/>
          </w:tcPr>
          <w:p>
            <w:pPr>
              <w:jc w:val="center"/>
              <w:rPr>
                <w:rFonts w:hint="default" w:ascii="Times New Roman" w:hAnsi="Times New Roman" w:eastAsia="宋体" w:cs="Times New Roman"/>
                <w:kern w:val="0"/>
                <w:sz w:val="21"/>
                <w:szCs w:val="21"/>
                <w:lang w:val="en-US" w:eastAsia="zh-CN" w:bidi="ar-SA"/>
              </w:rPr>
            </w:pPr>
            <w:r>
              <w:rPr>
                <w:rFonts w:ascii="Times New Roman" w:hAnsi="Times New Roman" w:eastAsia="宋体" w:cs="Times New Roman"/>
                <w:kern w:val="0"/>
                <w:szCs w:val="21"/>
              </w:rPr>
              <w:t>≤</w:t>
            </w:r>
            <w:r>
              <w:rPr>
                <w:rFonts w:hint="eastAsia" w:ascii="Times New Roman" w:hAnsi="Times New Roman" w:eastAsia="宋体" w:cs="Times New Roman"/>
                <w:szCs w:val="21"/>
              </w:rPr>
              <w:t>3</w:t>
            </w:r>
            <w:r>
              <w:rPr>
                <w:rFonts w:ascii="Times New Roman" w:hAnsi="Times New Roman" w:eastAsia="宋体" w:cs="Times New Roman"/>
                <w:szCs w:val="21"/>
              </w:rPr>
              <w:t>5</w:t>
            </w:r>
            <w:r>
              <w:rPr>
                <w:rFonts w:ascii="Times New Roman" w:hAnsi="Times New Roman" w:eastAsia="宋体" w:cs="Times New Roman"/>
                <w:szCs w:val="21"/>
                <w:vertAlign w:val="superscript"/>
              </w:rPr>
              <w:t>*</w:t>
            </w:r>
          </w:p>
        </w:tc>
        <w:tc>
          <w:tcPr>
            <w:tcW w:w="549" w:type="pct"/>
            <w:vAlign w:val="center"/>
          </w:tcPr>
          <w:p>
            <w:pPr>
              <w:jc w:val="center"/>
              <w:rPr>
                <w:rFonts w:hint="default" w:ascii="Times New Roman" w:hAnsi="Times New Roman" w:eastAsia="宋体" w:cs="Times New Roman"/>
                <w:kern w:val="0"/>
                <w:sz w:val="21"/>
                <w:szCs w:val="21"/>
                <w:lang w:val="en-US" w:eastAsia="zh-CN" w:bidi="ar-SA"/>
              </w:rPr>
            </w:pPr>
            <w:r>
              <w:rPr>
                <w:rFonts w:ascii="Times New Roman" w:hAnsi="Times New Roman" w:eastAsia="宋体" w:cs="Times New Roman"/>
                <w:kern w:val="0"/>
                <w:szCs w:val="21"/>
              </w:rPr>
              <w:t>≤</w:t>
            </w:r>
            <w:r>
              <w:rPr>
                <w:rFonts w:hint="eastAsia" w:ascii="Times New Roman" w:hAnsi="Times New Roman" w:eastAsia="宋体" w:cs="Times New Roman"/>
                <w:kern w:val="0"/>
                <w:szCs w:val="21"/>
                <w:lang w:val="en-US" w:eastAsia="zh-CN"/>
              </w:rPr>
              <w:t>300</w:t>
            </w:r>
          </w:p>
        </w:tc>
        <w:tc>
          <w:tcPr>
            <w:tcW w:w="549" w:type="pct"/>
            <w:vAlign w:val="center"/>
          </w:tcPr>
          <w:p>
            <w:pPr>
              <w:jc w:val="center"/>
              <w:rPr>
                <w:rFonts w:hint="default" w:ascii="Times New Roman" w:hAnsi="Times New Roman" w:eastAsia="宋体" w:cs="Times New Roman"/>
                <w:kern w:val="0"/>
                <w:szCs w:val="21"/>
                <w:lang w:val="en-US" w:eastAsia="zh-CN"/>
              </w:rPr>
            </w:pPr>
            <w:r>
              <w:rPr>
                <w:rFonts w:ascii="Times New Roman" w:hAnsi="Times New Roman" w:eastAsia="宋体" w:cs="Times New Roman"/>
                <w:kern w:val="0"/>
                <w:szCs w:val="21"/>
              </w:rPr>
              <w:t>≤</w:t>
            </w:r>
            <w:r>
              <w:rPr>
                <w:rFonts w:hint="eastAsia" w:ascii="Times New Roman" w:hAnsi="Times New Roman" w:eastAsia="宋体" w:cs="Times New Roman"/>
                <w:kern w:val="0"/>
                <w:szCs w:val="21"/>
                <w:lang w:val="en-US" w:eastAsia="zh-CN"/>
              </w:rPr>
              <w:t>20</w:t>
            </w:r>
          </w:p>
        </w:tc>
        <w:tc>
          <w:tcPr>
            <w:tcW w:w="550" w:type="pct"/>
            <w:vAlign w:val="center"/>
          </w:tcPr>
          <w:p>
            <w:pPr>
              <w:jc w:val="center"/>
              <w:rPr>
                <w:rFonts w:hint="default" w:ascii="Times New Roman" w:hAnsi="Times New Roman" w:eastAsia="宋体" w:cs="Times New Roman"/>
                <w:kern w:val="0"/>
                <w:szCs w:val="21"/>
                <w:lang w:val="en-US" w:eastAsia="zh-CN"/>
              </w:rPr>
            </w:pPr>
            <w:r>
              <w:rPr>
                <w:rFonts w:ascii="Times New Roman" w:hAnsi="Times New Roman" w:eastAsia="宋体" w:cs="Times New Roman"/>
                <w:kern w:val="0"/>
                <w:szCs w:val="21"/>
              </w:rPr>
              <w:t>≤</w:t>
            </w:r>
            <w:r>
              <w:rPr>
                <w:rFonts w:hint="eastAsia" w:ascii="Times New Roman" w:hAnsi="Times New Roman" w:eastAsia="宋体" w:cs="Times New Roman"/>
                <w:kern w:val="0"/>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5000" w:type="pct"/>
            <w:gridSpan w:val="10"/>
            <w:vAlign w:val="center"/>
          </w:tcPr>
          <w:p>
            <w:pPr>
              <w:jc w:val="left"/>
              <w:rPr>
                <w:rFonts w:ascii="Times New Roman" w:hAnsi="Times New Roman" w:eastAsia="宋体" w:cs="Times New Roman"/>
                <w:spacing w:val="-1"/>
                <w:szCs w:val="21"/>
              </w:rPr>
            </w:pPr>
            <w:r>
              <w:rPr>
                <w:rFonts w:ascii="Times New Roman" w:hAnsi="Times New Roman" w:eastAsia="宋体" w:cs="Times New Roman"/>
                <w:spacing w:val="-1"/>
                <w:szCs w:val="21"/>
              </w:rPr>
              <w:t>*</w:t>
            </w:r>
            <w:r>
              <w:rPr>
                <w:rFonts w:ascii="Times New Roman" w:hAnsi="Times New Roman" w:eastAsia="宋体" w:cs="Times New Roman"/>
                <w:spacing w:val="-6"/>
                <w:szCs w:val="21"/>
              </w:rPr>
              <w:t>注：氨氮、总磷入网标准参照《工业企业废水氮、磷污染物间接排放限值》</w:t>
            </w:r>
            <w:r>
              <w:rPr>
                <w:rFonts w:ascii="Times New Roman" w:hAnsi="Times New Roman" w:eastAsia="宋体" w:cs="Times New Roman"/>
                <w:szCs w:val="21"/>
              </w:rPr>
              <w:t>（DB33/887-2013）中的其他企业的限值要求。</w:t>
            </w:r>
          </w:p>
        </w:tc>
      </w:tr>
    </w:tbl>
    <w:p>
      <w:pPr>
        <w:pStyle w:val="5"/>
        <w:keepNext/>
        <w:keepLines/>
        <w:pageBreakBefore w:val="0"/>
        <w:widowControl w:val="0"/>
        <w:kinsoku/>
        <w:wordWrap/>
        <w:overflowPunct/>
        <w:topLinePunct w:val="0"/>
        <w:autoSpaceDE/>
        <w:autoSpaceDN/>
        <w:bidi w:val="0"/>
        <w:adjustRightInd/>
        <w:snapToGrid/>
        <w:spacing w:before="200" w:after="200" w:line="416" w:lineRule="auto"/>
        <w:textAlignment w:val="auto"/>
        <w:rPr>
          <w:rFonts w:hint="eastAsia" w:ascii="Times New Roman" w:hAnsi="Times New Roman" w:eastAsia="宋体"/>
        </w:rPr>
      </w:pPr>
      <w:bookmarkStart w:id="68" w:name="_Toc9636"/>
      <w:r>
        <w:rPr>
          <w:rFonts w:hint="eastAsia" w:ascii="Times New Roman" w:hAnsi="Times New Roman" w:eastAsia="宋体"/>
        </w:rPr>
        <w:t>6.2废气验收执行标准</w:t>
      </w:r>
      <w:bookmarkEnd w:id="68"/>
    </w:p>
    <w:p>
      <w:pPr>
        <w:spacing w:line="360" w:lineRule="auto"/>
        <w:ind w:firstLine="496" w:firstLineChars="200"/>
        <w:rPr>
          <w:rFonts w:hint="eastAsia"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bidi="zh-CN"/>
        </w:rPr>
        <w:t>（1）调漆、喷漆、烘干、喷塑及固化工序有组织排放执行《工业涂装工序大气污染物排放标准》（DB 33/2146-2018）表1大气污染物排放限值，无组织排放执行表6企业边界大气污染物浓度限值，详见表</w:t>
      </w:r>
      <w:r>
        <w:rPr>
          <w:rFonts w:ascii="Times New Roman" w:hAnsi="Times New Roman" w:eastAsia="宋体" w:cs="Times New Roman"/>
          <w:spacing w:val="4"/>
          <w:sz w:val="24"/>
          <w:szCs w:val="24"/>
        </w:rPr>
        <w:t>6.2</w:t>
      </w:r>
      <w:r>
        <w:rPr>
          <w:rFonts w:hint="eastAsia" w:ascii="Times New Roman" w:hAnsi="Times New Roman" w:eastAsia="宋体" w:cs="Times New Roman"/>
          <w:spacing w:val="4"/>
          <w:sz w:val="24"/>
          <w:szCs w:val="24"/>
        </w:rPr>
        <w:t>-</w:t>
      </w:r>
      <w:r>
        <w:rPr>
          <w:rFonts w:hint="eastAsia" w:ascii="Times New Roman" w:hAnsi="Times New Roman" w:eastAsia="宋体" w:cs="Times New Roman"/>
          <w:spacing w:val="4"/>
          <w:sz w:val="24"/>
          <w:szCs w:val="24"/>
          <w:lang w:val="en-US" w:eastAsia="zh-CN"/>
        </w:rPr>
        <w:t>1；</w:t>
      </w:r>
    </w:p>
    <w:p>
      <w:pPr>
        <w:spacing w:line="360" w:lineRule="auto"/>
        <w:ind w:firstLine="422" w:firstLineChars="200"/>
        <w:jc w:val="center"/>
        <w:rPr>
          <w:rFonts w:ascii="Times New Roman" w:hAnsi="Times New Roman" w:eastAsia="宋体" w:cs="Times New Roman"/>
          <w:b/>
          <w:bCs/>
          <w:szCs w:val="21"/>
        </w:rPr>
      </w:pPr>
      <w:r>
        <w:rPr>
          <w:rFonts w:hint="eastAsia" w:ascii="Times New Roman" w:hAnsi="Times New Roman" w:eastAsia="宋体" w:cs="Times New Roman"/>
          <w:b/>
          <w:bCs/>
          <w:szCs w:val="21"/>
        </w:rPr>
        <w:t>表6</w:t>
      </w:r>
      <w:r>
        <w:rPr>
          <w:rFonts w:ascii="Times New Roman" w:hAnsi="Times New Roman" w:eastAsia="宋体" w:cs="Times New Roman"/>
          <w:b/>
          <w:bCs/>
          <w:szCs w:val="21"/>
        </w:rPr>
        <w:t>.2</w:t>
      </w:r>
      <w:r>
        <w:rPr>
          <w:rFonts w:hint="eastAsia" w:ascii="Times New Roman" w:hAnsi="Times New Roman" w:eastAsia="宋体" w:cs="Times New Roman"/>
          <w:b/>
          <w:bCs/>
          <w:szCs w:val="21"/>
        </w:rPr>
        <w:t>-</w:t>
      </w:r>
      <w:r>
        <w:rPr>
          <w:rFonts w:hint="eastAsia" w:ascii="Times New Roman" w:hAnsi="Times New Roman" w:eastAsia="宋体" w:cs="Times New Roman"/>
          <w:b/>
          <w:bCs/>
          <w:szCs w:val="21"/>
          <w:lang w:val="en-US" w:eastAsia="zh-CN"/>
        </w:rPr>
        <w:t>1</w:t>
      </w:r>
      <w:r>
        <w:rPr>
          <w:rFonts w:hint="eastAsia" w:ascii="Times New Roman" w:hAnsi="Times New Roman" w:eastAsia="宋体" w:cs="Times New Roman"/>
          <w:b/>
          <w:bCs/>
          <w:szCs w:val="21"/>
        </w:rPr>
        <w:t>《工业涂装工序大气污染物排放标准》（DB33/2146-2018）</w:t>
      </w:r>
      <w:r>
        <w:rPr>
          <w:rFonts w:hint="eastAsia" w:ascii="Times New Roman" w:hAnsi="Times New Roman" w:cs="Times New Roman"/>
          <w:b/>
          <w:szCs w:val="21"/>
          <w:lang w:val="en-US" w:eastAsia="zh-CN"/>
        </w:rPr>
        <w:t>表1</w:t>
      </w:r>
      <w:r>
        <w:rPr>
          <w:rFonts w:ascii="Times New Roman" w:hAnsi="Times New Roman" w:cs="Times New Roman"/>
          <w:b/>
          <w:szCs w:val="21"/>
        </w:rPr>
        <w:t xml:space="preserve">  </w:t>
      </w:r>
    </w:p>
    <w:tbl>
      <w:tblPr>
        <w:tblStyle w:val="32"/>
        <w:tblW w:w="83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75"/>
        <w:gridCol w:w="2075"/>
        <w:gridCol w:w="1795"/>
        <w:gridCol w:w="23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75" w:type="dxa"/>
            <w:vMerge w:val="restart"/>
            <w:vAlign w:val="center"/>
          </w:tcPr>
          <w:p>
            <w:pPr>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污染物项目</w:t>
            </w:r>
          </w:p>
        </w:tc>
        <w:tc>
          <w:tcPr>
            <w:tcW w:w="6225" w:type="dxa"/>
            <w:gridSpan w:val="3"/>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有组织排放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75" w:type="dxa"/>
            <w:vMerge w:val="continue"/>
            <w:vAlign w:val="center"/>
          </w:tcPr>
          <w:p>
            <w:pPr>
              <w:jc w:val="center"/>
              <w:rPr>
                <w:rFonts w:hint="default" w:ascii="Times New Roman" w:hAnsi="Times New Roman" w:eastAsia="宋体" w:cs="Times New Roman"/>
                <w:b/>
                <w:bCs/>
                <w:lang w:eastAsia="zh-CN"/>
              </w:rPr>
            </w:pPr>
          </w:p>
        </w:tc>
        <w:tc>
          <w:tcPr>
            <w:tcW w:w="2075"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排放限值（mg/m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c>
          <w:tcPr>
            <w:tcW w:w="1795"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适用条件</w:t>
            </w:r>
          </w:p>
        </w:tc>
        <w:tc>
          <w:tcPr>
            <w:tcW w:w="2355"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污染物排放监控位置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75" w:type="dxa"/>
            <w:vAlign w:val="center"/>
          </w:tcPr>
          <w:p>
            <w:pPr>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苯系物</w:t>
            </w:r>
          </w:p>
        </w:tc>
        <w:tc>
          <w:tcPr>
            <w:tcW w:w="207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w:t>
            </w:r>
          </w:p>
        </w:tc>
        <w:tc>
          <w:tcPr>
            <w:tcW w:w="1795" w:type="dxa"/>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eastAsia="zh-CN"/>
              </w:rPr>
              <w:t>所有</w:t>
            </w:r>
          </w:p>
        </w:tc>
        <w:tc>
          <w:tcPr>
            <w:tcW w:w="2355" w:type="dxa"/>
            <w:vMerge w:val="restart"/>
            <w:vAlign w:val="center"/>
          </w:tcPr>
          <w:p>
            <w:pPr>
              <w:jc w:val="center"/>
              <w:rPr>
                <w:rFonts w:hint="default" w:ascii="Times New Roman" w:hAnsi="Times New Roman" w:eastAsia="宋体" w:cs="Times New Roman"/>
                <w:b/>
                <w:bCs/>
                <w:position w:val="7"/>
                <w:szCs w:val="21"/>
                <w:lang w:val="en-US" w:eastAsia="zh-CN"/>
              </w:rPr>
            </w:pPr>
            <w:r>
              <w:rPr>
                <w:rFonts w:hint="default" w:ascii="Times New Roman" w:hAnsi="Times New Roman" w:eastAsia="宋体" w:cs="Times New Roman"/>
                <w:lang w:val="en-US" w:eastAsia="zh-CN"/>
              </w:rPr>
              <w:t>车间或生产设施排气筒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7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乙酸酯类</w:t>
            </w:r>
          </w:p>
        </w:tc>
        <w:tc>
          <w:tcPr>
            <w:tcW w:w="2075" w:type="dxa"/>
            <w:vAlign w:val="center"/>
          </w:tcPr>
          <w:p>
            <w:pPr>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60</w:t>
            </w:r>
          </w:p>
        </w:tc>
        <w:tc>
          <w:tcPr>
            <w:tcW w:w="1795" w:type="dxa"/>
            <w:vAlign w:val="center"/>
          </w:tcPr>
          <w:p>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涉乙酸酯类</w:t>
            </w:r>
          </w:p>
        </w:tc>
        <w:tc>
          <w:tcPr>
            <w:tcW w:w="2355" w:type="dxa"/>
            <w:vMerge w:val="continue"/>
            <w:vAlign w:val="center"/>
          </w:tcPr>
          <w:p>
            <w:pPr>
              <w:jc w:val="center"/>
              <w:rPr>
                <w:rFonts w:hint="default"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7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非甲烷总烃</w:t>
            </w:r>
          </w:p>
        </w:tc>
        <w:tc>
          <w:tcPr>
            <w:tcW w:w="2075" w:type="dxa"/>
            <w:vAlign w:val="center"/>
          </w:tcPr>
          <w:p>
            <w:pPr>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80</w:t>
            </w:r>
          </w:p>
        </w:tc>
        <w:tc>
          <w:tcPr>
            <w:tcW w:w="1795" w:type="dxa"/>
            <w:vAlign w:val="center"/>
          </w:tcPr>
          <w:p>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所有</w:t>
            </w:r>
          </w:p>
        </w:tc>
        <w:tc>
          <w:tcPr>
            <w:tcW w:w="2355" w:type="dxa"/>
            <w:vMerge w:val="continue"/>
            <w:vAlign w:val="center"/>
          </w:tcPr>
          <w:p>
            <w:pPr>
              <w:jc w:val="center"/>
              <w:rPr>
                <w:rFonts w:hint="default"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75" w:type="dxa"/>
            <w:vAlign w:val="center"/>
          </w:tcPr>
          <w:p>
            <w:pPr>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颗粒物</w:t>
            </w:r>
          </w:p>
        </w:tc>
        <w:tc>
          <w:tcPr>
            <w:tcW w:w="207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30</w:t>
            </w:r>
          </w:p>
        </w:tc>
        <w:tc>
          <w:tcPr>
            <w:tcW w:w="1795" w:type="dxa"/>
            <w:vAlign w:val="center"/>
          </w:tcPr>
          <w:p>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所有</w:t>
            </w:r>
          </w:p>
        </w:tc>
        <w:tc>
          <w:tcPr>
            <w:tcW w:w="2355" w:type="dxa"/>
            <w:vMerge w:val="continue"/>
            <w:vAlign w:val="center"/>
          </w:tcPr>
          <w:p>
            <w:pPr>
              <w:jc w:val="center"/>
              <w:rPr>
                <w:rFonts w:hint="default"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7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臭气浓度*</w:t>
            </w:r>
          </w:p>
        </w:tc>
        <w:tc>
          <w:tcPr>
            <w:tcW w:w="207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1000</w:t>
            </w:r>
            <w:r>
              <w:rPr>
                <w:rFonts w:hint="eastAsia" w:ascii="Times New Roman" w:hAnsi="Times New Roman" w:eastAsia="宋体" w:cs="Times New Roman"/>
                <w:lang w:val="en-US" w:eastAsia="zh-CN"/>
              </w:rPr>
              <w:t>（无量纲）</w:t>
            </w:r>
          </w:p>
        </w:tc>
        <w:tc>
          <w:tcPr>
            <w:tcW w:w="1795" w:type="dxa"/>
            <w:vAlign w:val="center"/>
          </w:tcPr>
          <w:p>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所有</w:t>
            </w:r>
          </w:p>
        </w:tc>
        <w:tc>
          <w:tcPr>
            <w:tcW w:w="2355" w:type="dxa"/>
            <w:vMerge w:val="continue"/>
            <w:vAlign w:val="center"/>
          </w:tcPr>
          <w:p>
            <w:pPr>
              <w:jc w:val="center"/>
              <w:rPr>
                <w:rFonts w:hint="default" w:ascii="Times New Roman" w:hAnsi="Times New Roman" w:eastAsia="宋体" w:cs="Times New Roman"/>
                <w:lang w:val="en-US" w:eastAsia="zh-CN"/>
              </w:rPr>
            </w:pPr>
          </w:p>
        </w:tc>
      </w:tr>
    </w:tbl>
    <w:p>
      <w:pPr>
        <w:keepNext w:val="0"/>
        <w:keepLines w:val="0"/>
        <w:pageBreakBefore w:val="0"/>
        <w:widowControl w:val="0"/>
        <w:kinsoku/>
        <w:wordWrap/>
        <w:overflowPunct/>
        <w:topLinePunct w:val="0"/>
        <w:autoSpaceDE/>
        <w:autoSpaceDN/>
        <w:bidi w:val="0"/>
        <w:adjustRightInd/>
        <w:snapToGrid/>
        <w:spacing w:line="160" w:lineRule="exact"/>
        <w:ind w:firstLine="496" w:firstLineChars="200"/>
        <w:jc w:val="distribute"/>
        <w:textAlignment w:val="auto"/>
        <w:rPr>
          <w:rFonts w:hint="eastAsia" w:ascii="Times New Roman" w:hAnsi="Times New Roman" w:eastAsia="宋体" w:cs="Times New Roman"/>
          <w:spacing w:val="4"/>
          <w:sz w:val="24"/>
          <w:szCs w:val="24"/>
          <w:lang w:val="en-US" w:bidi="zh-CN"/>
        </w:rPr>
      </w:pPr>
    </w:p>
    <w:p>
      <w:pPr>
        <w:spacing w:line="360" w:lineRule="auto"/>
        <w:ind w:firstLine="496" w:firstLineChars="200"/>
        <w:rPr>
          <w:rFonts w:hint="eastAsia" w:ascii="Times New Roman" w:hAnsi="Times New Roman" w:eastAsia="宋体" w:cs="Times New Roman"/>
          <w:spacing w:val="4"/>
          <w:sz w:val="24"/>
          <w:szCs w:val="24"/>
          <w:highlight w:val="none"/>
          <w:lang w:val="en-US" w:eastAsia="zh-CN" w:bidi="zh-CN"/>
        </w:rPr>
      </w:pPr>
      <w:r>
        <w:rPr>
          <w:rFonts w:hint="eastAsia" w:ascii="Times New Roman" w:hAnsi="Times New Roman" w:eastAsia="宋体" w:cs="Times New Roman"/>
          <w:spacing w:val="4"/>
          <w:sz w:val="24"/>
          <w:szCs w:val="24"/>
          <w:lang w:val="en-US" w:bidi="zh-CN"/>
        </w:rPr>
        <w:t>（2）焊接及胶合工序无组织排放执行《大气污染物综合排放标准》（GB 16297-1996）表2无组织监控浓度限值（其中胶合工序产生的非甲烷总烃，因《大气污染物综合排放标准》（GB 16297-1996）表2无组织监控浓度限值与《工业涂装工序大气污染物排放标准》（DB 33/2146-2018）表6企业边界大气污染物浓度限值相同，故参照执行《工业涂装工序大气污染物排放标准》（DB33/2146-2018）表6标准），详见表</w:t>
      </w:r>
      <w:r>
        <w:rPr>
          <w:rFonts w:ascii="Times New Roman" w:hAnsi="Times New Roman" w:eastAsia="宋体" w:cs="Times New Roman"/>
          <w:spacing w:val="4"/>
          <w:sz w:val="24"/>
          <w:szCs w:val="24"/>
        </w:rPr>
        <w:t>6.2</w:t>
      </w:r>
      <w:r>
        <w:rPr>
          <w:rFonts w:hint="eastAsia" w:ascii="Times New Roman" w:hAnsi="Times New Roman" w:eastAsia="宋体" w:cs="Times New Roman"/>
          <w:spacing w:val="4"/>
          <w:sz w:val="24"/>
          <w:szCs w:val="24"/>
        </w:rPr>
        <w:t>-</w:t>
      </w:r>
      <w:r>
        <w:rPr>
          <w:rFonts w:hint="eastAsia" w:ascii="Times New Roman" w:hAnsi="Times New Roman" w:eastAsia="宋体" w:cs="Times New Roman"/>
          <w:spacing w:val="4"/>
          <w:sz w:val="24"/>
          <w:szCs w:val="24"/>
          <w:lang w:val="en-US" w:eastAsia="zh-CN"/>
        </w:rPr>
        <w:t>2、表6.2-3；</w:t>
      </w:r>
    </w:p>
    <w:p>
      <w:pPr>
        <w:spacing w:line="360" w:lineRule="auto"/>
        <w:jc w:val="center"/>
        <w:rPr>
          <w:rFonts w:hint="eastAsia" w:ascii="Times New Roman" w:hAnsi="Times New Roman"/>
          <w:b/>
          <w:bCs/>
          <w:kern w:val="0"/>
          <w:lang w:val="en-US" w:bidi="zh-CN"/>
        </w:rPr>
      </w:pPr>
      <w:r>
        <w:rPr>
          <w:rFonts w:hint="eastAsia" w:ascii="Times New Roman" w:hAnsi="Times New Roman"/>
          <w:b/>
          <w:bCs/>
          <w:kern w:val="0"/>
        </w:rPr>
        <w:t>表</w:t>
      </w:r>
      <w:r>
        <w:rPr>
          <w:rFonts w:ascii="Times New Roman" w:hAnsi="Times New Roman"/>
          <w:b/>
          <w:bCs/>
          <w:kern w:val="0"/>
        </w:rPr>
        <w:t>6.2</w:t>
      </w:r>
      <w:r>
        <w:rPr>
          <w:rFonts w:hint="eastAsia" w:ascii="Times New Roman" w:hAnsi="Times New Roman"/>
          <w:b/>
          <w:bCs/>
          <w:kern w:val="0"/>
        </w:rPr>
        <w:t>-</w:t>
      </w:r>
      <w:r>
        <w:rPr>
          <w:rFonts w:hint="eastAsia" w:ascii="Times New Roman" w:hAnsi="Times New Roman"/>
          <w:b/>
          <w:bCs/>
          <w:kern w:val="0"/>
          <w:lang w:val="en-US" w:eastAsia="zh-CN"/>
        </w:rPr>
        <w:t>2</w:t>
      </w:r>
      <w:r>
        <w:rPr>
          <w:rFonts w:hint="eastAsia" w:ascii="Times New Roman" w:hAnsi="Times New Roman"/>
          <w:b/>
          <w:bCs/>
          <w:kern w:val="0"/>
        </w:rPr>
        <w:t xml:space="preserve"> </w:t>
      </w:r>
      <w:r>
        <w:rPr>
          <w:rFonts w:hint="eastAsia" w:ascii="Times New Roman" w:hAnsi="Times New Roman"/>
          <w:b/>
          <w:bCs/>
          <w:kern w:val="0"/>
          <w:lang w:eastAsia="zh-CN"/>
        </w:rPr>
        <w:t>《</w:t>
      </w:r>
      <w:r>
        <w:rPr>
          <w:rFonts w:hint="eastAsia" w:ascii="Times New Roman" w:hAnsi="Times New Roman"/>
          <w:b/>
          <w:bCs/>
          <w:kern w:val="0"/>
          <w:lang w:val="en-US" w:bidi="zh-CN"/>
        </w:rPr>
        <w:t>大气污染物综合排放限值》(GB 16297-1996)</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8"/>
        <w:gridCol w:w="1496"/>
        <w:gridCol w:w="1387"/>
        <w:gridCol w:w="1387"/>
        <w:gridCol w:w="1226"/>
        <w:gridCol w:w="1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8" w:type="dxa"/>
            <w:vMerge w:val="restart"/>
            <w:vAlign w:val="center"/>
          </w:tcPr>
          <w:p>
            <w:pPr>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污染物名称</w:t>
            </w:r>
          </w:p>
        </w:tc>
        <w:tc>
          <w:tcPr>
            <w:tcW w:w="1496" w:type="dxa"/>
            <w:vMerge w:val="restart"/>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最高允许排放浓度（mg/m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c>
          <w:tcPr>
            <w:tcW w:w="2774" w:type="dxa"/>
            <w:gridSpan w:val="2"/>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最高允许排放速率（kg/h）</w:t>
            </w:r>
          </w:p>
        </w:tc>
        <w:tc>
          <w:tcPr>
            <w:tcW w:w="2779" w:type="dxa"/>
            <w:gridSpan w:val="2"/>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无组织排放浓度监控限值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8" w:type="dxa"/>
            <w:vMerge w:val="continue"/>
            <w:vAlign w:val="center"/>
          </w:tcPr>
          <w:p>
            <w:pPr>
              <w:jc w:val="center"/>
              <w:rPr>
                <w:rFonts w:hint="default" w:ascii="Times New Roman" w:hAnsi="Times New Roman" w:eastAsia="宋体" w:cs="Times New Roman"/>
                <w:b/>
                <w:bCs/>
                <w:lang w:eastAsia="zh-CN"/>
              </w:rPr>
            </w:pPr>
          </w:p>
        </w:tc>
        <w:tc>
          <w:tcPr>
            <w:tcW w:w="1496" w:type="dxa"/>
            <w:vMerge w:val="continue"/>
            <w:vAlign w:val="center"/>
          </w:tcPr>
          <w:p>
            <w:pPr>
              <w:jc w:val="center"/>
              <w:rPr>
                <w:rFonts w:hint="default" w:ascii="Times New Roman" w:hAnsi="Times New Roman" w:eastAsia="宋体" w:cs="Times New Roman"/>
                <w:b/>
                <w:bCs/>
                <w:lang w:eastAsia="zh-CN"/>
              </w:rPr>
            </w:pPr>
          </w:p>
        </w:tc>
        <w:tc>
          <w:tcPr>
            <w:tcW w:w="1387"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排气筒（m）</w:t>
            </w:r>
          </w:p>
        </w:tc>
        <w:tc>
          <w:tcPr>
            <w:tcW w:w="1387"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二级标准</w:t>
            </w:r>
          </w:p>
        </w:tc>
        <w:tc>
          <w:tcPr>
            <w:tcW w:w="1226"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监控位置</w:t>
            </w:r>
          </w:p>
        </w:tc>
        <w:tc>
          <w:tcPr>
            <w:tcW w:w="1553"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浓度（mg/m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78" w:type="dxa"/>
            <w:vAlign w:val="center"/>
          </w:tcPr>
          <w:p>
            <w:pPr>
              <w:jc w:val="center"/>
              <w:rPr>
                <w:rFonts w:hint="eastAsia" w:ascii="Times New Roman" w:hAnsiTheme="minorHAnsi" w:eastAsiaTheme="minorEastAsia" w:cstheme="minorBidi"/>
                <w:kern w:val="2"/>
                <w:sz w:val="21"/>
                <w:szCs w:val="22"/>
                <w:lang w:val="en-US" w:eastAsia="zh-CN" w:bidi="ar-SA"/>
              </w:rPr>
            </w:pPr>
            <w:r>
              <w:rPr>
                <w:rFonts w:hint="default" w:ascii="Times New Roman"/>
              </w:rPr>
              <w:t>颗粒物</w:t>
            </w:r>
          </w:p>
        </w:tc>
        <w:tc>
          <w:tcPr>
            <w:tcW w:w="1496"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w:t>
            </w:r>
          </w:p>
        </w:tc>
        <w:tc>
          <w:tcPr>
            <w:tcW w:w="1387"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w:t>
            </w:r>
          </w:p>
        </w:tc>
        <w:tc>
          <w:tcPr>
            <w:tcW w:w="1387"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w:t>
            </w:r>
          </w:p>
        </w:tc>
        <w:tc>
          <w:tcPr>
            <w:tcW w:w="1226"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default" w:ascii="Times New Roman"/>
                <w:lang w:eastAsia="zh-CN"/>
              </w:rPr>
              <w:t>周界外浓度最高点</w:t>
            </w:r>
          </w:p>
        </w:tc>
        <w:tc>
          <w:tcPr>
            <w:tcW w:w="1553"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default" w:ascii="Times New Roman"/>
                <w:lang w:val="en-US" w:eastAsia="zh-CN"/>
              </w:rPr>
              <w:t>1.0</w:t>
            </w:r>
          </w:p>
        </w:tc>
      </w:tr>
    </w:tbl>
    <w:p>
      <w:pPr>
        <w:keepNext w:val="0"/>
        <w:keepLines w:val="0"/>
        <w:pageBreakBefore w:val="0"/>
        <w:widowControl w:val="0"/>
        <w:kinsoku/>
        <w:wordWrap/>
        <w:overflowPunct/>
        <w:topLinePunct w:val="0"/>
        <w:autoSpaceDE/>
        <w:autoSpaceDN/>
        <w:bidi w:val="0"/>
        <w:adjustRightInd/>
        <w:snapToGrid/>
        <w:spacing w:line="160" w:lineRule="exact"/>
        <w:ind w:firstLine="496" w:firstLineChars="200"/>
        <w:jc w:val="distribute"/>
        <w:textAlignment w:val="auto"/>
        <w:rPr>
          <w:rFonts w:hint="eastAsia" w:ascii="Times New Roman" w:hAnsi="Times New Roman" w:eastAsia="宋体" w:cs="Times New Roman"/>
          <w:spacing w:val="4"/>
          <w:sz w:val="24"/>
          <w:szCs w:val="24"/>
          <w:lang w:val="en-US" w:bidi="zh-CN"/>
        </w:rPr>
      </w:pPr>
    </w:p>
    <w:p>
      <w:pPr>
        <w:spacing w:line="460" w:lineRule="exact"/>
        <w:jc w:val="center"/>
        <w:rPr>
          <w:rFonts w:hint="default" w:ascii="Times New Roman" w:hAnsi="Times New Roman" w:eastAsia="宋体"/>
          <w:b/>
          <w:bCs/>
          <w:kern w:val="0"/>
          <w:lang w:val="en-US" w:eastAsia="zh-CN" w:bidi="zh-CN"/>
        </w:rPr>
      </w:pPr>
      <w:r>
        <w:rPr>
          <w:rFonts w:hint="eastAsia" w:ascii="Times New Roman" w:hAnsi="Times New Roman"/>
          <w:b/>
          <w:bCs/>
          <w:kern w:val="0"/>
        </w:rPr>
        <w:t>表</w:t>
      </w:r>
      <w:r>
        <w:rPr>
          <w:rFonts w:ascii="Times New Roman" w:hAnsi="Times New Roman"/>
          <w:b/>
          <w:bCs/>
          <w:kern w:val="0"/>
        </w:rPr>
        <w:t>6.2</w:t>
      </w:r>
      <w:r>
        <w:rPr>
          <w:rFonts w:hint="eastAsia" w:ascii="Times New Roman" w:hAnsi="Times New Roman"/>
          <w:b/>
          <w:bCs/>
          <w:kern w:val="0"/>
        </w:rPr>
        <w:t>-</w:t>
      </w:r>
      <w:r>
        <w:rPr>
          <w:rFonts w:hint="eastAsia" w:ascii="Times New Roman" w:hAnsi="Times New Roman"/>
          <w:b/>
          <w:bCs/>
          <w:kern w:val="0"/>
          <w:lang w:val="en-US" w:eastAsia="zh-CN"/>
        </w:rPr>
        <w:t>3</w:t>
      </w:r>
      <w:r>
        <w:rPr>
          <w:rFonts w:hint="eastAsia" w:ascii="Times New Roman" w:hAnsi="Times New Roman"/>
          <w:b/>
          <w:bCs/>
          <w:kern w:val="0"/>
        </w:rPr>
        <w:t xml:space="preserve"> </w:t>
      </w:r>
      <w:r>
        <w:rPr>
          <w:rFonts w:hint="eastAsia" w:ascii="Times New Roman" w:hAnsi="Times New Roman" w:eastAsia="宋体" w:cs="Times New Roman"/>
          <w:b/>
          <w:bCs/>
          <w:szCs w:val="21"/>
        </w:rPr>
        <w:t>《工业涂装工序大气污染物排放标准》（DB33/2146-2018）</w:t>
      </w:r>
      <w:r>
        <w:rPr>
          <w:rFonts w:hint="eastAsia" w:ascii="Times New Roman" w:hAnsi="Times New Roman" w:eastAsia="宋体" w:cs="Times New Roman"/>
          <w:b/>
          <w:bCs/>
          <w:szCs w:val="21"/>
          <w:lang w:val="en-US" w:eastAsia="zh-CN"/>
        </w:rPr>
        <w:t>表6</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91"/>
        <w:gridCol w:w="3457"/>
        <w:gridCol w:w="27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91"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污染物名称</w:t>
            </w:r>
          </w:p>
        </w:tc>
        <w:tc>
          <w:tcPr>
            <w:tcW w:w="3457" w:type="dxa"/>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适用条件</w:t>
            </w:r>
          </w:p>
        </w:tc>
        <w:tc>
          <w:tcPr>
            <w:tcW w:w="2779"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浓度限值（mg/m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91" w:type="dxa"/>
            <w:vAlign w:val="center"/>
          </w:tcPr>
          <w:p>
            <w:pPr>
              <w:spacing w:line="240" w:lineRule="auto"/>
              <w:jc w:val="center"/>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非甲烷总烃</w:t>
            </w:r>
          </w:p>
        </w:tc>
        <w:tc>
          <w:tcPr>
            <w:tcW w:w="3457"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eastAsia" w:ascii="Times New Roman"/>
                <w:lang w:val="en-US" w:eastAsia="zh-CN"/>
              </w:rPr>
              <w:t>所有</w:t>
            </w:r>
          </w:p>
        </w:tc>
        <w:tc>
          <w:tcPr>
            <w:tcW w:w="2779"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eastAsia" w:ascii="Times New Roman"/>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91" w:type="dxa"/>
            <w:vAlign w:val="center"/>
          </w:tcPr>
          <w:p>
            <w:pPr>
              <w:adjustRightInd w:val="0"/>
              <w:snapToGrid w:val="0"/>
              <w:jc w:val="center"/>
              <w:rPr>
                <w:rFonts w:hint="eastAsia" w:ascii="Times New Roman" w:hAnsi="Times New Roman" w:eastAsia="宋体" w:cs="Times New Roman"/>
                <w:bCs/>
                <w:color w:val="auto"/>
                <w:kern w:val="2"/>
                <w:sz w:val="21"/>
                <w:szCs w:val="24"/>
                <w:lang w:val="en-US" w:eastAsia="zh-CN" w:bidi="ar-SA"/>
              </w:rPr>
            </w:pPr>
            <w:r>
              <w:rPr>
                <w:rFonts w:hint="default" w:ascii="Times New Roman" w:hAnsi="Times New Roman" w:eastAsia="宋体" w:cs="Times New Roman"/>
                <w:bCs/>
                <w:color w:val="auto"/>
                <w:lang w:eastAsia="zh-CN"/>
              </w:rPr>
              <w:t>苯系物</w:t>
            </w:r>
          </w:p>
        </w:tc>
        <w:tc>
          <w:tcPr>
            <w:tcW w:w="3457" w:type="dxa"/>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Cs w:val="21"/>
              </w:rPr>
              <w:t>所有</w:t>
            </w:r>
          </w:p>
        </w:tc>
        <w:tc>
          <w:tcPr>
            <w:tcW w:w="2779" w:type="dxa"/>
            <w:vAlign w:val="center"/>
          </w:tcPr>
          <w:p>
            <w:pPr>
              <w:widowControl/>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91" w:type="dxa"/>
            <w:vAlign w:val="center"/>
          </w:tcPr>
          <w:p>
            <w:pPr>
              <w:adjustRightInd w:val="0"/>
              <w:snapToGrid w:val="0"/>
              <w:jc w:val="center"/>
              <w:rPr>
                <w:rFonts w:hint="eastAsia" w:ascii="Times New Roman" w:hAnsi="Times New Roman" w:eastAsia="宋体" w:cs="Times New Roman"/>
                <w:bCs/>
                <w:color w:val="auto"/>
                <w:kern w:val="2"/>
                <w:sz w:val="21"/>
                <w:szCs w:val="22"/>
                <w:lang w:val="en-US" w:eastAsia="zh-CN" w:bidi="ar-SA"/>
              </w:rPr>
            </w:pPr>
            <w:r>
              <w:rPr>
                <w:rFonts w:hint="default" w:ascii="Times New Roman" w:hAnsi="Times New Roman" w:eastAsia="宋体" w:cs="Times New Roman"/>
                <w:bCs/>
                <w:color w:val="auto"/>
              </w:rPr>
              <w:t>乙酸</w:t>
            </w:r>
            <w:r>
              <w:rPr>
                <w:rFonts w:hint="default" w:ascii="Times New Roman" w:hAnsi="Times New Roman" w:eastAsia="宋体" w:cs="Times New Roman"/>
                <w:bCs/>
                <w:color w:val="auto"/>
                <w:lang w:val="en-US" w:eastAsia="zh-CN"/>
              </w:rPr>
              <w:t>丁</w:t>
            </w:r>
            <w:r>
              <w:rPr>
                <w:rFonts w:hint="default" w:ascii="Times New Roman" w:hAnsi="Times New Roman" w:eastAsia="宋体" w:cs="Times New Roman"/>
                <w:bCs/>
                <w:color w:val="auto"/>
              </w:rPr>
              <w:t>酯</w:t>
            </w:r>
          </w:p>
        </w:tc>
        <w:tc>
          <w:tcPr>
            <w:tcW w:w="3457" w:type="dxa"/>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rPr>
              <w:t>涉乙酸</w:t>
            </w:r>
            <w:r>
              <w:rPr>
                <w:rFonts w:hint="default" w:ascii="Times New Roman" w:hAnsi="Times New Roman" w:eastAsia="宋体" w:cs="Times New Roman"/>
                <w:bCs/>
                <w:color w:val="auto"/>
                <w:lang w:val="en-US" w:eastAsia="zh-CN"/>
              </w:rPr>
              <w:t>丁</w:t>
            </w:r>
            <w:r>
              <w:rPr>
                <w:rFonts w:hint="default" w:ascii="Times New Roman" w:hAnsi="Times New Roman" w:eastAsia="宋体" w:cs="Times New Roman"/>
                <w:bCs/>
                <w:color w:val="auto"/>
              </w:rPr>
              <w:t>酯</w:t>
            </w:r>
          </w:p>
        </w:tc>
        <w:tc>
          <w:tcPr>
            <w:tcW w:w="2779" w:type="dxa"/>
            <w:vAlign w:val="center"/>
          </w:tcPr>
          <w:p>
            <w:pPr>
              <w:widowControl/>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91" w:type="dxa"/>
            <w:vAlign w:val="center"/>
          </w:tcPr>
          <w:p>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臭气浓度</w:t>
            </w:r>
          </w:p>
        </w:tc>
        <w:tc>
          <w:tcPr>
            <w:tcW w:w="3457" w:type="dxa"/>
            <w:vAlign w:val="center"/>
          </w:tcPr>
          <w:p>
            <w:pPr>
              <w:jc w:val="center"/>
              <w:rPr>
                <w:rFonts w:hint="default" w:ascii="Times New Roman"/>
                <w:lang w:val="en-US" w:eastAsia="zh-CN"/>
              </w:rPr>
            </w:pPr>
            <w:r>
              <w:rPr>
                <w:rFonts w:hint="eastAsia" w:ascii="Times New Roman"/>
                <w:lang w:val="en-US" w:eastAsia="zh-CN"/>
              </w:rPr>
              <w:t>所有</w:t>
            </w:r>
          </w:p>
        </w:tc>
        <w:tc>
          <w:tcPr>
            <w:tcW w:w="2779" w:type="dxa"/>
            <w:vAlign w:val="center"/>
          </w:tcPr>
          <w:p>
            <w:pPr>
              <w:jc w:val="center"/>
              <w:rPr>
                <w:rFonts w:hint="default" w:ascii="Times New Roman"/>
                <w:lang w:val="en-US" w:eastAsia="zh-CN"/>
              </w:rPr>
            </w:pPr>
            <w:r>
              <w:rPr>
                <w:rFonts w:hint="eastAsia" w:ascii="Times New Roman"/>
                <w:lang w:val="en-US" w:eastAsia="zh-CN"/>
              </w:rPr>
              <w:t>20.0（无量纲）</w:t>
            </w:r>
          </w:p>
        </w:tc>
      </w:tr>
    </w:tbl>
    <w:p>
      <w:pPr>
        <w:keepNext w:val="0"/>
        <w:keepLines w:val="0"/>
        <w:pageBreakBefore w:val="0"/>
        <w:widowControl w:val="0"/>
        <w:kinsoku/>
        <w:wordWrap/>
        <w:overflowPunct/>
        <w:topLinePunct w:val="0"/>
        <w:autoSpaceDE/>
        <w:autoSpaceDN/>
        <w:bidi w:val="0"/>
        <w:adjustRightInd/>
        <w:snapToGrid/>
        <w:spacing w:line="160" w:lineRule="exact"/>
        <w:ind w:firstLine="496" w:firstLineChars="200"/>
        <w:jc w:val="distribute"/>
        <w:textAlignment w:val="auto"/>
        <w:rPr>
          <w:rFonts w:hint="eastAsia" w:ascii="Times New Roman" w:hAnsi="Times New Roman" w:eastAsia="宋体" w:cs="Times New Roman"/>
          <w:spacing w:val="4"/>
          <w:sz w:val="24"/>
          <w:szCs w:val="24"/>
          <w:lang w:val="en-US" w:bidi="zh-CN"/>
        </w:rPr>
      </w:pPr>
    </w:p>
    <w:p>
      <w:pPr>
        <w:spacing w:line="360" w:lineRule="auto"/>
        <w:ind w:firstLine="496" w:firstLineChars="200"/>
        <w:rPr>
          <w:rFonts w:hint="eastAsia" w:ascii="Times New Roman" w:hAnsi="Times New Roman" w:eastAsia="宋体" w:cs="Times New Roman"/>
          <w:spacing w:val="4"/>
          <w:sz w:val="24"/>
          <w:szCs w:val="24"/>
          <w:lang w:val="en-US" w:bidi="zh-CN"/>
        </w:rPr>
      </w:pPr>
      <w:r>
        <w:rPr>
          <w:rFonts w:hint="eastAsia" w:ascii="Times New Roman" w:hAnsi="Times New Roman" w:eastAsia="宋体" w:cs="Times New Roman"/>
          <w:spacing w:val="4"/>
          <w:sz w:val="24"/>
          <w:szCs w:val="24"/>
          <w:highlight w:val="none"/>
          <w:lang w:val="en-US" w:eastAsia="zh-CN" w:bidi="zh-CN"/>
        </w:rPr>
        <w:t>（3）</w:t>
      </w:r>
      <w:r>
        <w:rPr>
          <w:rFonts w:hint="eastAsia" w:ascii="Times New Roman" w:hAnsi="Times New Roman" w:eastAsia="宋体" w:cs="Times New Roman"/>
          <w:spacing w:val="4"/>
          <w:sz w:val="24"/>
          <w:szCs w:val="24"/>
          <w:lang w:val="en-US" w:bidi="zh-CN"/>
        </w:rPr>
        <w:t>烘干、固化工序中产生的天然气燃烧废气执行《浙江省工业炉窑大气污染物综合治理实施方案》（浙环函〔2019〕315号）中的相关要求，详见表6.2-4。</w:t>
      </w:r>
    </w:p>
    <w:p>
      <w:pPr>
        <w:spacing w:line="360" w:lineRule="auto"/>
        <w:jc w:val="center"/>
        <w:rPr>
          <w:rFonts w:hint="eastAsia" w:ascii="Times New Roman" w:hAnsi="Times New Roman"/>
          <w:b/>
          <w:bCs/>
          <w:kern w:val="0"/>
          <w:lang w:val="en-US"/>
        </w:rPr>
      </w:pPr>
      <w:r>
        <w:rPr>
          <w:rFonts w:hint="eastAsia" w:ascii="Times New Roman" w:hAnsi="Times New Roman"/>
          <w:b/>
          <w:bCs/>
          <w:kern w:val="0"/>
        </w:rPr>
        <w:t>表6.2-</w:t>
      </w:r>
      <w:r>
        <w:rPr>
          <w:rFonts w:hint="eastAsia" w:ascii="Times New Roman" w:hAnsi="Times New Roman"/>
          <w:b/>
          <w:bCs/>
          <w:kern w:val="0"/>
          <w:lang w:val="en-US" w:eastAsia="zh-CN"/>
        </w:rPr>
        <w:t>4</w:t>
      </w:r>
      <w:r>
        <w:rPr>
          <w:rFonts w:hint="eastAsia" w:ascii="Times New Roman" w:hAnsi="Times New Roman"/>
          <w:b/>
          <w:bCs/>
          <w:kern w:val="0"/>
        </w:rPr>
        <w:t xml:space="preserve"> </w:t>
      </w:r>
      <w:r>
        <w:rPr>
          <w:rFonts w:hint="eastAsia" w:ascii="Times New Roman" w:hAnsi="Times New Roman"/>
          <w:b/>
          <w:bCs/>
          <w:kern w:val="0"/>
          <w:lang w:eastAsia="zh-CN"/>
        </w:rPr>
        <w:t>《浙江省工业炉窑大气污染综合治理实施方案》（浙环函〔2019〕315 号）</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75"/>
        <w:gridCol w:w="2777"/>
        <w:gridCol w:w="27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75" w:type="dxa"/>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颗粒物（</w:t>
            </w:r>
            <w:r>
              <w:rPr>
                <w:rFonts w:hint="default" w:ascii="Times New Roman" w:hAnsi="Times New Roman" w:eastAsia="宋体" w:cs="Times New Roman"/>
                <w:b/>
                <w:bCs/>
                <w:lang w:eastAsia="zh-CN"/>
              </w:rPr>
              <w:t>mg/m</w:t>
            </w:r>
            <w:r>
              <w:rPr>
                <w:rFonts w:hint="default" w:ascii="Times New Roman" w:hAnsi="Times New Roman" w:eastAsia="宋体" w:cs="Times New Roman"/>
                <w:b/>
                <w:bCs/>
                <w:vertAlign w:val="superscript"/>
                <w:lang w:eastAsia="zh-CN"/>
              </w:rPr>
              <w:t>3</w:t>
            </w:r>
            <w:r>
              <w:rPr>
                <w:rFonts w:hint="eastAsia" w:ascii="Times New Roman" w:hAnsi="Times New Roman" w:eastAsia="宋体" w:cs="Times New Roman"/>
                <w:b/>
                <w:bCs/>
                <w:lang w:val="en-US" w:eastAsia="zh-CN"/>
              </w:rPr>
              <w:t>）</w:t>
            </w:r>
          </w:p>
        </w:tc>
        <w:tc>
          <w:tcPr>
            <w:tcW w:w="2777" w:type="dxa"/>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二氧化硫（</w:t>
            </w:r>
            <w:r>
              <w:rPr>
                <w:rFonts w:hint="default" w:ascii="Times New Roman" w:hAnsi="Times New Roman" w:eastAsia="宋体" w:cs="Times New Roman"/>
                <w:b/>
                <w:bCs/>
                <w:lang w:eastAsia="zh-CN"/>
              </w:rPr>
              <w:t>mg/m</w:t>
            </w:r>
            <w:r>
              <w:rPr>
                <w:rFonts w:hint="default" w:ascii="Times New Roman" w:hAnsi="Times New Roman" w:eastAsia="宋体" w:cs="Times New Roman"/>
                <w:b/>
                <w:bCs/>
                <w:vertAlign w:val="superscript"/>
                <w:lang w:eastAsia="zh-CN"/>
              </w:rPr>
              <w:t>3</w:t>
            </w:r>
            <w:r>
              <w:rPr>
                <w:rFonts w:hint="eastAsia" w:ascii="Times New Roman" w:hAnsi="Times New Roman" w:eastAsia="宋体" w:cs="Times New Roman"/>
                <w:b/>
                <w:bCs/>
                <w:lang w:val="en-US" w:eastAsia="zh-CN"/>
              </w:rPr>
              <w:t>）</w:t>
            </w:r>
          </w:p>
        </w:tc>
        <w:tc>
          <w:tcPr>
            <w:tcW w:w="2775" w:type="dxa"/>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氮氧化物（</w:t>
            </w:r>
            <w:r>
              <w:rPr>
                <w:rFonts w:hint="default" w:ascii="Times New Roman" w:hAnsi="Times New Roman" w:eastAsia="宋体" w:cs="Times New Roman"/>
                <w:b/>
                <w:bCs/>
                <w:lang w:eastAsia="zh-CN"/>
              </w:rPr>
              <w:t>mg/m</w:t>
            </w:r>
            <w:r>
              <w:rPr>
                <w:rFonts w:hint="default" w:ascii="Times New Roman" w:hAnsi="Times New Roman" w:eastAsia="宋体" w:cs="Times New Roman"/>
                <w:b/>
                <w:bCs/>
                <w:vertAlign w:val="superscript"/>
                <w:lang w:eastAsia="zh-CN"/>
              </w:rPr>
              <w:t>3</w:t>
            </w:r>
            <w:r>
              <w:rPr>
                <w:rFonts w:hint="eastAsia" w:ascii="Times New Roman" w:hAnsi="Times New Roman" w:eastAsia="宋体" w:cs="Times New Roman"/>
                <w:b/>
                <w:bCs/>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75"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30</w:t>
            </w:r>
          </w:p>
        </w:tc>
        <w:tc>
          <w:tcPr>
            <w:tcW w:w="2777" w:type="dxa"/>
            <w:vAlign w:val="center"/>
          </w:tcPr>
          <w:p>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200</w:t>
            </w:r>
          </w:p>
        </w:tc>
        <w:tc>
          <w:tcPr>
            <w:tcW w:w="2775" w:type="dxa"/>
            <w:vAlign w:val="center"/>
          </w:tcPr>
          <w:p>
            <w:pPr>
              <w:jc w:val="center"/>
              <w:rPr>
                <w:rFonts w:hint="default" w:ascii="Times New Roman" w:hAnsiTheme="minorHAnsi" w:eastAsiaTheme="minorEastAsia" w:cstheme="minorBidi"/>
                <w:kern w:val="2"/>
                <w:sz w:val="21"/>
                <w:szCs w:val="22"/>
                <w:lang w:val="en-US" w:eastAsia="zh-CN" w:bidi="ar-SA"/>
              </w:rPr>
            </w:pPr>
            <w:r>
              <w:rPr>
                <w:rFonts w:hint="eastAsia" w:ascii="Times New Roman" w:cstheme="minorBidi"/>
                <w:kern w:val="2"/>
                <w:sz w:val="21"/>
                <w:szCs w:val="22"/>
                <w:lang w:val="en-US" w:eastAsia="zh-CN" w:bidi="ar-SA"/>
              </w:rPr>
              <w:t>300</w:t>
            </w:r>
          </w:p>
        </w:tc>
      </w:tr>
    </w:tbl>
    <w:p>
      <w:pPr>
        <w:keepNext w:val="0"/>
        <w:keepLines w:val="0"/>
        <w:pageBreakBefore w:val="0"/>
        <w:widowControl w:val="0"/>
        <w:kinsoku/>
        <w:wordWrap/>
        <w:overflowPunct/>
        <w:topLinePunct w:val="0"/>
        <w:autoSpaceDE/>
        <w:autoSpaceDN/>
        <w:bidi w:val="0"/>
        <w:adjustRightInd/>
        <w:snapToGrid/>
        <w:spacing w:line="160" w:lineRule="exact"/>
        <w:ind w:firstLine="496" w:firstLineChars="200"/>
        <w:jc w:val="distribute"/>
        <w:textAlignment w:val="auto"/>
        <w:rPr>
          <w:rFonts w:hint="eastAsia" w:ascii="Times New Roman" w:hAnsi="Times New Roman" w:eastAsia="宋体" w:cs="Times New Roman"/>
          <w:spacing w:val="4"/>
          <w:sz w:val="24"/>
          <w:szCs w:val="24"/>
          <w:lang w:val="en-US" w:bidi="zh-CN"/>
        </w:rPr>
      </w:pPr>
    </w:p>
    <w:p>
      <w:pPr>
        <w:spacing w:line="360" w:lineRule="auto"/>
        <w:ind w:firstLine="496" w:firstLineChars="200"/>
        <w:rPr>
          <w:rFonts w:hint="eastAsia" w:ascii="Times New Roman" w:hAnsi="Times New Roman" w:eastAsia="宋体" w:cs="Times New Roman"/>
          <w:spacing w:val="4"/>
          <w:sz w:val="24"/>
          <w:szCs w:val="24"/>
          <w:highlight w:val="none"/>
          <w:lang w:val="en-US" w:bidi="zh-CN"/>
        </w:rPr>
      </w:pPr>
      <w:r>
        <w:rPr>
          <w:rFonts w:hint="eastAsia" w:ascii="Times New Roman" w:hAnsi="Times New Roman" w:eastAsia="宋体" w:cs="Times New Roman"/>
          <w:spacing w:val="4"/>
          <w:sz w:val="24"/>
          <w:szCs w:val="24"/>
          <w:highlight w:val="none"/>
          <w:lang w:val="en-US" w:eastAsia="zh-CN" w:bidi="zh-CN"/>
        </w:rPr>
        <w:t>（4）</w:t>
      </w:r>
      <w:r>
        <w:rPr>
          <w:rFonts w:hint="eastAsia" w:ascii="Times New Roman" w:hAnsi="Times New Roman" w:eastAsia="宋体" w:cs="Times New Roman"/>
          <w:spacing w:val="4"/>
          <w:sz w:val="24"/>
          <w:szCs w:val="24"/>
          <w:highlight w:val="none"/>
          <w:lang w:val="en-US" w:bidi="zh-CN"/>
        </w:rPr>
        <w:t>厂区内挥发性有机物（VOCs）排放执行《工业涂装工序大气污染物排放标准》（DB 33/2146-2018）表5中相关限值要求，详见表</w:t>
      </w:r>
      <w:r>
        <w:rPr>
          <w:rFonts w:hint="eastAsia" w:ascii="Times New Roman" w:hAnsi="Times New Roman" w:eastAsia="宋体" w:cs="Times New Roman"/>
          <w:spacing w:val="4"/>
          <w:sz w:val="24"/>
          <w:szCs w:val="24"/>
          <w:highlight w:val="none"/>
          <w:lang w:val="en-US" w:eastAsia="zh-CN" w:bidi="zh-CN"/>
        </w:rPr>
        <w:t>6.2-5。</w:t>
      </w:r>
    </w:p>
    <w:p>
      <w:pPr>
        <w:spacing w:line="360" w:lineRule="auto"/>
        <w:jc w:val="center"/>
        <w:rPr>
          <w:rFonts w:hint="eastAsia" w:ascii="Times New Roman" w:hAnsi="Times New Roman"/>
          <w:b/>
          <w:bCs/>
          <w:kern w:val="0"/>
          <w:lang w:val="en-US" w:bidi="zh-CN"/>
        </w:rPr>
      </w:pPr>
      <w:r>
        <w:rPr>
          <w:rFonts w:hint="eastAsia" w:ascii="Times New Roman" w:hAnsi="Times New Roman"/>
          <w:b/>
          <w:bCs/>
          <w:kern w:val="0"/>
        </w:rPr>
        <w:t>表</w:t>
      </w:r>
      <w:r>
        <w:rPr>
          <w:rFonts w:ascii="Times New Roman" w:hAnsi="Times New Roman"/>
          <w:b/>
          <w:bCs/>
          <w:kern w:val="0"/>
        </w:rPr>
        <w:t>6.2</w:t>
      </w:r>
      <w:r>
        <w:rPr>
          <w:rFonts w:hint="eastAsia" w:ascii="Times New Roman" w:hAnsi="Times New Roman"/>
          <w:b/>
          <w:bCs/>
          <w:kern w:val="0"/>
        </w:rPr>
        <w:t>-</w:t>
      </w:r>
      <w:r>
        <w:rPr>
          <w:rFonts w:hint="eastAsia" w:ascii="Times New Roman" w:hAnsi="Times New Roman"/>
          <w:b/>
          <w:bCs/>
          <w:kern w:val="0"/>
          <w:lang w:val="en-US" w:eastAsia="zh-CN"/>
        </w:rPr>
        <w:t>5</w:t>
      </w:r>
      <w:r>
        <w:rPr>
          <w:rFonts w:hint="eastAsia" w:ascii="Times New Roman" w:hAnsi="Times New Roman"/>
          <w:b/>
          <w:bCs/>
          <w:kern w:val="0"/>
        </w:rPr>
        <w:t xml:space="preserve"> </w:t>
      </w:r>
      <w:r>
        <w:rPr>
          <w:rFonts w:hint="eastAsia" w:ascii="Times New Roman" w:hAnsi="Times New Roman"/>
          <w:b/>
          <w:bCs/>
          <w:kern w:val="0"/>
          <w:lang w:eastAsia="zh-CN"/>
        </w:rPr>
        <w:t>《工业涂装工序大气污染物排放标准》（DB 33/2146-2018）表5</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8"/>
        <w:gridCol w:w="1885"/>
        <w:gridCol w:w="3033"/>
        <w:gridCol w:w="21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78" w:type="dxa"/>
            <w:vAlign w:val="center"/>
          </w:tcPr>
          <w:p>
            <w:pPr>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污染物项目</w:t>
            </w:r>
          </w:p>
        </w:tc>
        <w:tc>
          <w:tcPr>
            <w:tcW w:w="1885"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排放</w:t>
            </w:r>
            <w:r>
              <w:rPr>
                <w:rFonts w:hint="default" w:ascii="Times New Roman" w:hAnsi="Times New Roman" w:eastAsia="宋体" w:cs="Times New Roman"/>
                <w:b/>
                <w:bCs/>
                <w:lang w:eastAsia="zh-CN"/>
              </w:rPr>
              <w:t>限值（mg/m</w:t>
            </w:r>
            <w:r>
              <w:rPr>
                <w:rFonts w:hint="default" w:ascii="Times New Roman" w:hAnsi="Times New Roman" w:eastAsia="宋体" w:cs="Times New Roman"/>
                <w:b/>
                <w:bCs/>
                <w:vertAlign w:val="superscript"/>
                <w:lang w:eastAsia="zh-CN"/>
              </w:rPr>
              <w:t>3</w:t>
            </w:r>
            <w:r>
              <w:rPr>
                <w:rFonts w:hint="default" w:ascii="Times New Roman" w:hAnsi="Times New Roman" w:eastAsia="宋体" w:cs="Times New Roman"/>
                <w:b/>
                <w:bCs/>
                <w:lang w:eastAsia="zh-CN"/>
              </w:rPr>
              <w:t>）</w:t>
            </w:r>
          </w:p>
        </w:tc>
        <w:tc>
          <w:tcPr>
            <w:tcW w:w="3033"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限值含义</w:t>
            </w:r>
          </w:p>
        </w:tc>
        <w:tc>
          <w:tcPr>
            <w:tcW w:w="2131" w:type="dxa"/>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无组织排放监控位置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8" w:type="dxa"/>
            <w:vMerge w:val="restart"/>
            <w:vAlign w:val="center"/>
          </w:tcPr>
          <w:p>
            <w:pPr>
              <w:jc w:val="center"/>
              <w:rPr>
                <w:rFonts w:hint="eastAsia" w:ascii="Times New Roman" w:hAnsiTheme="minorHAnsi" w:eastAsiaTheme="minorEastAsia" w:cstheme="minorBidi"/>
                <w:kern w:val="2"/>
                <w:sz w:val="21"/>
                <w:szCs w:val="22"/>
                <w:lang w:val="en-US" w:eastAsia="zh-CN" w:bidi="ar-SA"/>
              </w:rPr>
            </w:pPr>
            <w:r>
              <w:rPr>
                <w:rFonts w:hint="eastAsia" w:ascii="Times New Roman"/>
                <w:lang w:val="en-US" w:eastAsia="zh-CN"/>
              </w:rPr>
              <w:t>非甲烷总烃</w:t>
            </w:r>
          </w:p>
        </w:tc>
        <w:tc>
          <w:tcPr>
            <w:tcW w:w="1885" w:type="dxa"/>
            <w:vAlign w:val="center"/>
          </w:tcPr>
          <w:p>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w:t>
            </w:r>
          </w:p>
        </w:tc>
        <w:tc>
          <w:tcPr>
            <w:tcW w:w="3033" w:type="dxa"/>
            <w:vAlign w:val="center"/>
          </w:tcPr>
          <w:p>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监控点处1小时平均浓度限值</w:t>
            </w:r>
          </w:p>
        </w:tc>
        <w:tc>
          <w:tcPr>
            <w:tcW w:w="2131" w:type="dxa"/>
            <w:vMerge w:val="restart"/>
            <w:vAlign w:val="center"/>
          </w:tcPr>
          <w:p>
            <w:pPr>
              <w:jc w:val="center"/>
              <w:rPr>
                <w:rFonts w:hint="default" w:ascii="Times New Roman" w:hAnsiTheme="minorHAnsi" w:eastAsiaTheme="minorEastAsia" w:cstheme="minorBidi"/>
                <w:kern w:val="2"/>
                <w:sz w:val="21"/>
                <w:szCs w:val="22"/>
                <w:lang w:val="en-US" w:eastAsia="zh-CN" w:bidi="ar-SA"/>
              </w:rPr>
            </w:pPr>
            <w:r>
              <w:rPr>
                <w:rFonts w:hint="default" w:ascii="Times New Roman" w:hAnsi="Times New Roman" w:cs="Times New Roman" w:eastAsiaTheme="minorEastAsia"/>
                <w:color w:val="auto"/>
                <w:sz w:val="21"/>
                <w:szCs w:val="21"/>
                <w:lang w:val="en-US" w:eastAsia="zh-CN"/>
              </w:rPr>
              <w:t>在厂房外设置监控点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8" w:type="dxa"/>
            <w:vMerge w:val="continue"/>
            <w:vAlign w:val="center"/>
          </w:tcPr>
          <w:p>
            <w:pPr>
              <w:jc w:val="center"/>
              <w:rPr>
                <w:rFonts w:hint="eastAsia" w:ascii="Times New Roman"/>
                <w:lang w:val="en-US" w:eastAsia="zh-CN"/>
              </w:rPr>
            </w:pPr>
          </w:p>
        </w:tc>
        <w:tc>
          <w:tcPr>
            <w:tcW w:w="1885" w:type="dxa"/>
            <w:vAlign w:val="center"/>
          </w:tcPr>
          <w:p>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50</w:t>
            </w:r>
          </w:p>
        </w:tc>
        <w:tc>
          <w:tcPr>
            <w:tcW w:w="3033" w:type="dxa"/>
            <w:vAlign w:val="center"/>
          </w:tcPr>
          <w:p>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 xml:space="preserve">监控点处任意一次浓度值 </w:t>
            </w:r>
          </w:p>
        </w:tc>
        <w:tc>
          <w:tcPr>
            <w:tcW w:w="2131" w:type="dxa"/>
            <w:vMerge w:val="continue"/>
            <w:vAlign w:val="center"/>
          </w:tcPr>
          <w:p>
            <w:pPr>
              <w:jc w:val="center"/>
              <w:rPr>
                <w:rFonts w:hint="default" w:ascii="Times New Roman"/>
                <w:lang w:val="en-US" w:eastAsia="zh-CN"/>
              </w:rPr>
            </w:pPr>
          </w:p>
        </w:tc>
      </w:tr>
    </w:tbl>
    <w:p>
      <w:pPr>
        <w:pStyle w:val="5"/>
        <w:rPr>
          <w:rFonts w:eastAsia="宋体"/>
        </w:rPr>
      </w:pPr>
      <w:bookmarkStart w:id="69" w:name="_Toc19525"/>
      <w:r>
        <w:rPr>
          <w:rFonts w:hint="eastAsia" w:eastAsia="宋体"/>
        </w:rPr>
        <w:t>6</w:t>
      </w:r>
      <w:r>
        <w:rPr>
          <w:rFonts w:eastAsia="宋体"/>
        </w:rPr>
        <w:t>.</w:t>
      </w:r>
      <w:r>
        <w:rPr>
          <w:rFonts w:hint="eastAsia" w:eastAsia="宋体"/>
        </w:rPr>
        <w:t>3噪声验收执行标准</w:t>
      </w:r>
      <w:bookmarkEnd w:id="69"/>
    </w:p>
    <w:p>
      <w:pPr>
        <w:pStyle w:val="60"/>
        <w:snapToGrid w:val="0"/>
        <w:spacing w:line="360" w:lineRule="auto"/>
        <w:ind w:firstLine="480"/>
        <w:rPr>
          <w:sz w:val="18"/>
        </w:rPr>
      </w:pPr>
      <w:r>
        <w:rPr>
          <w:rFonts w:hint="eastAsia"/>
          <w:sz w:val="24"/>
          <w:lang w:bidi="zh-CN"/>
        </w:rPr>
        <w:t>项目厂界噪声排放执行《工业企业厂界环境噪声排放标准》（</w:t>
      </w:r>
      <w:r>
        <w:rPr>
          <w:sz w:val="24"/>
          <w:lang w:bidi="zh-CN"/>
        </w:rPr>
        <w:t>GB</w:t>
      </w:r>
      <w:r>
        <w:rPr>
          <w:rFonts w:hint="eastAsia"/>
          <w:sz w:val="24"/>
          <w:lang w:val="en-US" w:bidi="zh-CN"/>
        </w:rPr>
        <w:t xml:space="preserve"> </w:t>
      </w:r>
      <w:r>
        <w:rPr>
          <w:sz w:val="24"/>
          <w:lang w:bidi="zh-CN"/>
        </w:rPr>
        <w:t>12348-2008</w:t>
      </w:r>
      <w:r>
        <w:rPr>
          <w:rFonts w:hint="eastAsia"/>
          <w:sz w:val="24"/>
          <w:lang w:bidi="zh-CN"/>
        </w:rPr>
        <w:t>）中3类标准，</w:t>
      </w:r>
      <w:r>
        <w:rPr>
          <w:rFonts w:hint="eastAsia"/>
          <w:sz w:val="24"/>
          <w:szCs w:val="24"/>
        </w:rPr>
        <w:t>见表6.3-1</w:t>
      </w:r>
      <w:r>
        <w:rPr>
          <w:rFonts w:hint="eastAsia"/>
          <w:sz w:val="18"/>
        </w:rPr>
        <w:t>。</w:t>
      </w:r>
    </w:p>
    <w:p>
      <w:pPr>
        <w:keepNext w:val="0"/>
        <w:keepLines w:val="0"/>
        <w:pageBreakBefore w:val="0"/>
        <w:widowControl/>
        <w:kinsoku/>
        <w:wordWrap/>
        <w:overflowPunct/>
        <w:topLinePunct w:val="0"/>
        <w:autoSpaceDE/>
        <w:autoSpaceDN/>
        <w:bidi w:val="0"/>
        <w:adjustRightInd w:val="0"/>
        <w:snapToGrid w:val="0"/>
        <w:spacing w:line="336" w:lineRule="auto"/>
        <w:ind w:firstLine="422" w:firstLineChars="200"/>
        <w:jc w:val="center"/>
        <w:textAlignment w:val="auto"/>
        <w:rPr>
          <w:sz w:val="24"/>
          <w:lang w:bidi="zh-CN"/>
        </w:rPr>
      </w:pPr>
      <w:r>
        <w:rPr>
          <w:rFonts w:hint="eastAsia" w:ascii="Times New Roman" w:hAnsi="Times New Roman"/>
          <w:b/>
          <w:bCs/>
          <w:szCs w:val="21"/>
        </w:rPr>
        <w:t>表 6.3-</w:t>
      </w:r>
      <w:r>
        <w:rPr>
          <w:rFonts w:ascii="Times New Roman" w:hAnsi="Times New Roman"/>
          <w:b/>
          <w:bCs/>
          <w:szCs w:val="21"/>
        </w:rPr>
        <w:t>1</w:t>
      </w:r>
      <w:r>
        <w:rPr>
          <w:rFonts w:hint="eastAsia" w:ascii="Times New Roman" w:hAnsi="Times New Roman"/>
          <w:b/>
          <w:bCs/>
          <w:szCs w:val="21"/>
        </w:rPr>
        <w:t xml:space="preserve"> </w:t>
      </w:r>
      <w:r>
        <w:rPr>
          <w:rFonts w:hint="eastAsia"/>
          <w:b/>
          <w:bCs/>
          <w:szCs w:val="21"/>
        </w:rPr>
        <w:t>工业企业厂界环境噪声排放标准</w:t>
      </w:r>
    </w:p>
    <w:tbl>
      <w:tblPr>
        <w:tblStyle w:val="99"/>
        <w:tblW w:w="467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115" w:type="dxa"/>
          <w:bottom w:w="0" w:type="dxa"/>
          <w:right w:w="46" w:type="dxa"/>
        </w:tblCellMar>
      </w:tblPr>
      <w:tblGrid>
        <w:gridCol w:w="1553"/>
        <w:gridCol w:w="2038"/>
        <w:gridCol w:w="2160"/>
        <w:gridCol w:w="21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85" w:type="dxa"/>
            <w:left w:w="115" w:type="dxa"/>
            <w:bottom w:w="0" w:type="dxa"/>
            <w:right w:w="46" w:type="dxa"/>
          </w:tblCellMar>
        </w:tblPrEx>
        <w:trPr>
          <w:trHeight w:val="255" w:hRule="atLeast"/>
          <w:jc w:val="center"/>
        </w:trPr>
        <w:tc>
          <w:tcPr>
            <w:tcW w:w="1553" w:type="dxa"/>
            <w:vMerge w:val="restart"/>
            <w:tcBorders>
              <w:tl2br w:val="nil"/>
              <w:tr2bl w:val="nil"/>
            </w:tcBorders>
            <w:vAlign w:val="center"/>
          </w:tcPr>
          <w:p>
            <w:pPr>
              <w:spacing w:line="259" w:lineRule="auto"/>
              <w:ind w:right="69"/>
              <w:jc w:val="center"/>
              <w:rPr>
                <w:rFonts w:ascii="Times New Roman" w:hAnsi="Times New Roman"/>
                <w:b/>
                <w:bCs/>
              </w:rPr>
            </w:pPr>
            <w:r>
              <w:rPr>
                <w:rFonts w:ascii="Times New Roman" w:hAnsi="Times New Roman"/>
                <w:b/>
                <w:bCs/>
              </w:rPr>
              <w:t>位置</w:t>
            </w:r>
          </w:p>
        </w:tc>
        <w:tc>
          <w:tcPr>
            <w:tcW w:w="2038" w:type="dxa"/>
            <w:vMerge w:val="restart"/>
            <w:tcBorders>
              <w:tl2br w:val="nil"/>
              <w:tr2bl w:val="nil"/>
            </w:tcBorders>
            <w:vAlign w:val="center"/>
          </w:tcPr>
          <w:p>
            <w:pPr>
              <w:spacing w:line="259" w:lineRule="auto"/>
              <w:ind w:right="69"/>
              <w:jc w:val="center"/>
              <w:rPr>
                <w:rFonts w:ascii="Times New Roman" w:hAnsi="Times New Roman"/>
                <w:b/>
                <w:bCs/>
              </w:rPr>
            </w:pPr>
            <w:r>
              <w:rPr>
                <w:rFonts w:ascii="Times New Roman" w:hAnsi="Times New Roman"/>
                <w:b/>
                <w:bCs/>
              </w:rPr>
              <w:t>采用标准</w:t>
            </w:r>
          </w:p>
        </w:tc>
        <w:tc>
          <w:tcPr>
            <w:tcW w:w="4322" w:type="dxa"/>
            <w:gridSpan w:val="2"/>
            <w:tcBorders>
              <w:tl2br w:val="nil"/>
              <w:tr2bl w:val="nil"/>
            </w:tcBorders>
            <w:vAlign w:val="center"/>
          </w:tcPr>
          <w:p>
            <w:pPr>
              <w:spacing w:line="259" w:lineRule="auto"/>
              <w:ind w:right="69"/>
              <w:jc w:val="center"/>
              <w:rPr>
                <w:rFonts w:ascii="Times New Roman" w:hAnsi="Times New Roman"/>
                <w:b/>
                <w:bCs/>
              </w:rPr>
            </w:pPr>
            <w:r>
              <w:rPr>
                <w:rFonts w:ascii="Times New Roman" w:hAnsi="Times New Roman"/>
                <w:b/>
                <w:bCs/>
              </w:rPr>
              <w:t>标准值</w:t>
            </w:r>
            <w:r>
              <w:rPr>
                <w:rFonts w:hint="eastAsia" w:ascii="Times New Roman" w:hAnsi="Times New Roman"/>
                <w:b/>
                <w:bCs/>
              </w:rPr>
              <w:t>[</w:t>
            </w:r>
            <w:r>
              <w:rPr>
                <w:rFonts w:ascii="Times New Roman" w:hAnsi="Times New Roman" w:eastAsia="Times New Roman" w:cs="Times New Roman"/>
                <w:b/>
                <w:bCs/>
              </w:rPr>
              <w:t>dB</w:t>
            </w:r>
            <w:r>
              <w:rPr>
                <w:rFonts w:ascii="Times New Roman" w:hAnsi="Times New Roman"/>
                <w:b/>
                <w:bCs/>
              </w:rPr>
              <w:t>（</w:t>
            </w:r>
            <w:r>
              <w:rPr>
                <w:rFonts w:ascii="Times New Roman" w:hAnsi="Times New Roman" w:eastAsia="Times New Roman" w:cs="Times New Roman"/>
                <w:b/>
                <w:bCs/>
              </w:rPr>
              <w:t>A</w:t>
            </w:r>
            <w:r>
              <w:rPr>
                <w:rFonts w:ascii="Times New Roman" w:hAnsi="Times New Roman"/>
                <w:b/>
                <w:bCs/>
              </w:rPr>
              <w:t>）</w:t>
            </w:r>
            <w:r>
              <w:rPr>
                <w:rFonts w:hint="eastAsia" w:ascii="Times New Roman" w:hAnsi="Times New Roman"/>
                <w:b/>
                <w:bCs/>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85" w:type="dxa"/>
            <w:left w:w="115" w:type="dxa"/>
            <w:bottom w:w="0" w:type="dxa"/>
            <w:right w:w="46" w:type="dxa"/>
          </w:tblCellMar>
        </w:tblPrEx>
        <w:trPr>
          <w:trHeight w:val="283" w:hRule="atLeast"/>
          <w:jc w:val="center"/>
        </w:trPr>
        <w:tc>
          <w:tcPr>
            <w:tcW w:w="1553" w:type="dxa"/>
            <w:vMerge w:val="continue"/>
            <w:tcBorders>
              <w:tl2br w:val="nil"/>
              <w:tr2bl w:val="nil"/>
            </w:tcBorders>
            <w:vAlign w:val="center"/>
          </w:tcPr>
          <w:p>
            <w:pPr>
              <w:spacing w:line="259" w:lineRule="auto"/>
              <w:ind w:right="69"/>
              <w:jc w:val="center"/>
              <w:rPr>
                <w:rFonts w:ascii="Times New Roman" w:hAnsi="Times New Roman"/>
                <w:b/>
                <w:bCs/>
              </w:rPr>
            </w:pPr>
          </w:p>
        </w:tc>
        <w:tc>
          <w:tcPr>
            <w:tcW w:w="2038" w:type="dxa"/>
            <w:vMerge w:val="continue"/>
            <w:tcBorders>
              <w:tl2br w:val="nil"/>
              <w:tr2bl w:val="nil"/>
            </w:tcBorders>
            <w:vAlign w:val="center"/>
          </w:tcPr>
          <w:p>
            <w:pPr>
              <w:spacing w:after="160" w:line="259" w:lineRule="auto"/>
              <w:rPr>
                <w:rFonts w:ascii="Times New Roman" w:hAnsi="Times New Roman"/>
                <w:b/>
                <w:bCs/>
              </w:rPr>
            </w:pPr>
          </w:p>
        </w:tc>
        <w:tc>
          <w:tcPr>
            <w:tcW w:w="2160" w:type="dxa"/>
            <w:tcBorders>
              <w:tl2br w:val="nil"/>
              <w:tr2bl w:val="nil"/>
            </w:tcBorders>
            <w:vAlign w:val="center"/>
          </w:tcPr>
          <w:p>
            <w:pPr>
              <w:spacing w:line="259" w:lineRule="auto"/>
              <w:ind w:right="71"/>
              <w:jc w:val="center"/>
              <w:rPr>
                <w:rFonts w:ascii="Times New Roman" w:hAnsi="Times New Roman"/>
                <w:b/>
                <w:bCs/>
              </w:rPr>
            </w:pPr>
            <w:r>
              <w:rPr>
                <w:rFonts w:ascii="Times New Roman" w:hAnsi="Times New Roman"/>
                <w:b/>
                <w:bCs/>
              </w:rPr>
              <w:t>昼间</w:t>
            </w:r>
          </w:p>
        </w:tc>
        <w:tc>
          <w:tcPr>
            <w:tcW w:w="2162" w:type="dxa"/>
            <w:tcBorders>
              <w:tl2br w:val="nil"/>
              <w:tr2bl w:val="nil"/>
            </w:tcBorders>
            <w:vAlign w:val="center"/>
          </w:tcPr>
          <w:p>
            <w:pPr>
              <w:spacing w:line="259" w:lineRule="auto"/>
              <w:ind w:right="68"/>
              <w:jc w:val="center"/>
              <w:rPr>
                <w:rFonts w:ascii="Times New Roman" w:hAnsi="Times New Roman"/>
                <w:b/>
                <w:bCs/>
              </w:rPr>
            </w:pPr>
            <w:r>
              <w:rPr>
                <w:rFonts w:ascii="Times New Roman" w:hAnsi="Times New Roman"/>
                <w:b/>
                <w:bCs/>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85" w:type="dxa"/>
            <w:left w:w="115" w:type="dxa"/>
            <w:bottom w:w="0" w:type="dxa"/>
            <w:right w:w="46" w:type="dxa"/>
          </w:tblCellMar>
        </w:tblPrEx>
        <w:trPr>
          <w:trHeight w:val="454" w:hRule="atLeast"/>
          <w:jc w:val="center"/>
        </w:trPr>
        <w:tc>
          <w:tcPr>
            <w:tcW w:w="1553" w:type="dxa"/>
            <w:tcBorders>
              <w:tl2br w:val="nil"/>
              <w:tr2bl w:val="nil"/>
            </w:tcBorders>
            <w:vAlign w:val="center"/>
          </w:tcPr>
          <w:p>
            <w:pPr>
              <w:spacing w:line="259" w:lineRule="auto"/>
              <w:ind w:right="69"/>
              <w:jc w:val="center"/>
              <w:rPr>
                <w:rFonts w:hint="eastAsia" w:ascii="Times New Roman" w:hAnsi="Times New Roman" w:eastAsiaTheme="minorEastAsia"/>
                <w:lang w:val="en-US" w:eastAsia="zh-CN"/>
              </w:rPr>
            </w:pPr>
            <w:r>
              <w:rPr>
                <w:rFonts w:ascii="Times New Roman" w:hAnsi="Times New Roman"/>
              </w:rPr>
              <w:t>厂界</w:t>
            </w:r>
            <w:r>
              <w:rPr>
                <w:rFonts w:hint="eastAsia" w:ascii="Times New Roman" w:hAnsi="Times New Roman"/>
                <w:lang w:val="en-US" w:eastAsia="zh-CN"/>
              </w:rPr>
              <w:t>四周</w:t>
            </w:r>
          </w:p>
        </w:tc>
        <w:tc>
          <w:tcPr>
            <w:tcW w:w="2038" w:type="dxa"/>
            <w:tcBorders>
              <w:tl2br w:val="nil"/>
              <w:tr2bl w:val="nil"/>
            </w:tcBorders>
            <w:vAlign w:val="center"/>
          </w:tcPr>
          <w:p>
            <w:pPr>
              <w:spacing w:line="259" w:lineRule="auto"/>
              <w:ind w:right="72" w:rightChars="0"/>
              <w:jc w:val="center"/>
              <w:rPr>
                <w:rFonts w:ascii="Times New Roman" w:hAnsi="Times New Roman" w:eastAsiaTheme="minorEastAsia" w:cstheme="minorBidi"/>
                <w:kern w:val="2"/>
                <w:sz w:val="21"/>
                <w:szCs w:val="22"/>
                <w:lang w:val="en-US" w:eastAsia="zh-CN" w:bidi="ar-SA"/>
              </w:rPr>
            </w:pPr>
            <w:r>
              <w:rPr>
                <w:rFonts w:ascii="Times New Roman" w:hAnsi="Times New Roman" w:eastAsia="Times New Roman" w:cs="Times New Roman"/>
              </w:rPr>
              <w:t>3</w:t>
            </w:r>
            <w:r>
              <w:rPr>
                <w:rFonts w:ascii="Times New Roman" w:hAnsi="Times New Roman"/>
              </w:rPr>
              <w:t>类</w:t>
            </w:r>
          </w:p>
        </w:tc>
        <w:tc>
          <w:tcPr>
            <w:tcW w:w="2160" w:type="dxa"/>
            <w:tcBorders>
              <w:tl2br w:val="nil"/>
              <w:tr2bl w:val="nil"/>
            </w:tcBorders>
            <w:vAlign w:val="center"/>
          </w:tcPr>
          <w:p>
            <w:pPr>
              <w:spacing w:line="259" w:lineRule="auto"/>
              <w:ind w:right="71" w:rightChars="0"/>
              <w:jc w:val="center"/>
              <w:rPr>
                <w:rFonts w:hint="default" w:ascii="Times New Roman" w:hAnsi="Times New Roman" w:eastAsiaTheme="minorEastAsia" w:cstheme="minorBidi"/>
                <w:kern w:val="2"/>
                <w:sz w:val="21"/>
                <w:szCs w:val="22"/>
                <w:lang w:val="en-US" w:eastAsia="zh-CN" w:bidi="ar-SA"/>
              </w:rPr>
            </w:pPr>
            <w:r>
              <w:rPr>
                <w:rFonts w:ascii="Times New Roman" w:hAnsi="Times New Roman" w:eastAsia="Times New Roman" w:cs="Times New Roman"/>
              </w:rPr>
              <w:t>65</w:t>
            </w:r>
          </w:p>
        </w:tc>
        <w:tc>
          <w:tcPr>
            <w:tcW w:w="2162" w:type="dxa"/>
            <w:tcBorders>
              <w:tl2br w:val="nil"/>
              <w:tr2bl w:val="nil"/>
            </w:tcBorders>
            <w:vAlign w:val="center"/>
          </w:tcPr>
          <w:p>
            <w:pPr>
              <w:spacing w:line="259" w:lineRule="auto"/>
              <w:ind w:right="73" w:rightChars="0"/>
              <w:jc w:val="center"/>
              <w:rPr>
                <w:rFonts w:hint="default" w:ascii="Times New Roman" w:hAnsi="Times New Roman" w:eastAsiaTheme="minorEastAsia" w:cstheme="minorBidi"/>
                <w:kern w:val="2"/>
                <w:sz w:val="21"/>
                <w:szCs w:val="22"/>
                <w:lang w:val="en-US" w:eastAsia="zh-CN" w:bidi="ar-SA"/>
              </w:rPr>
            </w:pPr>
            <w:r>
              <w:rPr>
                <w:rFonts w:ascii="Times New Roman" w:hAnsi="Times New Roman" w:eastAsia="Times New Roman" w:cs="Times New Roman"/>
              </w:rPr>
              <w:t>55</w:t>
            </w:r>
          </w:p>
        </w:tc>
      </w:tr>
    </w:tbl>
    <w:p>
      <w:pPr>
        <w:pStyle w:val="5"/>
        <w:rPr>
          <w:rFonts w:hint="eastAsia" w:eastAsia="宋体"/>
        </w:rPr>
      </w:pPr>
      <w:bookmarkStart w:id="70" w:name="_Toc19655"/>
      <w:r>
        <w:rPr>
          <w:rFonts w:hint="eastAsia" w:eastAsia="宋体"/>
        </w:rPr>
        <w:t>6.4固废验收执行标准</w:t>
      </w:r>
      <w:bookmarkEnd w:id="70"/>
    </w:p>
    <w:p>
      <w:pPr>
        <w:pStyle w:val="117"/>
        <w:spacing w:line="360" w:lineRule="auto"/>
        <w:ind w:firstLine="480"/>
        <w:rPr>
          <w:rFonts w:ascii="Times New Roman" w:hAnsi="Times New Roman" w:cs="Times New Roman"/>
          <w:lang w:bidi="zh-CN"/>
        </w:rPr>
      </w:pPr>
      <w:r>
        <w:rPr>
          <w:rFonts w:hint="eastAsia" w:ascii="Times New Roman" w:hAnsi="Times New Roman" w:cs="Times New Roman"/>
          <w:lang w:bidi="zh-CN"/>
        </w:rPr>
        <w:t>项目产生的固体废物的处理、处置均应满足《中华人民共和国固体废物污染环境防治法》中的有关规定要求。危险废物执行《危险废物贮存污染控制标准》(GB 18597-2023)、《危险废物识别标志设置技术规范》（HJ 1276-2022）、《环境保护图形标志—固体废物贮存（处置）场》（GB 15562.2-1995）及修改单，一般工业固体废物执行《一般工业固体废物贮存和填埋污染控制标准》(GB 18599-2020)中相关规定。生活垃圾处理参照执行《城市生活垃圾处理及污染防治技术政策》（建城[2000]120号）和《生活垃圾处理技术指南》（建城[2010]61号）以及国家、省市关于固体废物污染环境防治的法律法规。</w:t>
      </w:r>
    </w:p>
    <w:p>
      <w:pPr>
        <w:pStyle w:val="5"/>
        <w:rPr>
          <w:rFonts w:eastAsia="宋体"/>
        </w:rPr>
      </w:pPr>
      <w:bookmarkStart w:id="71" w:name="_Toc12225"/>
      <w:r>
        <w:rPr>
          <w:rFonts w:hint="eastAsia" w:eastAsia="宋体"/>
        </w:rPr>
        <w:t>6</w:t>
      </w:r>
      <w:r>
        <w:rPr>
          <w:rFonts w:eastAsia="宋体"/>
        </w:rPr>
        <w:t>.</w:t>
      </w:r>
      <w:r>
        <w:rPr>
          <w:rFonts w:hint="eastAsia" w:eastAsia="宋体"/>
        </w:rPr>
        <w:t>5主要污染物排放总量控制指标</w:t>
      </w:r>
      <w:bookmarkEnd w:id="71"/>
    </w:p>
    <w:p>
      <w:pPr>
        <w:pStyle w:val="60"/>
        <w:snapToGrid w:val="0"/>
        <w:spacing w:line="360" w:lineRule="auto"/>
        <w:ind w:firstLine="480"/>
        <w:rPr>
          <w:sz w:val="24"/>
          <w:szCs w:val="24"/>
          <w:lang w:bidi="en-US"/>
        </w:rPr>
      </w:pPr>
      <w:r>
        <w:rPr>
          <w:rFonts w:hint="eastAsia"/>
          <w:kern w:val="0"/>
          <w:sz w:val="24"/>
          <w:lang w:val="en-US" w:eastAsia="zh-CN"/>
        </w:rPr>
        <w:t>根据</w:t>
      </w:r>
      <w:r>
        <w:rPr>
          <w:rFonts w:hint="eastAsia"/>
          <w:kern w:val="0"/>
          <w:sz w:val="24"/>
          <w:lang w:eastAsia="zh-CN"/>
        </w:rPr>
        <w:t>《浙江历山红工贸有限公司年产8000樘非标门生产线技改项目环境影响报告表》及《关于浙江历山红工贸有限公司年产8000樘非标门生产线技改项目环境影响报告表的审查意见》（金环建永【2023】39）中</w:t>
      </w:r>
      <w:r>
        <w:rPr>
          <w:rFonts w:hint="eastAsia"/>
          <w:kern w:val="0"/>
          <w:sz w:val="24"/>
          <w:highlight w:val="none"/>
          <w:lang w:val="en-US" w:eastAsia="zh-CN"/>
        </w:rPr>
        <w:t>的相关要求，本</w:t>
      </w:r>
      <w:r>
        <w:rPr>
          <w:rFonts w:hint="eastAsia"/>
          <w:kern w:val="0"/>
          <w:sz w:val="24"/>
          <w:lang w:val="en-US" w:eastAsia="zh-CN"/>
        </w:rPr>
        <w:t>项目的主要污染物排放总量控制指标如下，</w:t>
      </w:r>
      <w:r>
        <w:rPr>
          <w:rFonts w:hint="eastAsia"/>
          <w:kern w:val="0"/>
          <w:sz w:val="24"/>
        </w:rPr>
        <w:t>详见</w:t>
      </w:r>
      <w:r>
        <w:rPr>
          <w:rFonts w:hint="eastAsia"/>
          <w:sz w:val="24"/>
          <w:szCs w:val="24"/>
        </w:rPr>
        <w:t>表6.5-1</w:t>
      </w:r>
      <w:r>
        <w:rPr>
          <w:rFonts w:hint="eastAsia"/>
          <w:sz w:val="24"/>
          <w:szCs w:val="24"/>
          <w:lang w:bidi="en-US"/>
        </w:rPr>
        <w:t>。</w:t>
      </w:r>
    </w:p>
    <w:p>
      <w:pPr>
        <w:keepNext w:val="0"/>
        <w:keepLines w:val="0"/>
        <w:pageBreakBefore w:val="0"/>
        <w:widowControl w:val="0"/>
        <w:kinsoku/>
        <w:wordWrap/>
        <w:overflowPunct/>
        <w:topLinePunct w:val="0"/>
        <w:autoSpaceDE/>
        <w:autoSpaceDN/>
        <w:bidi w:val="0"/>
        <w:adjustRightInd/>
        <w:snapToGrid/>
        <w:spacing w:before="65" w:beforeLines="20" w:after="4" w:line="260" w:lineRule="auto"/>
        <w:ind w:right="0"/>
        <w:jc w:val="center"/>
        <w:textAlignment w:val="auto"/>
        <w:rPr>
          <w:rFonts w:ascii="Times New Roman" w:hAnsi="Times New Roman" w:eastAsia="宋体" w:cs="Times New Roman"/>
          <w:b/>
        </w:rPr>
      </w:pPr>
      <w:r>
        <w:rPr>
          <w:rFonts w:ascii="Times New Roman" w:hAnsi="Times New Roman" w:eastAsia="宋体"/>
          <w:b/>
        </w:rPr>
        <w:t>表</w:t>
      </w:r>
      <w:r>
        <w:rPr>
          <w:rFonts w:hint="eastAsia" w:ascii="Times New Roman" w:hAnsi="Times New Roman" w:eastAsia="宋体"/>
          <w:b/>
        </w:rPr>
        <w:t>6.5</w:t>
      </w:r>
      <w:r>
        <w:rPr>
          <w:rFonts w:ascii="Times New Roman" w:hAnsi="Times New Roman" w:eastAsia="宋体" w:cs="Times New Roman"/>
          <w:b/>
        </w:rPr>
        <w:t xml:space="preserve">-1  </w:t>
      </w:r>
      <w:r>
        <w:rPr>
          <w:rFonts w:ascii="Times New Roman" w:hAnsi="Times New Roman" w:eastAsia="宋体"/>
          <w:b/>
        </w:rPr>
        <w:t>企业</w:t>
      </w:r>
      <w:r>
        <w:rPr>
          <w:rFonts w:hint="eastAsia" w:ascii="Times New Roman" w:hAnsi="Times New Roman" w:eastAsia="宋体"/>
          <w:b/>
        </w:rPr>
        <w:t>主要</w:t>
      </w:r>
      <w:r>
        <w:rPr>
          <w:rFonts w:ascii="Times New Roman" w:hAnsi="Times New Roman" w:eastAsia="宋体"/>
          <w:b/>
        </w:rPr>
        <w:t>污染物总量控制</w:t>
      </w:r>
      <w:r>
        <w:rPr>
          <w:rFonts w:hint="eastAsia" w:ascii="Times New Roman" w:hAnsi="Times New Roman" w:eastAsia="宋体"/>
          <w:b/>
        </w:rPr>
        <w:t>指标</w:t>
      </w:r>
    </w:p>
    <w:tbl>
      <w:tblPr>
        <w:tblStyle w:val="99"/>
        <w:tblW w:w="463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15" w:type="dxa"/>
          <w:bottom w:w="0" w:type="dxa"/>
          <w:right w:w="115" w:type="dxa"/>
        </w:tblCellMar>
      </w:tblPr>
      <w:tblGrid>
        <w:gridCol w:w="2030"/>
        <w:gridCol w:w="2816"/>
        <w:gridCol w:w="306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510" w:hRule="atLeast"/>
          <w:jc w:val="center"/>
        </w:trPr>
        <w:tc>
          <w:tcPr>
            <w:tcW w:w="2030" w:type="dxa"/>
            <w:vAlign w:val="center"/>
          </w:tcPr>
          <w:p>
            <w:pPr>
              <w:spacing w:line="259" w:lineRule="auto"/>
              <w:ind w:left="1"/>
              <w:jc w:val="center"/>
              <w:rPr>
                <w:rFonts w:ascii="Times New Roman" w:hAnsi="Times New Roman" w:eastAsia="宋体"/>
                <w:b/>
              </w:rPr>
            </w:pPr>
            <w:r>
              <w:rPr>
                <w:rFonts w:ascii="Times New Roman" w:hAnsi="Times New Roman" w:eastAsia="宋体"/>
                <w:b/>
              </w:rPr>
              <w:t>污染种类</w:t>
            </w:r>
            <w:r>
              <w:rPr>
                <w:rFonts w:ascii="Times New Roman" w:hAnsi="Times New Roman" w:eastAsia="宋体" w:cs="Times New Roman"/>
                <w:b/>
              </w:rPr>
              <w:t xml:space="preserve"> </w:t>
            </w:r>
          </w:p>
        </w:tc>
        <w:tc>
          <w:tcPr>
            <w:tcW w:w="2816" w:type="dxa"/>
            <w:vAlign w:val="center"/>
          </w:tcPr>
          <w:p>
            <w:pPr>
              <w:spacing w:line="259" w:lineRule="auto"/>
              <w:jc w:val="center"/>
              <w:rPr>
                <w:rFonts w:ascii="Times New Roman" w:hAnsi="Times New Roman" w:eastAsia="宋体"/>
                <w:b/>
              </w:rPr>
            </w:pPr>
            <w:r>
              <w:rPr>
                <w:rFonts w:ascii="Times New Roman" w:hAnsi="Times New Roman" w:eastAsia="宋体"/>
                <w:b/>
              </w:rPr>
              <w:t>污染物名称</w:t>
            </w:r>
            <w:r>
              <w:rPr>
                <w:rFonts w:ascii="Times New Roman" w:hAnsi="Times New Roman" w:eastAsia="宋体" w:cs="Times New Roman"/>
                <w:b/>
              </w:rPr>
              <w:t xml:space="preserve"> </w:t>
            </w:r>
          </w:p>
        </w:tc>
        <w:tc>
          <w:tcPr>
            <w:tcW w:w="3062" w:type="dxa"/>
            <w:vAlign w:val="center"/>
          </w:tcPr>
          <w:p>
            <w:pPr>
              <w:spacing w:line="259" w:lineRule="auto"/>
              <w:ind w:right="5"/>
              <w:jc w:val="center"/>
              <w:rPr>
                <w:rFonts w:ascii="Times New Roman" w:hAnsi="Times New Roman" w:eastAsia="宋体"/>
                <w:b/>
              </w:rPr>
            </w:pPr>
            <w:r>
              <w:rPr>
                <w:rFonts w:ascii="Times New Roman" w:hAnsi="Times New Roman" w:eastAsia="宋体"/>
                <w:b/>
              </w:rPr>
              <w:t>建设项目排放量</w:t>
            </w:r>
            <w:r>
              <w:rPr>
                <w:rFonts w:hint="eastAsia" w:ascii="Times New Roman" w:hAnsi="Times New Roman" w:eastAsia="宋体"/>
                <w:b/>
                <w:lang w:eastAsia="zh-CN"/>
              </w:rPr>
              <w:t>（</w:t>
            </w:r>
            <w:r>
              <w:rPr>
                <w:rFonts w:ascii="Times New Roman" w:hAnsi="Times New Roman" w:eastAsia="宋体" w:cs="Times New Roman"/>
                <w:b/>
              </w:rPr>
              <w:t>t/a</w:t>
            </w:r>
            <w:r>
              <w:rPr>
                <w:rFonts w:hint="eastAsia" w:ascii="Times New Roman" w:hAnsi="Times New Roman" w:eastAsia="宋体"/>
                <w:b/>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510" w:hRule="atLeast"/>
          <w:jc w:val="center"/>
        </w:trPr>
        <w:tc>
          <w:tcPr>
            <w:tcW w:w="2030" w:type="dxa"/>
            <w:vMerge w:val="restart"/>
            <w:vAlign w:val="center"/>
          </w:tcPr>
          <w:p>
            <w:pPr>
              <w:spacing w:line="259" w:lineRule="auto"/>
              <w:ind w:right="2"/>
              <w:jc w:val="center"/>
              <w:rPr>
                <w:rFonts w:ascii="Times New Roman" w:hAnsi="Times New Roman" w:eastAsia="宋体"/>
              </w:rPr>
            </w:pPr>
            <w:r>
              <w:rPr>
                <w:rFonts w:ascii="Times New Roman" w:hAnsi="Times New Roman" w:eastAsia="宋体"/>
              </w:rPr>
              <w:t>水污染物</w:t>
            </w:r>
          </w:p>
        </w:tc>
        <w:tc>
          <w:tcPr>
            <w:tcW w:w="2816" w:type="dxa"/>
            <w:vAlign w:val="center"/>
          </w:tcPr>
          <w:p>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CODcr</w:t>
            </w:r>
          </w:p>
        </w:tc>
        <w:tc>
          <w:tcPr>
            <w:tcW w:w="3062" w:type="dxa"/>
            <w:vAlign w:val="center"/>
          </w:tcPr>
          <w:p>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0.023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510" w:hRule="atLeast"/>
          <w:jc w:val="center"/>
        </w:trPr>
        <w:tc>
          <w:tcPr>
            <w:tcW w:w="2030" w:type="dxa"/>
            <w:vMerge w:val="continue"/>
            <w:vAlign w:val="center"/>
          </w:tcPr>
          <w:p>
            <w:pPr>
              <w:spacing w:line="259" w:lineRule="auto"/>
              <w:ind w:left="3"/>
              <w:jc w:val="center"/>
              <w:rPr>
                <w:rFonts w:ascii="Times New Roman" w:hAnsi="Times New Roman" w:eastAsia="宋体"/>
              </w:rPr>
            </w:pPr>
          </w:p>
        </w:tc>
        <w:tc>
          <w:tcPr>
            <w:tcW w:w="2816" w:type="dxa"/>
            <w:vAlign w:val="center"/>
          </w:tcPr>
          <w:p>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氨氮</w:t>
            </w:r>
          </w:p>
        </w:tc>
        <w:tc>
          <w:tcPr>
            <w:tcW w:w="3062" w:type="dxa"/>
            <w:vAlign w:val="center"/>
          </w:tcPr>
          <w:p>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0.002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510" w:hRule="atLeast"/>
          <w:jc w:val="center"/>
        </w:trPr>
        <w:tc>
          <w:tcPr>
            <w:tcW w:w="2030" w:type="dxa"/>
            <w:vMerge w:val="restart"/>
            <w:vAlign w:val="center"/>
          </w:tcPr>
          <w:p>
            <w:pPr>
              <w:spacing w:line="259" w:lineRule="auto"/>
              <w:ind w:left="3"/>
              <w:jc w:val="center"/>
              <w:rPr>
                <w:rFonts w:ascii="Times New Roman" w:hAnsi="Times New Roman" w:eastAsia="宋体"/>
              </w:rPr>
            </w:pPr>
            <w:r>
              <w:rPr>
                <w:rFonts w:hint="eastAsia" w:ascii="Times New Roman" w:hAnsi="Times New Roman" w:eastAsia="宋体"/>
                <w:lang w:val="en-US" w:eastAsia="zh-CN"/>
              </w:rPr>
              <w:t>大</w:t>
            </w:r>
            <w:r>
              <w:rPr>
                <w:rFonts w:hint="eastAsia" w:ascii="Times New Roman" w:hAnsi="Times New Roman" w:eastAsia="宋体"/>
              </w:rPr>
              <w:t>气污染物</w:t>
            </w:r>
          </w:p>
        </w:tc>
        <w:tc>
          <w:tcPr>
            <w:tcW w:w="2816" w:type="dxa"/>
            <w:vAlign w:val="center"/>
          </w:tcPr>
          <w:p>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rPr>
              <w:t>V</w:t>
            </w:r>
            <w:r>
              <w:rPr>
                <w:rFonts w:ascii="Times New Roman" w:hAnsi="Times New Roman" w:eastAsia="宋体"/>
              </w:rPr>
              <w:t>OC</w:t>
            </w:r>
            <w:r>
              <w:rPr>
                <w:rFonts w:ascii="Times New Roman" w:hAnsi="Times New Roman" w:eastAsia="宋体"/>
                <w:vertAlign w:val="subscript"/>
              </w:rPr>
              <w:t>S</w:t>
            </w:r>
          </w:p>
        </w:tc>
        <w:tc>
          <w:tcPr>
            <w:tcW w:w="3062" w:type="dxa"/>
            <w:vAlign w:val="center"/>
          </w:tcPr>
          <w:p>
            <w:pPr>
              <w:spacing w:line="259" w:lineRule="auto"/>
              <w:ind w:left="3" w:leftChars="0"/>
              <w:jc w:val="center"/>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0.415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510" w:hRule="atLeast"/>
          <w:jc w:val="center"/>
        </w:trPr>
        <w:tc>
          <w:tcPr>
            <w:tcW w:w="2030" w:type="dxa"/>
            <w:vMerge w:val="continue"/>
            <w:vAlign w:val="center"/>
          </w:tcPr>
          <w:p>
            <w:pPr>
              <w:spacing w:line="259" w:lineRule="auto"/>
              <w:ind w:left="3"/>
              <w:jc w:val="center"/>
              <w:rPr>
                <w:rFonts w:hint="eastAsia" w:ascii="Times New Roman" w:hAnsi="Times New Roman" w:eastAsia="宋体"/>
                <w:lang w:val="en-US" w:eastAsia="zh-CN"/>
              </w:rPr>
            </w:pPr>
          </w:p>
        </w:tc>
        <w:tc>
          <w:tcPr>
            <w:tcW w:w="2816" w:type="dxa"/>
            <w:vAlign w:val="center"/>
          </w:tcPr>
          <w:p>
            <w:pPr>
              <w:spacing w:line="259" w:lineRule="auto"/>
              <w:ind w:left="3" w:leftChars="0"/>
              <w:jc w:val="center"/>
              <w:rPr>
                <w:rFonts w:hint="eastAsia" w:ascii="Times New Roman" w:hAnsi="Times New Roman" w:eastAsia="宋体"/>
                <w:lang w:val="en-US" w:eastAsia="zh-CN"/>
              </w:rPr>
            </w:pPr>
            <w:r>
              <w:rPr>
                <w:rFonts w:hint="eastAsia" w:ascii="Times New Roman" w:hAnsi="Times New Roman" w:eastAsia="宋体"/>
                <w:lang w:val="en-US" w:eastAsia="zh-CN"/>
              </w:rPr>
              <w:t>二氧化硫</w:t>
            </w:r>
          </w:p>
        </w:tc>
        <w:tc>
          <w:tcPr>
            <w:tcW w:w="3062" w:type="dxa"/>
            <w:vAlign w:val="center"/>
          </w:tcPr>
          <w:p>
            <w:pPr>
              <w:spacing w:line="259" w:lineRule="auto"/>
              <w:ind w:left="3" w:leftChars="0"/>
              <w:jc w:val="center"/>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0.020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15" w:type="dxa"/>
            <w:bottom w:w="0" w:type="dxa"/>
            <w:right w:w="115" w:type="dxa"/>
          </w:tblCellMar>
        </w:tblPrEx>
        <w:trPr>
          <w:trHeight w:val="510" w:hRule="atLeast"/>
          <w:jc w:val="center"/>
        </w:trPr>
        <w:tc>
          <w:tcPr>
            <w:tcW w:w="2030" w:type="dxa"/>
            <w:vMerge w:val="continue"/>
            <w:vAlign w:val="center"/>
          </w:tcPr>
          <w:p>
            <w:pPr>
              <w:spacing w:line="259" w:lineRule="auto"/>
              <w:ind w:left="3"/>
              <w:jc w:val="center"/>
              <w:rPr>
                <w:rFonts w:hint="eastAsia" w:ascii="Times New Roman" w:hAnsi="Times New Roman" w:eastAsia="宋体"/>
                <w:lang w:val="en-US" w:eastAsia="zh-CN"/>
              </w:rPr>
            </w:pPr>
          </w:p>
        </w:tc>
        <w:tc>
          <w:tcPr>
            <w:tcW w:w="2816" w:type="dxa"/>
            <w:vAlign w:val="center"/>
          </w:tcPr>
          <w:p>
            <w:pPr>
              <w:spacing w:line="259" w:lineRule="auto"/>
              <w:ind w:left="3" w:leftChars="0"/>
              <w:jc w:val="center"/>
              <w:rPr>
                <w:rFonts w:hint="default" w:ascii="Times New Roman" w:hAnsi="Times New Roman" w:eastAsia="宋体"/>
                <w:lang w:val="en-US" w:eastAsia="zh-CN"/>
              </w:rPr>
            </w:pPr>
            <w:r>
              <w:rPr>
                <w:rFonts w:hint="eastAsia" w:ascii="Times New Roman" w:hAnsi="Times New Roman" w:eastAsia="宋体"/>
                <w:lang w:val="en-US" w:eastAsia="zh-CN"/>
              </w:rPr>
              <w:t>氮氧化物</w:t>
            </w:r>
          </w:p>
        </w:tc>
        <w:tc>
          <w:tcPr>
            <w:tcW w:w="3062" w:type="dxa"/>
            <w:vAlign w:val="center"/>
          </w:tcPr>
          <w:p>
            <w:pPr>
              <w:spacing w:line="259" w:lineRule="auto"/>
              <w:ind w:left="3" w:leftChars="0"/>
              <w:jc w:val="center"/>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0.187</w:t>
            </w:r>
          </w:p>
        </w:tc>
      </w:tr>
    </w:tbl>
    <w:p>
      <w:p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pPr>
      <w:bookmarkStart w:id="72" w:name="_Toc21567"/>
      <w:r>
        <w:rPr>
          <w:rFonts w:hint="eastAsia"/>
        </w:rPr>
        <w:t>7验收监测内容</w:t>
      </w:r>
      <w:bookmarkEnd w:id="72"/>
    </w:p>
    <w:p>
      <w:pPr>
        <w:pStyle w:val="5"/>
        <w:rPr>
          <w:rFonts w:eastAsia="宋体"/>
        </w:rPr>
      </w:pPr>
      <w:bookmarkStart w:id="73" w:name="_Toc19895"/>
      <w:r>
        <w:rPr>
          <w:rFonts w:eastAsia="宋体"/>
        </w:rPr>
        <w:t>7.1环境保护设施调试运行效果</w:t>
      </w:r>
      <w:bookmarkEnd w:id="73"/>
    </w:p>
    <w:p>
      <w:pPr>
        <w:spacing w:line="360" w:lineRule="auto"/>
        <w:ind w:firstLine="480" w:firstLineChars="200"/>
        <w:rPr>
          <w:rFonts w:ascii="Times New Roman" w:hAnsi="Times New Roman" w:cs="宋体"/>
          <w:bCs/>
          <w:sz w:val="24"/>
        </w:rPr>
      </w:pPr>
      <w:r>
        <w:rPr>
          <w:rFonts w:hint="eastAsia" w:ascii="Times New Roman" w:hAnsi="Times New Roman" w:cs="宋体"/>
          <w:bCs/>
          <w:sz w:val="24"/>
        </w:rPr>
        <w:t>通过对各类污染物达标排放的监测，来说明环境保护设施调试效果，具体监测内容如下：</w:t>
      </w:r>
    </w:p>
    <w:p>
      <w:pPr>
        <w:pStyle w:val="6"/>
      </w:pPr>
      <w:bookmarkStart w:id="74" w:name="_Toc32489"/>
      <w:r>
        <w:rPr>
          <w:rFonts w:hint="eastAsia"/>
        </w:rPr>
        <w:t>7.1.1废水验收监测内容</w:t>
      </w:r>
      <w:bookmarkEnd w:id="74"/>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废水监测点位、频次及内容见表7.1-1：</w:t>
      </w:r>
    </w:p>
    <w:p>
      <w:pPr>
        <w:spacing w:line="360" w:lineRule="auto"/>
        <w:jc w:val="center"/>
        <w:rPr>
          <w:rFonts w:ascii="Times New Roman" w:hAnsi="Times New Roman"/>
          <w:b/>
          <w:bCs/>
          <w:szCs w:val="21"/>
        </w:rPr>
      </w:pPr>
      <w:r>
        <w:rPr>
          <w:rFonts w:hint="eastAsia" w:ascii="Times New Roman" w:hAnsi="Times New Roman"/>
          <w:b/>
          <w:bCs/>
          <w:szCs w:val="21"/>
        </w:rPr>
        <w:t>表7</w:t>
      </w:r>
      <w:r>
        <w:rPr>
          <w:rFonts w:ascii="Times New Roman" w:hAnsi="Times New Roman"/>
          <w:b/>
          <w:bCs/>
          <w:szCs w:val="21"/>
        </w:rPr>
        <w:t>.1</w:t>
      </w:r>
      <w:r>
        <w:rPr>
          <w:rFonts w:hint="eastAsia" w:ascii="Times New Roman" w:hAnsi="Times New Roman"/>
          <w:b/>
          <w:bCs/>
          <w:szCs w:val="21"/>
        </w:rPr>
        <w:t>-1 废水监测点位、频次及内容</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7"/>
        <w:gridCol w:w="1201"/>
        <w:gridCol w:w="1835"/>
        <w:gridCol w:w="3640"/>
        <w:gridCol w:w="11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7"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1201" w:type="dxa"/>
            <w:vAlign w:val="center"/>
          </w:tcPr>
          <w:p>
            <w:pPr>
              <w:jc w:val="center"/>
              <w:rPr>
                <w:rFonts w:hint="default" w:ascii="Times New Roman" w:hAnsi="Times New Roman" w:cs="Times New Roman"/>
                <w:b/>
                <w:bCs/>
                <w:szCs w:val="21"/>
              </w:rPr>
            </w:pPr>
            <w:r>
              <w:rPr>
                <w:rFonts w:ascii="Times New Roman" w:hAnsi="Times New Roman" w:cs="Times New Roman"/>
                <w:b/>
                <w:bCs/>
                <w:szCs w:val="21"/>
              </w:rPr>
              <w:t>监测项目</w:t>
            </w:r>
          </w:p>
        </w:tc>
        <w:tc>
          <w:tcPr>
            <w:tcW w:w="1835"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监测点位</w:t>
            </w:r>
          </w:p>
        </w:tc>
        <w:tc>
          <w:tcPr>
            <w:tcW w:w="3640"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w:t>
            </w:r>
            <w:r>
              <w:rPr>
                <w:rFonts w:hint="eastAsia" w:ascii="Times New Roman" w:hAnsi="Times New Roman" w:cs="Times New Roman"/>
                <w:b/>
                <w:bCs/>
                <w:szCs w:val="21"/>
                <w:lang w:val="en-US" w:eastAsia="zh-CN"/>
              </w:rPr>
              <w:t>因子</w:t>
            </w:r>
          </w:p>
        </w:tc>
        <w:tc>
          <w:tcPr>
            <w:tcW w:w="1183"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7" w:type="dxa"/>
            <w:vAlign w:val="center"/>
          </w:tcPr>
          <w:p>
            <w:pPr>
              <w:spacing w:line="28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w:t>
            </w:r>
          </w:p>
        </w:tc>
        <w:tc>
          <w:tcPr>
            <w:tcW w:w="1201" w:type="dxa"/>
            <w:vMerge w:val="restart"/>
            <w:vAlign w:val="center"/>
          </w:tcPr>
          <w:p>
            <w:pPr>
              <w:spacing w:line="280" w:lineRule="exac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废水</w:t>
            </w:r>
          </w:p>
        </w:tc>
        <w:tc>
          <w:tcPr>
            <w:tcW w:w="1835" w:type="dxa"/>
            <w:vAlign w:val="center"/>
          </w:tcPr>
          <w:p>
            <w:pPr>
              <w:spacing w:line="28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废水总排放口DW001-2</w:t>
            </w:r>
          </w:p>
        </w:tc>
        <w:tc>
          <w:tcPr>
            <w:tcW w:w="364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pH、</w:t>
            </w:r>
            <w:r>
              <w:rPr>
                <w:rFonts w:hint="eastAsia" w:ascii="Times New Roman" w:hAnsi="Times New Roman" w:cs="Times New Roman"/>
                <w:szCs w:val="21"/>
                <w:lang w:val="en-US" w:eastAsia="zh-CN"/>
              </w:rPr>
              <w:t>悬浮物</w:t>
            </w:r>
            <w:r>
              <w:rPr>
                <w:rFonts w:hint="default" w:ascii="Times New Roman" w:hAnsi="Times New Roman" w:cs="Times New Roman"/>
                <w:szCs w:val="21"/>
              </w:rPr>
              <w:t>、</w:t>
            </w:r>
            <w:r>
              <w:rPr>
                <w:rFonts w:hint="eastAsia" w:ascii="Times New Roman" w:hAnsi="Times New Roman" w:cs="Times New Roman"/>
                <w:szCs w:val="21"/>
                <w:lang w:val="en-US" w:eastAsia="zh-CN"/>
              </w:rPr>
              <w:t>化学需氧量</w:t>
            </w:r>
            <w:r>
              <w:rPr>
                <w:rFonts w:hint="default" w:ascii="Times New Roman" w:hAnsi="Times New Roman" w:cs="Times New Roman"/>
                <w:szCs w:val="21"/>
              </w:rPr>
              <w:t>、氨氮、总磷</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石油类、动植物油类</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五日生化需氧量、阴离子表面活性剂</w:t>
            </w:r>
          </w:p>
        </w:tc>
        <w:tc>
          <w:tcPr>
            <w:tcW w:w="1183"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4次/天，</w:t>
            </w:r>
          </w:p>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kern w:val="0"/>
                <w:szCs w:val="21"/>
              </w:rPr>
              <w:t>监测2天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7" w:type="dxa"/>
            <w:vAlign w:val="center"/>
          </w:tcPr>
          <w:p>
            <w:pPr>
              <w:spacing w:line="28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w:t>
            </w:r>
          </w:p>
        </w:tc>
        <w:tc>
          <w:tcPr>
            <w:tcW w:w="1201" w:type="dxa"/>
            <w:vMerge w:val="continue"/>
            <w:vAlign w:val="center"/>
          </w:tcPr>
          <w:p>
            <w:pPr>
              <w:spacing w:line="280" w:lineRule="exact"/>
              <w:jc w:val="center"/>
              <w:rPr>
                <w:rFonts w:hint="eastAsia" w:ascii="Times New Roman" w:hAnsi="Times New Roman" w:cs="Times New Roman"/>
                <w:szCs w:val="21"/>
                <w:lang w:val="en-US" w:eastAsia="zh-CN"/>
              </w:rPr>
            </w:pPr>
          </w:p>
        </w:tc>
        <w:tc>
          <w:tcPr>
            <w:tcW w:w="1835" w:type="dxa"/>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废水处理设施进口DW002-1</w:t>
            </w:r>
          </w:p>
        </w:tc>
        <w:tc>
          <w:tcPr>
            <w:tcW w:w="364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pH、</w:t>
            </w:r>
            <w:r>
              <w:rPr>
                <w:rFonts w:hint="eastAsia" w:ascii="Times New Roman" w:hAnsi="Times New Roman" w:cs="Times New Roman"/>
                <w:szCs w:val="21"/>
                <w:lang w:val="en-US" w:eastAsia="zh-CN"/>
              </w:rPr>
              <w:t>悬浮物</w:t>
            </w:r>
            <w:r>
              <w:rPr>
                <w:rFonts w:hint="default" w:ascii="Times New Roman" w:hAnsi="Times New Roman" w:cs="Times New Roman"/>
                <w:szCs w:val="21"/>
              </w:rPr>
              <w:t>、</w:t>
            </w:r>
            <w:r>
              <w:rPr>
                <w:rFonts w:hint="eastAsia" w:ascii="Times New Roman" w:hAnsi="Times New Roman" w:cs="Times New Roman"/>
                <w:szCs w:val="21"/>
                <w:lang w:val="en-US" w:eastAsia="zh-CN"/>
              </w:rPr>
              <w:t>化学需氧量</w:t>
            </w:r>
            <w:r>
              <w:rPr>
                <w:rFonts w:hint="default" w:ascii="Times New Roman" w:hAnsi="Times New Roman" w:cs="Times New Roman"/>
                <w:szCs w:val="21"/>
              </w:rPr>
              <w:t>、氨氮、总磷</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石油类、五日生化需氧量、阴离子表面活性剂</w:t>
            </w:r>
          </w:p>
        </w:tc>
        <w:tc>
          <w:tcPr>
            <w:tcW w:w="1183"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4次/天，</w:t>
            </w:r>
          </w:p>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kern w:val="0"/>
                <w:szCs w:val="21"/>
              </w:rPr>
              <w:t>监测2天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7" w:type="dxa"/>
            <w:vAlign w:val="center"/>
          </w:tcPr>
          <w:p>
            <w:pPr>
              <w:spacing w:line="28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c>
          <w:tcPr>
            <w:tcW w:w="1201" w:type="dxa"/>
            <w:vMerge w:val="continue"/>
            <w:vAlign w:val="center"/>
          </w:tcPr>
          <w:p>
            <w:pPr>
              <w:spacing w:line="280" w:lineRule="exact"/>
              <w:jc w:val="center"/>
              <w:rPr>
                <w:rFonts w:hint="eastAsia" w:ascii="Times New Roman" w:hAnsi="Times New Roman" w:cs="Times New Roman"/>
                <w:szCs w:val="21"/>
                <w:lang w:val="en-US" w:eastAsia="zh-CN"/>
              </w:rPr>
            </w:pPr>
          </w:p>
        </w:tc>
        <w:tc>
          <w:tcPr>
            <w:tcW w:w="1835" w:type="dxa"/>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废水处理设施出口DW002-2</w:t>
            </w:r>
          </w:p>
        </w:tc>
        <w:tc>
          <w:tcPr>
            <w:tcW w:w="3640"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pH、</w:t>
            </w:r>
            <w:r>
              <w:rPr>
                <w:rFonts w:hint="eastAsia" w:ascii="Times New Roman" w:hAnsi="Times New Roman" w:cs="Times New Roman"/>
                <w:szCs w:val="21"/>
                <w:lang w:val="en-US" w:eastAsia="zh-CN"/>
              </w:rPr>
              <w:t>悬浮物</w:t>
            </w:r>
            <w:r>
              <w:rPr>
                <w:rFonts w:hint="default" w:ascii="Times New Roman" w:hAnsi="Times New Roman" w:cs="Times New Roman"/>
                <w:szCs w:val="21"/>
              </w:rPr>
              <w:t>、</w:t>
            </w:r>
            <w:r>
              <w:rPr>
                <w:rFonts w:hint="eastAsia" w:ascii="Times New Roman" w:hAnsi="Times New Roman" w:cs="Times New Roman"/>
                <w:szCs w:val="21"/>
                <w:lang w:val="en-US" w:eastAsia="zh-CN"/>
              </w:rPr>
              <w:t>化学需氧量</w:t>
            </w:r>
            <w:r>
              <w:rPr>
                <w:rFonts w:hint="default" w:ascii="Times New Roman" w:hAnsi="Times New Roman" w:cs="Times New Roman"/>
                <w:szCs w:val="21"/>
              </w:rPr>
              <w:t>、氨氮、总磷</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石油类、五日生化需氧量、阴离子表面活性剂</w:t>
            </w:r>
          </w:p>
        </w:tc>
        <w:tc>
          <w:tcPr>
            <w:tcW w:w="1183"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4次/天，</w:t>
            </w:r>
          </w:p>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kern w:val="0"/>
                <w:szCs w:val="21"/>
              </w:rPr>
              <w:t>监测2天</w:t>
            </w:r>
          </w:p>
        </w:tc>
      </w:tr>
    </w:tbl>
    <w:p>
      <w:pPr>
        <w:pStyle w:val="6"/>
      </w:pPr>
      <w:bookmarkStart w:id="75" w:name="_Toc23346"/>
      <w:r>
        <w:rPr>
          <w:rFonts w:hint="eastAsia"/>
        </w:rPr>
        <w:t>7.1.2废气验收监测内容</w:t>
      </w:r>
      <w:bookmarkEnd w:id="75"/>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废气监测包括有组织排放与无组织排放，监测点位、频次及内容见表7</w:t>
      </w:r>
      <w:r>
        <w:rPr>
          <w:rFonts w:ascii="Times New Roman" w:hAnsi="Times New Roman"/>
          <w:sz w:val="24"/>
          <w:szCs w:val="24"/>
        </w:rPr>
        <w:t>.1</w:t>
      </w:r>
      <w:r>
        <w:rPr>
          <w:rFonts w:hint="eastAsia" w:ascii="Times New Roman" w:hAnsi="Times New Roman"/>
          <w:sz w:val="24"/>
          <w:szCs w:val="24"/>
        </w:rPr>
        <w:t>-</w:t>
      </w:r>
      <w:r>
        <w:rPr>
          <w:rFonts w:hint="eastAsia" w:ascii="Times New Roman" w:hAnsi="Times New Roman"/>
          <w:sz w:val="24"/>
          <w:szCs w:val="24"/>
          <w:lang w:val="en-US" w:eastAsia="zh-CN"/>
        </w:rPr>
        <w:t>2</w:t>
      </w:r>
      <w:r>
        <w:rPr>
          <w:rFonts w:hint="eastAsia" w:ascii="Times New Roman" w:hAnsi="Times New Roman"/>
          <w:sz w:val="24"/>
          <w:szCs w:val="24"/>
        </w:rPr>
        <w:t>：</w:t>
      </w:r>
    </w:p>
    <w:p>
      <w:pPr>
        <w:spacing w:line="360" w:lineRule="auto"/>
        <w:jc w:val="center"/>
        <w:rPr>
          <w:rFonts w:ascii="Times New Roman" w:hAnsi="Times New Roman"/>
          <w:b/>
          <w:bCs/>
          <w:szCs w:val="21"/>
        </w:rPr>
      </w:pPr>
      <w:r>
        <w:rPr>
          <w:rFonts w:hint="eastAsia" w:ascii="Times New Roman" w:hAnsi="Times New Roman"/>
          <w:b/>
          <w:bCs/>
          <w:szCs w:val="21"/>
        </w:rPr>
        <w:t>表7</w:t>
      </w:r>
      <w:r>
        <w:rPr>
          <w:rFonts w:ascii="Times New Roman" w:hAnsi="Times New Roman"/>
          <w:b/>
          <w:bCs/>
          <w:szCs w:val="21"/>
        </w:rPr>
        <w:t>.1</w:t>
      </w:r>
      <w:r>
        <w:rPr>
          <w:rFonts w:hint="eastAsia" w:ascii="Times New Roman" w:hAnsi="Times New Roman"/>
          <w:b/>
          <w:bCs/>
          <w:szCs w:val="21"/>
        </w:rPr>
        <w:t>-</w:t>
      </w:r>
      <w:r>
        <w:rPr>
          <w:rFonts w:hint="eastAsia" w:ascii="Times New Roman" w:hAnsi="Times New Roman"/>
          <w:b/>
          <w:bCs/>
          <w:szCs w:val="21"/>
          <w:lang w:val="en-US" w:eastAsia="zh-CN"/>
        </w:rPr>
        <w:t>1</w:t>
      </w:r>
      <w:r>
        <w:rPr>
          <w:rFonts w:hint="eastAsia" w:ascii="Times New Roman" w:hAnsi="Times New Roman"/>
          <w:b/>
          <w:bCs/>
          <w:szCs w:val="21"/>
        </w:rPr>
        <w:t xml:space="preserve"> 废气监测点位、频次及内容</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273"/>
        <w:gridCol w:w="3168"/>
        <w:gridCol w:w="2290"/>
        <w:gridCol w:w="11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1273"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监测项目</w:t>
            </w:r>
          </w:p>
        </w:tc>
        <w:tc>
          <w:tcPr>
            <w:tcW w:w="3168"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监测点位</w:t>
            </w:r>
          </w:p>
        </w:tc>
        <w:tc>
          <w:tcPr>
            <w:tcW w:w="2290"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w:t>
            </w:r>
            <w:r>
              <w:rPr>
                <w:rFonts w:hint="eastAsia" w:ascii="Times New Roman" w:hAnsi="Times New Roman" w:cs="Times New Roman"/>
                <w:b/>
                <w:bCs/>
                <w:szCs w:val="21"/>
                <w:lang w:val="en-US" w:eastAsia="zh-CN"/>
              </w:rPr>
              <w:t>因子</w:t>
            </w:r>
          </w:p>
        </w:tc>
        <w:tc>
          <w:tcPr>
            <w:tcW w:w="1108"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w:t>
            </w:r>
          </w:p>
        </w:tc>
        <w:tc>
          <w:tcPr>
            <w:tcW w:w="1273" w:type="dxa"/>
            <w:vMerge w:val="restart"/>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有组织废气</w:t>
            </w:r>
          </w:p>
        </w:tc>
        <w:tc>
          <w:tcPr>
            <w:tcW w:w="3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调漆喷漆废气处理设施进口DA0011-1</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非甲烷总烃、二甲苯、乙酸丁酯</w:t>
            </w:r>
          </w:p>
        </w:tc>
        <w:tc>
          <w:tcPr>
            <w:tcW w:w="1108" w:type="dxa"/>
            <w:vMerge w:val="restart"/>
            <w:tcBorders>
              <w:tl2br w:val="nil"/>
              <w:tr2bl w:val="nil"/>
            </w:tcBorders>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3</w:t>
            </w:r>
            <w:r>
              <w:rPr>
                <w:rFonts w:hint="default" w:ascii="Times New Roman" w:hAnsi="Times New Roman" w:cs="Times New Roman"/>
                <w:szCs w:val="21"/>
                <w:highlight w:val="none"/>
              </w:rPr>
              <w:t>次/天，</w:t>
            </w:r>
          </w:p>
          <w:p>
            <w:pPr>
              <w:jc w:val="center"/>
              <w:rPr>
                <w:rFonts w:hint="default" w:ascii="Times New Roman" w:hAnsi="Times New Roman" w:cs="Times New Roman"/>
                <w:szCs w:val="21"/>
              </w:rPr>
            </w:pPr>
            <w:r>
              <w:rPr>
                <w:rFonts w:hint="default" w:ascii="Times New Roman" w:hAnsi="Times New Roman" w:cs="Times New Roman"/>
                <w:szCs w:val="21"/>
                <w:highlight w:val="none"/>
              </w:rPr>
              <w:t>监测2天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w:t>
            </w:r>
          </w:p>
        </w:tc>
        <w:tc>
          <w:tcPr>
            <w:tcW w:w="1273" w:type="dxa"/>
            <w:vMerge w:val="continue"/>
            <w:tcBorders>
              <w:tl2br w:val="nil"/>
              <w:tr2bl w:val="nil"/>
            </w:tcBorders>
            <w:vAlign w:val="center"/>
          </w:tcPr>
          <w:p>
            <w:pPr>
              <w:jc w:val="center"/>
              <w:rPr>
                <w:rFonts w:hint="default" w:ascii="Times New Roman" w:hAnsi="Times New Roman" w:cs="Times New Roman"/>
                <w:szCs w:val="21"/>
              </w:rPr>
            </w:pPr>
          </w:p>
        </w:tc>
        <w:tc>
          <w:tcPr>
            <w:tcW w:w="3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烘干固化废气处理设施进口DA0012-1</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非甲烷总烃、二甲苯、乙酸丁酯</w:t>
            </w:r>
          </w:p>
        </w:tc>
        <w:tc>
          <w:tcPr>
            <w:tcW w:w="1108"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c>
          <w:tcPr>
            <w:tcW w:w="1273" w:type="dxa"/>
            <w:vMerge w:val="continue"/>
            <w:tcBorders>
              <w:tl2br w:val="nil"/>
              <w:tr2bl w:val="nil"/>
            </w:tcBorders>
            <w:vAlign w:val="center"/>
          </w:tcPr>
          <w:p>
            <w:pPr>
              <w:jc w:val="center"/>
              <w:rPr>
                <w:rFonts w:hint="default" w:ascii="Times New Roman" w:hAnsi="Times New Roman" w:cs="Times New Roman"/>
                <w:szCs w:val="21"/>
              </w:rPr>
            </w:pPr>
          </w:p>
        </w:tc>
        <w:tc>
          <w:tcPr>
            <w:tcW w:w="3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调漆、喷漆、烘干、固化废气处理设施出口DA001-2</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非甲烷总烃、二甲苯、乙酸丁酯、臭气浓度</w:t>
            </w:r>
          </w:p>
        </w:tc>
        <w:tc>
          <w:tcPr>
            <w:tcW w:w="1108"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vMerge w:val="continue"/>
            <w:tcBorders>
              <w:tl2br w:val="nil"/>
              <w:tr2bl w:val="nil"/>
            </w:tcBorders>
            <w:vAlign w:val="center"/>
          </w:tcPr>
          <w:p>
            <w:pPr>
              <w:jc w:val="center"/>
              <w:rPr>
                <w:rFonts w:hint="eastAsia" w:ascii="Times New Roman" w:hAnsi="Times New Roman" w:cs="Times New Roman"/>
                <w:szCs w:val="21"/>
                <w:lang w:val="en-US" w:eastAsia="zh-CN"/>
              </w:rPr>
            </w:pPr>
          </w:p>
        </w:tc>
        <w:tc>
          <w:tcPr>
            <w:tcW w:w="1273" w:type="dxa"/>
            <w:vMerge w:val="continue"/>
            <w:tcBorders>
              <w:tl2br w:val="nil"/>
              <w:tr2bl w:val="nil"/>
            </w:tcBorders>
            <w:vAlign w:val="center"/>
          </w:tcPr>
          <w:p>
            <w:pPr>
              <w:jc w:val="center"/>
              <w:rPr>
                <w:rFonts w:hint="default" w:ascii="Times New Roman" w:hAnsi="Times New Roman" w:cs="Times New Roman"/>
                <w:szCs w:val="21"/>
              </w:rPr>
            </w:pPr>
          </w:p>
        </w:tc>
        <w:tc>
          <w:tcPr>
            <w:tcW w:w="3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天然气燃烧废气排放口DA001-2</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颗粒物、SO</w:t>
            </w:r>
            <w:r>
              <w:rPr>
                <w:rFonts w:hint="eastAsia" w:ascii="Times New Roman" w:hAnsi="Times New Roman" w:cs="Times New Roman"/>
                <w:szCs w:val="21"/>
                <w:vertAlign w:val="subscript"/>
                <w:lang w:val="en-US" w:eastAsia="zh-CN"/>
              </w:rPr>
              <w:t>2</w:t>
            </w:r>
            <w:r>
              <w:rPr>
                <w:rFonts w:hint="eastAsia" w:ascii="Times New Roman" w:hAnsi="Times New Roman" w:cs="Times New Roman"/>
                <w:szCs w:val="21"/>
                <w:lang w:val="en-US" w:eastAsia="zh-CN"/>
              </w:rPr>
              <w:t>、NOx</w:t>
            </w:r>
          </w:p>
        </w:tc>
        <w:tc>
          <w:tcPr>
            <w:tcW w:w="1108" w:type="dxa"/>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w:t>
            </w:r>
          </w:p>
        </w:tc>
        <w:tc>
          <w:tcPr>
            <w:tcW w:w="1273" w:type="dxa"/>
            <w:vMerge w:val="continue"/>
            <w:tcBorders>
              <w:tl2br w:val="nil"/>
              <w:tr2bl w:val="nil"/>
            </w:tcBorders>
            <w:vAlign w:val="center"/>
          </w:tcPr>
          <w:p>
            <w:pPr>
              <w:jc w:val="center"/>
              <w:rPr>
                <w:rFonts w:hint="default" w:ascii="Times New Roman" w:hAnsi="Times New Roman" w:cs="Times New Roman"/>
                <w:szCs w:val="21"/>
              </w:rPr>
            </w:pPr>
          </w:p>
        </w:tc>
        <w:tc>
          <w:tcPr>
            <w:tcW w:w="3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喷塑废气处理设施出口</w:t>
            </w:r>
            <w:r>
              <w:rPr>
                <w:rFonts w:hint="default" w:ascii="Times New Roman" w:hAnsi="Times New Roman" w:cs="Times New Roman"/>
                <w:szCs w:val="21"/>
                <w:lang w:val="en-US" w:eastAsia="zh-CN"/>
              </w:rPr>
              <w:t>DA00</w:t>
            </w:r>
            <w:r>
              <w:rPr>
                <w:rFonts w:hint="eastAsia" w:ascii="Times New Roman" w:hAnsi="Times New Roman" w:cs="Times New Roman"/>
                <w:szCs w:val="21"/>
                <w:lang w:val="en-US" w:eastAsia="zh-CN"/>
              </w:rPr>
              <w:t>2</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2</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颗粒物</w:t>
            </w:r>
          </w:p>
        </w:tc>
        <w:tc>
          <w:tcPr>
            <w:tcW w:w="1108" w:type="dxa"/>
            <w:tcBorders>
              <w:tl2br w:val="nil"/>
              <w:tr2bl w:val="nil"/>
            </w:tcBorders>
            <w:vAlign w:val="center"/>
          </w:tcPr>
          <w:p>
            <w:pPr>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3</w:t>
            </w:r>
            <w:r>
              <w:rPr>
                <w:rFonts w:hint="default" w:ascii="Times New Roman" w:hAnsi="Times New Roman" w:cs="Times New Roman"/>
                <w:szCs w:val="21"/>
                <w:highlight w:val="none"/>
              </w:rPr>
              <w:t>次/天，</w:t>
            </w:r>
          </w:p>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highlight w:val="none"/>
              </w:rPr>
              <w:t>监测2天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w:t>
            </w:r>
          </w:p>
        </w:tc>
        <w:tc>
          <w:tcPr>
            <w:tcW w:w="1273"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无组织废气</w:t>
            </w:r>
          </w:p>
        </w:tc>
        <w:tc>
          <w:tcPr>
            <w:tcW w:w="3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厂界北侧</w:t>
            </w:r>
            <w:r>
              <w:rPr>
                <w:rFonts w:hint="default" w:ascii="Times New Roman" w:hAnsi="Times New Roman" w:cs="Times New Roman"/>
                <w:szCs w:val="21"/>
              </w:rPr>
              <w:t>3个监控点(G1</w:t>
            </w:r>
            <w:r>
              <w:rPr>
                <w:rFonts w:hint="default" w:ascii="Times New Roman" w:hAnsi="Times New Roman" w:eastAsia="仿宋_GB2312" w:cs="Times New Roman"/>
                <w:szCs w:val="21"/>
              </w:rPr>
              <w:t>~G3</w:t>
            </w:r>
            <w:r>
              <w:rPr>
                <w:rFonts w:hint="default" w:ascii="Times New Roman" w:hAnsi="Times New Roman" w:cs="Times New Roman"/>
                <w:szCs w:val="21"/>
              </w:rPr>
              <w:t>)</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非甲烷总烃、二甲苯、乙酸丁酯、臭气浓度、颗粒物</w:t>
            </w:r>
          </w:p>
        </w:tc>
        <w:tc>
          <w:tcPr>
            <w:tcW w:w="1108" w:type="dxa"/>
            <w:vMerge w:val="restart"/>
            <w:tcBorders>
              <w:tl2br w:val="nil"/>
              <w:tr2bl w:val="nil"/>
            </w:tcBorders>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4</w:t>
            </w:r>
            <w:r>
              <w:rPr>
                <w:rFonts w:hint="default" w:ascii="Times New Roman" w:hAnsi="Times New Roman" w:cs="Times New Roman"/>
                <w:szCs w:val="21"/>
              </w:rPr>
              <w:t>次/天，</w:t>
            </w:r>
          </w:p>
          <w:p>
            <w:pPr>
              <w:jc w:val="center"/>
              <w:rPr>
                <w:rFonts w:hint="default" w:ascii="Times New Roman" w:hAnsi="Times New Roman" w:cs="Times New Roman"/>
                <w:szCs w:val="21"/>
              </w:rPr>
            </w:pPr>
            <w:r>
              <w:rPr>
                <w:rFonts w:hint="default" w:ascii="Times New Roman" w:hAnsi="Times New Roman" w:cs="Times New Roman"/>
                <w:szCs w:val="21"/>
              </w:rPr>
              <w:t>监测2天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w:t>
            </w:r>
          </w:p>
        </w:tc>
        <w:tc>
          <w:tcPr>
            <w:tcW w:w="1273" w:type="dxa"/>
            <w:vMerge w:val="continue"/>
            <w:tcBorders>
              <w:tl2br w:val="nil"/>
              <w:tr2bl w:val="nil"/>
            </w:tcBorders>
            <w:vAlign w:val="center"/>
          </w:tcPr>
          <w:p>
            <w:pPr>
              <w:jc w:val="center"/>
              <w:rPr>
                <w:rFonts w:hint="default" w:ascii="Times New Roman" w:hAnsi="Times New Roman" w:cs="Times New Roman"/>
                <w:szCs w:val="21"/>
              </w:rPr>
            </w:pPr>
          </w:p>
        </w:tc>
        <w:tc>
          <w:tcPr>
            <w:tcW w:w="3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lang w:val="en-US" w:eastAsia="zh-CN"/>
              </w:rPr>
              <w:t>喷漆车间门口（G4）</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lang w:val="en-US" w:eastAsia="zh-CN"/>
              </w:rPr>
              <w:t>非甲烷总烃</w:t>
            </w:r>
          </w:p>
        </w:tc>
        <w:tc>
          <w:tcPr>
            <w:tcW w:w="1108" w:type="dxa"/>
            <w:vMerge w:val="continue"/>
            <w:tcBorders>
              <w:tl2br w:val="nil"/>
              <w:tr2bl w:val="nil"/>
            </w:tcBorders>
            <w:vAlign w:val="center"/>
          </w:tcPr>
          <w:p>
            <w:pPr>
              <w:jc w:val="center"/>
              <w:rPr>
                <w:rFonts w:hint="default"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jc w:val="center"/>
              <w:rPr>
                <w:rFonts w:hint="default" w:ascii="Times New Roman" w:hAnsi="Times New Roman" w:cs="Times New Roman"/>
                <w:kern w:val="2"/>
                <w:sz w:val="21"/>
                <w:szCs w:val="21"/>
                <w:lang w:val="en-US" w:eastAsia="zh-CN" w:bidi="ar-SA"/>
              </w:rPr>
            </w:pPr>
            <w:bookmarkStart w:id="76" w:name="_Toc23718"/>
            <w:r>
              <w:rPr>
                <w:rFonts w:hint="eastAsia" w:ascii="Times New Roman" w:hAnsi="Times New Roman" w:cs="Times New Roman"/>
                <w:kern w:val="2"/>
                <w:sz w:val="21"/>
                <w:szCs w:val="21"/>
                <w:lang w:val="en-US" w:eastAsia="zh-CN" w:bidi="ar-SA"/>
              </w:rPr>
              <w:t>备注</w:t>
            </w:r>
          </w:p>
        </w:tc>
        <w:tc>
          <w:tcPr>
            <w:tcW w:w="7839" w:type="dxa"/>
            <w:gridSpan w:val="4"/>
            <w:tcBorders>
              <w:tl2br w:val="nil"/>
              <w:tr2bl w:val="nil"/>
            </w:tcBorders>
            <w:vAlign w:val="center"/>
          </w:tcPr>
          <w:p>
            <w:pPr>
              <w:jc w:val="both"/>
              <w:rPr>
                <w:rFonts w:hint="default" w:ascii="Times New Roman" w:hAnsi="Times New Roman" w:eastAsia="宋体" w:cs="Times New Roman"/>
                <w:kern w:val="0"/>
                <w:szCs w:val="21"/>
              </w:rPr>
            </w:pPr>
            <w:r>
              <w:rPr>
                <w:rFonts w:hint="eastAsia" w:ascii="Times New Roman" w:hAnsi="Times New Roman" w:cs="Times New Roman"/>
                <w:szCs w:val="21"/>
                <w:lang w:val="en-US" w:eastAsia="zh-CN"/>
              </w:rPr>
              <w:t>厂界东侧，南侧，西侧不具备采样条件，故未对其进行检测</w:t>
            </w:r>
          </w:p>
        </w:tc>
      </w:tr>
    </w:tbl>
    <w:p>
      <w:pPr>
        <w:pStyle w:val="6"/>
      </w:pPr>
      <w:r>
        <w:rPr>
          <w:rFonts w:hint="eastAsia"/>
        </w:rPr>
        <w:t>7.1.3厂界噪声监测</w:t>
      </w:r>
      <w:bookmarkEnd w:id="76"/>
    </w:p>
    <w:p>
      <w:pPr>
        <w:spacing w:line="360" w:lineRule="auto"/>
        <w:ind w:firstLine="480" w:firstLineChars="200"/>
        <w:jc w:val="left"/>
        <w:rPr>
          <w:rFonts w:ascii="Times New Roman" w:hAnsi="Times New Roman"/>
          <w:sz w:val="24"/>
          <w:szCs w:val="24"/>
        </w:rPr>
      </w:pPr>
      <w:r>
        <w:rPr>
          <w:rFonts w:ascii="Times New Roman" w:hAnsi="Times New Roman"/>
          <w:sz w:val="24"/>
          <w:szCs w:val="24"/>
        </w:rPr>
        <w:t>在项目</w:t>
      </w:r>
      <w:r>
        <w:rPr>
          <w:rFonts w:hint="eastAsia" w:ascii="Times New Roman" w:hAnsi="Times New Roman"/>
          <w:sz w:val="24"/>
          <w:szCs w:val="24"/>
          <w:lang w:val="en-US" w:eastAsia="zh-CN"/>
        </w:rPr>
        <w:t>北外1m处（N4）</w:t>
      </w:r>
      <w:r>
        <w:rPr>
          <w:rFonts w:ascii="Times New Roman" w:hAnsi="Times New Roman"/>
          <w:sz w:val="24"/>
          <w:szCs w:val="24"/>
        </w:rPr>
        <w:t>，昼间监测1次，连续监测2天。</w:t>
      </w:r>
      <w:r>
        <w:rPr>
          <w:rFonts w:hint="eastAsia" w:ascii="Times New Roman" w:hAnsi="Times New Roman"/>
          <w:sz w:val="24"/>
          <w:szCs w:val="24"/>
          <w:lang w:val="en-US" w:eastAsia="zh-CN"/>
        </w:rPr>
        <w:t>企业夜间不生产，故夜间噪声未进行检测，厂界东侧，南侧，西侧不具备采样条件，故未对其进行检测）。</w:t>
      </w:r>
    </w:p>
    <w:p>
      <w:pPr>
        <w:pStyle w:val="6"/>
        <w:rPr>
          <w:rFonts w:hint="eastAsia"/>
        </w:rPr>
      </w:pPr>
      <w:bookmarkStart w:id="77" w:name="_Toc9106"/>
      <w:r>
        <w:rPr>
          <w:rFonts w:hint="eastAsia"/>
        </w:rPr>
        <w:t>7.1.4</w:t>
      </w:r>
      <w:r>
        <w:rPr>
          <w:rFonts w:hint="eastAsia"/>
          <w:lang w:val="en-US" w:eastAsia="zh-CN"/>
        </w:rPr>
        <w:t>监测</w:t>
      </w:r>
      <w:r>
        <w:rPr>
          <w:rFonts w:hint="eastAsia"/>
        </w:rPr>
        <w:t>点位布置图</w:t>
      </w:r>
      <w:bookmarkEnd w:id="77"/>
    </w:p>
    <w:p>
      <w:pPr>
        <w:spacing w:line="360" w:lineRule="auto"/>
        <w:ind w:firstLine="480" w:firstLineChars="200"/>
        <w:jc w:val="left"/>
        <w:rPr>
          <w:rFonts w:hint="eastAsia" w:ascii="Times New Roman" w:hAnsi="Times New Roman" w:eastAsiaTheme="minorEastAsia"/>
          <w:sz w:val="24"/>
          <w:szCs w:val="24"/>
          <w:lang w:eastAsia="zh-CN"/>
        </w:rPr>
      </w:pPr>
      <w:r>
        <w:rPr>
          <w:rFonts w:hint="eastAsia" w:ascii="Times New Roman" w:hAnsi="Times New Roman"/>
          <w:sz w:val="24"/>
          <w:szCs w:val="24"/>
        </w:rPr>
        <w:t>企业</w:t>
      </w:r>
      <w:r>
        <w:rPr>
          <w:rFonts w:hint="eastAsia" w:ascii="Times New Roman" w:hAnsi="Times New Roman"/>
          <w:sz w:val="24"/>
          <w:szCs w:val="24"/>
          <w:lang w:val="en-US" w:eastAsia="zh-CN"/>
        </w:rPr>
        <w:t>废水、</w:t>
      </w:r>
      <w:r>
        <w:rPr>
          <w:rFonts w:hint="eastAsia" w:ascii="Times New Roman" w:hAnsi="Times New Roman"/>
          <w:sz w:val="24"/>
          <w:szCs w:val="24"/>
        </w:rPr>
        <w:t>有组织废气、无组织废气、噪声监测点位布置见图7</w:t>
      </w:r>
      <w:r>
        <w:rPr>
          <w:rFonts w:hint="eastAsia" w:ascii="Times New Roman" w:hAnsi="Times New Roman"/>
          <w:sz w:val="24"/>
          <w:szCs w:val="24"/>
          <w:lang w:val="en-US" w:eastAsia="zh-CN"/>
        </w:rPr>
        <w:t>.1.4</w:t>
      </w:r>
      <w:r>
        <w:rPr>
          <w:rFonts w:hint="eastAsia" w:ascii="Times New Roman" w:hAnsi="Times New Roman"/>
          <w:sz w:val="24"/>
          <w:szCs w:val="24"/>
        </w:rPr>
        <w:t>-1</w:t>
      </w:r>
      <w:r>
        <w:rPr>
          <w:rFonts w:hint="eastAsia" w:ascii="Times New Roman" w:hAnsi="Times New Roman"/>
          <w:sz w:val="24"/>
          <w:szCs w:val="24"/>
          <w:lang w:eastAsia="zh-CN"/>
        </w:rPr>
        <w:t>。</w:t>
      </w:r>
    </w:p>
    <w:tbl>
      <w:tblPr>
        <w:tblStyle w:val="32"/>
        <w:tblW w:w="82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tcPr>
          <w:p>
            <w:pPr>
              <w:jc w:val="center"/>
              <w:rPr>
                <w:rFonts w:hint="eastAsia" w:ascii="Times New Roman" w:hAnsi="Times New Roman" w:eastAsiaTheme="minorEastAsia"/>
                <w:lang w:eastAsia="zh-CN"/>
              </w:rPr>
            </w:pPr>
            <w:r>
              <w:rPr>
                <w:rFonts w:hint="eastAsia" w:ascii="Times New Roman" w:hAnsi="Times New Roman" w:eastAsiaTheme="minorEastAsia"/>
                <w:lang w:eastAsia="zh-CN"/>
              </w:rPr>
              <w:drawing>
                <wp:inline distT="0" distB="0" distL="114300" distR="114300">
                  <wp:extent cx="5126355" cy="3726180"/>
                  <wp:effectExtent l="0" t="0" r="17145" b="7620"/>
                  <wp:docPr id="95" name="图片 95" descr="测点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测点布置图"/>
                          <pic:cNvPicPr>
                            <a:picLocks noChangeAspect="1"/>
                          </pic:cNvPicPr>
                        </pic:nvPicPr>
                        <pic:blipFill>
                          <a:blip r:embed="rId22"/>
                          <a:stretch>
                            <a:fillRect/>
                          </a:stretch>
                        </pic:blipFill>
                        <pic:spPr>
                          <a:xfrm>
                            <a:off x="0" y="0"/>
                            <a:ext cx="5126355" cy="3726180"/>
                          </a:xfrm>
                          <a:prstGeom prst="rect">
                            <a:avLst/>
                          </a:prstGeom>
                        </pic:spPr>
                      </pic:pic>
                    </a:graphicData>
                  </a:graphic>
                </wp:inline>
              </w:drawing>
            </w:r>
          </w:p>
          <w:p>
            <w:pPr>
              <w:rPr>
                <w:rFonts w:ascii="Times New Roman" w:hAnsi="Times New Roman"/>
              </w:rPr>
            </w:pPr>
            <w:r>
              <w:rPr>
                <w:rFonts w:hint="eastAsia" w:ascii="Times New Roman" w:hAnsi="Times New Roman"/>
              </w:rPr>
              <w:t>备注：▲为噪声</w:t>
            </w:r>
            <w:r>
              <w:rPr>
                <w:rFonts w:hint="eastAsia" w:ascii="Times New Roman" w:hAnsi="Times New Roman"/>
                <w:lang w:val="en-US" w:eastAsia="zh-CN"/>
              </w:rPr>
              <w:t>检测</w:t>
            </w:r>
            <w:r>
              <w:rPr>
                <w:rFonts w:hint="eastAsia" w:ascii="Times New Roman" w:hAnsi="Times New Roman"/>
              </w:rPr>
              <w:t>点位；</w:t>
            </w:r>
            <w:r>
              <w:rPr>
                <w:rFonts w:hint="eastAsia" w:ascii="Times New Roman" w:hAnsi="Times New Roman"/>
                <w:lang w:val="en-US" w:eastAsia="zh-CN"/>
              </w:rPr>
              <w:t>★</w:t>
            </w:r>
            <w:r>
              <w:rPr>
                <w:rFonts w:hint="eastAsia" w:ascii="Times New Roman" w:hAnsi="Times New Roman"/>
              </w:rPr>
              <w:t>为</w:t>
            </w:r>
            <w:r>
              <w:rPr>
                <w:rFonts w:hint="eastAsia" w:ascii="Times New Roman" w:hAnsi="Times New Roman"/>
                <w:lang w:val="en-US" w:eastAsia="zh-CN"/>
              </w:rPr>
              <w:t>废水检测</w:t>
            </w:r>
            <w:r>
              <w:rPr>
                <w:rFonts w:hint="eastAsia" w:ascii="Times New Roman" w:hAnsi="Times New Roman"/>
              </w:rPr>
              <w:t>点位；</w:t>
            </w:r>
            <w:r>
              <w:rPr>
                <w:rFonts w:hint="eastAsia" w:ascii="Times New Roman" w:hAnsi="Times New Roman"/>
                <w:lang w:val="en-US" w:eastAsia="zh-CN"/>
              </w:rPr>
              <w:t>◎为有组织废气检测点位；</w:t>
            </w:r>
            <w:r>
              <w:rPr>
                <w:rFonts w:hint="eastAsia" w:ascii="Times New Roman" w:hAnsi="Times New Roman"/>
              </w:rPr>
              <w:t>○</w:t>
            </w:r>
            <w:r>
              <w:rPr>
                <w:rFonts w:hint="eastAsia" w:ascii="Times New Roman" w:hAnsi="Times New Roman" w:eastAsia="宋体" w:cs="宋体"/>
              </w:rPr>
              <w:t>为无组织废气</w:t>
            </w:r>
            <w:r>
              <w:rPr>
                <w:rFonts w:hint="eastAsia" w:ascii="Times New Roman" w:hAnsi="Times New Roman"/>
                <w:lang w:val="en-US" w:eastAsia="zh-CN"/>
              </w:rPr>
              <w:t>检测</w:t>
            </w:r>
            <w:r>
              <w:rPr>
                <w:rFonts w:hint="eastAsia" w:ascii="Times New Roman" w:hAnsi="Times New Roman" w:eastAsia="宋体" w:cs="宋体"/>
              </w:rPr>
              <w:t>点位。</w:t>
            </w:r>
          </w:p>
        </w:tc>
      </w:tr>
    </w:tbl>
    <w:p>
      <w:pPr>
        <w:pStyle w:val="2"/>
        <w:keepNext w:val="0"/>
        <w:keepLines w:val="0"/>
        <w:pageBreakBefore w:val="0"/>
        <w:kinsoku/>
        <w:wordWrap/>
        <w:overflowPunct/>
        <w:topLinePunct w:val="0"/>
        <w:autoSpaceDE/>
        <w:autoSpaceDN/>
        <w:bidi w:val="0"/>
        <w:adjustRightInd/>
        <w:snapToGrid w:val="0"/>
        <w:spacing w:before="65" w:beforeLines="20" w:beforeAutospacing="0" w:afterAutospacing="0"/>
        <w:jc w:val="center"/>
        <w:textAlignment w:val="auto"/>
        <w:rPr>
          <w:rFonts w:ascii="Times New Roman" w:hAnsi="Times New Roman"/>
          <w:b/>
          <w:bCs/>
          <w:szCs w:val="21"/>
        </w:rPr>
      </w:pPr>
      <w:r>
        <w:rPr>
          <w:rFonts w:ascii="Times New Roman" w:hAnsi="Times New Roman"/>
          <w:b/>
          <w:bCs/>
          <w:szCs w:val="21"/>
        </w:rPr>
        <w:t>图</w:t>
      </w:r>
      <w:r>
        <w:rPr>
          <w:rFonts w:hint="eastAsia" w:ascii="Times New Roman" w:hAnsi="Times New Roman"/>
          <w:b/>
          <w:bCs/>
          <w:szCs w:val="21"/>
        </w:rPr>
        <w:t>7</w:t>
      </w:r>
      <w:r>
        <w:rPr>
          <w:rFonts w:ascii="Times New Roman" w:hAnsi="Times New Roman"/>
          <w:b/>
          <w:bCs/>
          <w:szCs w:val="21"/>
        </w:rPr>
        <w:t>.1</w:t>
      </w:r>
      <w:r>
        <w:rPr>
          <w:rFonts w:hint="eastAsia" w:ascii="Times New Roman" w:hAnsi="Times New Roman"/>
          <w:b/>
          <w:bCs/>
          <w:szCs w:val="21"/>
          <w:lang w:val="en-US" w:eastAsia="zh-CN"/>
        </w:rPr>
        <w:t>.4</w:t>
      </w:r>
      <w:r>
        <w:rPr>
          <w:rFonts w:hint="eastAsia" w:ascii="Times New Roman" w:hAnsi="Times New Roman"/>
          <w:b/>
          <w:bCs/>
          <w:szCs w:val="21"/>
        </w:rPr>
        <w:t>-1</w:t>
      </w:r>
      <w:r>
        <w:rPr>
          <w:rFonts w:ascii="Times New Roman" w:hAnsi="Times New Roman"/>
          <w:b/>
          <w:bCs/>
          <w:szCs w:val="21"/>
        </w:rPr>
        <w:t xml:space="preserve"> </w:t>
      </w:r>
      <w:r>
        <w:rPr>
          <w:rFonts w:hint="eastAsia" w:ascii="Times New Roman" w:hAnsi="Times New Roman"/>
          <w:b/>
          <w:bCs/>
          <w:szCs w:val="21"/>
        </w:rPr>
        <w:t>现场采样点位布置</w:t>
      </w:r>
      <w:r>
        <w:rPr>
          <w:rFonts w:ascii="Times New Roman" w:hAnsi="Times New Roman"/>
          <w:b/>
          <w:bCs/>
          <w:szCs w:val="21"/>
        </w:rPr>
        <w:t>图</w:t>
      </w:r>
    </w:p>
    <w:p>
      <w:pPr>
        <w:pStyle w:val="14"/>
        <w:ind w:left="0" w:leftChars="0" w:firstLine="0" w:firstLineChars="0"/>
        <w:outlineLvl w:val="1"/>
        <w:rPr>
          <w:rFonts w:hint="eastAsia" w:ascii="Times New Roman" w:hAnsi="Times New Roman" w:eastAsia="宋体" w:cstheme="majorBidi"/>
          <w:b/>
          <w:bCs/>
          <w:caps w:val="0"/>
          <w:kern w:val="2"/>
          <w:sz w:val="32"/>
          <w:szCs w:val="32"/>
          <w:lang w:val="en-US" w:eastAsia="zh-CN" w:bidi="ar-SA"/>
        </w:rPr>
      </w:pPr>
      <w:bookmarkStart w:id="78" w:name="_Toc2655"/>
      <w:bookmarkStart w:id="79" w:name="_Toc12690"/>
      <w:bookmarkStart w:id="80" w:name="_Toc22314"/>
      <w:r>
        <w:rPr>
          <w:rFonts w:hint="eastAsia" w:ascii="Times New Roman" w:hAnsi="Times New Roman" w:eastAsia="宋体" w:cstheme="majorBidi"/>
          <w:b/>
          <w:bCs/>
          <w:caps w:val="0"/>
          <w:kern w:val="2"/>
          <w:sz w:val="32"/>
          <w:szCs w:val="32"/>
          <w:highlight w:val="none"/>
          <w:lang w:val="en-US" w:eastAsia="zh-CN" w:bidi="ar-SA"/>
        </w:rPr>
        <w:t>7.2环境质量监测</w:t>
      </w:r>
      <w:bookmarkEnd w:id="78"/>
      <w:bookmarkEnd w:id="79"/>
      <w:bookmarkEnd w:id="80"/>
    </w:p>
    <w:p>
      <w:pPr>
        <w:pStyle w:val="13"/>
        <w:spacing w:beforeAutospacing="0" w:afterAutospacing="0" w:line="360" w:lineRule="auto"/>
        <w:ind w:firstLine="480" w:firstLineChars="200"/>
        <w:rPr>
          <w:rFonts w:hint="default" w:ascii="Times New Roman" w:hAnsi="Times New Roman" w:eastAsiaTheme="minorEastAsia" w:cstheme="minorBidi"/>
          <w:kern w:val="2"/>
          <w:sz w:val="24"/>
          <w:szCs w:val="24"/>
          <w:lang w:val="en-US" w:eastAsia="zh-CN" w:bidi="ar-SA"/>
        </w:rPr>
      </w:pPr>
      <w:r>
        <w:rPr>
          <w:rFonts w:hint="eastAsia" w:ascii="Times New Roman" w:hAnsi="Times New Roman" w:cstheme="minorBidi"/>
          <w:kern w:val="2"/>
          <w:sz w:val="24"/>
          <w:szCs w:val="24"/>
          <w:lang w:val="en-US" w:eastAsia="zh-CN" w:bidi="ar-SA"/>
        </w:rPr>
        <w:t>距离本项目厂界最近的敏感点为</w:t>
      </w:r>
      <w:r>
        <w:rPr>
          <w:rFonts w:hint="eastAsia" w:ascii="Times New Roman" w:hAnsi="Times New Roman" w:eastAsia="宋体" w:cs="Times New Roman"/>
          <w:b w:val="0"/>
          <w:bCs w:val="0"/>
          <w:kern w:val="2"/>
          <w:sz w:val="24"/>
          <w:szCs w:val="20"/>
          <w:lang w:val="en-US" w:eastAsia="zh-CN" w:bidi="zh-CN"/>
        </w:rPr>
        <w:t>东南</w:t>
      </w:r>
      <w:r>
        <w:rPr>
          <w:rFonts w:hint="default" w:ascii="Times New Roman" w:hAnsi="Times New Roman" w:eastAsia="宋体" w:cs="Times New Roman"/>
          <w:b w:val="0"/>
          <w:bCs w:val="0"/>
          <w:kern w:val="2"/>
          <w:sz w:val="24"/>
          <w:szCs w:val="20"/>
          <w:lang w:val="en-US" w:eastAsia="zh-CN" w:bidi="zh-CN"/>
        </w:rPr>
        <w:t>侧</w:t>
      </w:r>
      <w:r>
        <w:rPr>
          <w:rFonts w:hint="eastAsia" w:ascii="Times New Roman" w:hAnsi="Times New Roman" w:eastAsia="宋体" w:cs="Times New Roman"/>
          <w:b w:val="0"/>
          <w:bCs w:val="0"/>
          <w:kern w:val="2"/>
          <w:sz w:val="24"/>
          <w:szCs w:val="20"/>
          <w:lang w:val="en-US" w:eastAsia="zh-CN" w:bidi="zh-CN"/>
        </w:rPr>
        <w:t>574</w:t>
      </w:r>
      <w:r>
        <w:rPr>
          <w:rFonts w:hint="default" w:ascii="Times New Roman" w:hAnsi="Times New Roman" w:eastAsia="宋体" w:cs="Times New Roman"/>
          <w:b w:val="0"/>
          <w:bCs w:val="0"/>
          <w:kern w:val="2"/>
          <w:sz w:val="24"/>
          <w:szCs w:val="20"/>
          <w:lang w:val="en-US" w:eastAsia="zh-CN" w:bidi="zh-CN"/>
        </w:rPr>
        <w:t>m</w:t>
      </w:r>
      <w:r>
        <w:rPr>
          <w:rFonts w:hint="eastAsia" w:ascii="Times New Roman" w:hAnsi="Times New Roman" w:eastAsia="宋体" w:cs="Times New Roman"/>
          <w:b w:val="0"/>
          <w:bCs w:val="0"/>
          <w:kern w:val="2"/>
          <w:sz w:val="24"/>
          <w:szCs w:val="20"/>
          <w:lang w:val="en-US" w:eastAsia="zh-CN" w:bidi="zh-CN"/>
        </w:rPr>
        <w:t>的</w:t>
      </w:r>
      <w:r>
        <w:rPr>
          <w:rFonts w:hint="default" w:ascii="Times New Roman" w:hAnsi="Times New Roman" w:eastAsia="宋体" w:cs="Times New Roman"/>
          <w:b w:val="0"/>
          <w:bCs w:val="0"/>
          <w:kern w:val="2"/>
          <w:sz w:val="24"/>
          <w:szCs w:val="20"/>
          <w:lang w:val="en-US" w:eastAsia="zh-CN" w:bidi="zh-CN"/>
        </w:rPr>
        <w:t>排塘村</w:t>
      </w:r>
      <w:r>
        <w:rPr>
          <w:rFonts w:hint="eastAsia" w:ascii="Times New Roman" w:hAnsi="Times New Roman" w:cstheme="minorBidi"/>
          <w:kern w:val="2"/>
          <w:sz w:val="24"/>
          <w:szCs w:val="24"/>
          <w:lang w:val="en-US" w:eastAsia="zh-CN" w:bidi="ar-SA"/>
        </w:rPr>
        <w:t>。项目厂界周边50米范围内无声环境保护目标，根据《建设项目环境影响报告表编制技术指南（污染影响类）》（试行）中的相关要求，不开展保护目标声环境质量现状评价情况。本次验收监测不涉及。</w:t>
      </w:r>
    </w:p>
    <w:p>
      <w:pPr>
        <w:pStyle w:val="14"/>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pPr>
      <w:bookmarkStart w:id="81" w:name="_Toc618"/>
      <w:r>
        <w:rPr>
          <w:rFonts w:hint="eastAsia"/>
        </w:rPr>
        <w:t>8质量保证及质量控制</w:t>
      </w:r>
      <w:bookmarkEnd w:id="81"/>
    </w:p>
    <w:p>
      <w:pPr>
        <w:pStyle w:val="5"/>
        <w:rPr>
          <w:rFonts w:eastAsia="宋体"/>
        </w:rPr>
      </w:pPr>
      <w:bookmarkStart w:id="82" w:name="_Toc19133"/>
      <w:r>
        <w:rPr>
          <w:rFonts w:eastAsia="宋体"/>
        </w:rPr>
        <w:t>8.1监测分析方法</w:t>
      </w:r>
      <w:bookmarkEnd w:id="82"/>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监测分析方法见表8</w:t>
      </w:r>
      <w:r>
        <w:rPr>
          <w:rFonts w:ascii="Times New Roman" w:hAnsi="Times New Roman"/>
          <w:sz w:val="24"/>
          <w:szCs w:val="24"/>
        </w:rPr>
        <w:t>.1</w:t>
      </w:r>
      <w:r>
        <w:rPr>
          <w:rFonts w:hint="eastAsia" w:ascii="Times New Roman" w:hAnsi="Times New Roman"/>
          <w:sz w:val="24"/>
          <w:szCs w:val="24"/>
        </w:rPr>
        <w:t>-1：</w:t>
      </w:r>
    </w:p>
    <w:p>
      <w:pPr>
        <w:spacing w:line="360" w:lineRule="auto"/>
        <w:jc w:val="center"/>
        <w:rPr>
          <w:rFonts w:hint="eastAsia" w:ascii="Times New Roman" w:hAnsi="Times New Roman"/>
          <w:b/>
          <w:bCs/>
          <w:szCs w:val="21"/>
        </w:rPr>
      </w:pPr>
      <w:r>
        <w:rPr>
          <w:rFonts w:hint="eastAsia" w:ascii="Times New Roman" w:hAnsi="Times New Roman"/>
          <w:b/>
          <w:bCs/>
          <w:szCs w:val="21"/>
        </w:rPr>
        <w:t>表8</w:t>
      </w:r>
      <w:r>
        <w:rPr>
          <w:rFonts w:ascii="Times New Roman" w:hAnsi="Times New Roman"/>
          <w:b/>
          <w:bCs/>
          <w:szCs w:val="21"/>
        </w:rPr>
        <w:t>.1</w:t>
      </w:r>
      <w:r>
        <w:rPr>
          <w:rFonts w:hint="eastAsia" w:ascii="Times New Roman" w:hAnsi="Times New Roman"/>
          <w:b/>
          <w:bCs/>
          <w:szCs w:val="21"/>
        </w:rPr>
        <w:t>-1 监测分析方法</w:t>
      </w:r>
    </w:p>
    <w:tbl>
      <w:tblPr>
        <w:tblStyle w:val="31"/>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9"/>
        <w:gridCol w:w="1187"/>
        <w:gridCol w:w="2157"/>
        <w:gridCol w:w="3130"/>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629" w:type="dxa"/>
            <w:vAlign w:val="center"/>
          </w:tcPr>
          <w:p>
            <w:pPr>
              <w:widowControl/>
              <w:adjustRightInd w:val="0"/>
              <w:snapToGrid w:val="0"/>
              <w:jc w:val="center"/>
              <w:rPr>
                <w:rFonts w:hint="default" w:ascii="Times New Roman" w:hAnsi="Times New Roman" w:eastAsia="仿宋" w:cs="Times New Roman"/>
                <w:b/>
                <w:bCs w:val="0"/>
                <w:color w:val="auto"/>
                <w:kern w:val="0"/>
                <w:szCs w:val="21"/>
                <w:highlight w:val="none"/>
              </w:rPr>
            </w:pPr>
            <w:r>
              <w:rPr>
                <w:rFonts w:hint="default" w:ascii="Times New Roman" w:hAnsi="Times New Roman" w:eastAsia="仿宋" w:cs="Times New Roman"/>
                <w:b/>
                <w:bCs w:val="0"/>
                <w:color w:val="auto"/>
                <w:kern w:val="0"/>
                <w:szCs w:val="21"/>
                <w:highlight w:val="none"/>
              </w:rPr>
              <w:t>类别</w:t>
            </w:r>
          </w:p>
        </w:tc>
        <w:tc>
          <w:tcPr>
            <w:tcW w:w="1187" w:type="dxa"/>
            <w:vAlign w:val="center"/>
          </w:tcPr>
          <w:p>
            <w:pPr>
              <w:widowControl/>
              <w:adjustRightInd w:val="0"/>
              <w:snapToGrid w:val="0"/>
              <w:jc w:val="center"/>
              <w:rPr>
                <w:rFonts w:hint="default" w:ascii="Times New Roman" w:hAnsi="Times New Roman" w:eastAsia="仿宋" w:cs="Times New Roman"/>
                <w:b/>
                <w:bCs w:val="0"/>
                <w:color w:val="auto"/>
                <w:kern w:val="0"/>
                <w:szCs w:val="21"/>
                <w:highlight w:val="none"/>
              </w:rPr>
            </w:pPr>
            <w:r>
              <w:rPr>
                <w:rFonts w:hint="default" w:ascii="Times New Roman" w:hAnsi="Times New Roman" w:eastAsia="仿宋" w:cs="Times New Roman"/>
                <w:b/>
                <w:bCs w:val="0"/>
                <w:color w:val="auto"/>
                <w:kern w:val="0"/>
                <w:szCs w:val="21"/>
                <w:highlight w:val="none"/>
              </w:rPr>
              <w:t>检测项目</w:t>
            </w:r>
          </w:p>
        </w:tc>
        <w:tc>
          <w:tcPr>
            <w:tcW w:w="2157" w:type="dxa"/>
            <w:vAlign w:val="center"/>
          </w:tcPr>
          <w:p>
            <w:pPr>
              <w:widowControl/>
              <w:adjustRightInd w:val="0"/>
              <w:snapToGrid w:val="0"/>
              <w:jc w:val="center"/>
              <w:rPr>
                <w:rFonts w:hint="default" w:ascii="Times New Roman" w:hAnsi="Times New Roman" w:eastAsia="仿宋" w:cs="Times New Roman"/>
                <w:b/>
                <w:bCs w:val="0"/>
                <w:color w:val="auto"/>
                <w:kern w:val="0"/>
                <w:szCs w:val="21"/>
                <w:highlight w:val="none"/>
              </w:rPr>
            </w:pPr>
            <w:r>
              <w:rPr>
                <w:rFonts w:hint="default" w:ascii="Times New Roman" w:hAnsi="Times New Roman" w:eastAsia="仿宋" w:cs="Times New Roman"/>
                <w:b/>
                <w:bCs w:val="0"/>
                <w:color w:val="auto"/>
                <w:kern w:val="0"/>
                <w:szCs w:val="21"/>
                <w:highlight w:val="none"/>
              </w:rPr>
              <w:t>主要检测设备名称</w:t>
            </w:r>
          </w:p>
          <w:p>
            <w:pPr>
              <w:widowControl/>
              <w:adjustRightInd w:val="0"/>
              <w:snapToGrid w:val="0"/>
              <w:jc w:val="center"/>
              <w:rPr>
                <w:rFonts w:hint="default" w:ascii="Times New Roman" w:hAnsi="Times New Roman" w:eastAsia="仿宋" w:cs="Times New Roman"/>
                <w:b/>
                <w:bCs w:val="0"/>
                <w:color w:val="auto"/>
                <w:kern w:val="0"/>
                <w:szCs w:val="21"/>
                <w:highlight w:val="none"/>
              </w:rPr>
            </w:pPr>
            <w:r>
              <w:rPr>
                <w:rFonts w:hint="default" w:ascii="Times New Roman" w:hAnsi="Times New Roman" w:eastAsia="仿宋" w:cs="Times New Roman"/>
                <w:b/>
                <w:bCs w:val="0"/>
                <w:color w:val="auto"/>
                <w:kern w:val="0"/>
                <w:szCs w:val="21"/>
                <w:highlight w:val="none"/>
              </w:rPr>
              <w:t>及编号</w:t>
            </w:r>
          </w:p>
        </w:tc>
        <w:tc>
          <w:tcPr>
            <w:tcW w:w="3130" w:type="dxa"/>
            <w:vAlign w:val="center"/>
          </w:tcPr>
          <w:p>
            <w:pPr>
              <w:widowControl/>
              <w:adjustRightInd w:val="0"/>
              <w:snapToGrid w:val="0"/>
              <w:jc w:val="center"/>
              <w:rPr>
                <w:rFonts w:hint="default" w:ascii="Times New Roman" w:hAnsi="Times New Roman" w:eastAsia="仿宋" w:cs="Times New Roman"/>
                <w:b/>
                <w:bCs w:val="0"/>
                <w:color w:val="auto"/>
                <w:kern w:val="0"/>
                <w:szCs w:val="21"/>
                <w:highlight w:val="none"/>
              </w:rPr>
            </w:pPr>
            <w:r>
              <w:rPr>
                <w:rFonts w:hint="default" w:ascii="Times New Roman" w:hAnsi="Times New Roman" w:eastAsia="仿宋" w:cs="Times New Roman"/>
                <w:b/>
                <w:bCs w:val="0"/>
                <w:color w:val="auto"/>
                <w:kern w:val="0"/>
                <w:szCs w:val="21"/>
                <w:highlight w:val="none"/>
              </w:rPr>
              <w:t>检测依据</w:t>
            </w:r>
          </w:p>
        </w:tc>
        <w:tc>
          <w:tcPr>
            <w:tcW w:w="1298" w:type="dxa"/>
            <w:vAlign w:val="center"/>
          </w:tcPr>
          <w:p>
            <w:pPr>
              <w:widowControl/>
              <w:adjustRightInd w:val="0"/>
              <w:snapToGrid w:val="0"/>
              <w:jc w:val="center"/>
              <w:rPr>
                <w:rFonts w:hint="default" w:ascii="Times New Roman" w:hAnsi="Times New Roman" w:eastAsia="仿宋" w:cs="Times New Roman"/>
                <w:b/>
                <w:bCs w:val="0"/>
                <w:color w:val="auto"/>
                <w:kern w:val="0"/>
                <w:szCs w:val="21"/>
                <w:highlight w:val="none"/>
              </w:rPr>
            </w:pPr>
            <w:r>
              <w:rPr>
                <w:rFonts w:hint="default" w:ascii="Times New Roman" w:hAnsi="Times New Roman" w:eastAsia="仿宋" w:cs="Times New Roman"/>
                <w:b/>
                <w:bCs w:val="0"/>
                <w:color w:val="auto"/>
                <w:kern w:val="0"/>
                <w:szCs w:val="21"/>
                <w:highlight w:val="none"/>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restart"/>
            <w:vAlign w:val="center"/>
          </w:tcPr>
          <w:p>
            <w:pPr>
              <w:adjustRightInd w:val="0"/>
              <w:snapToGrid w:val="0"/>
              <w:jc w:val="center"/>
              <w:rPr>
                <w:rFonts w:hint="default" w:ascii="Times New Roman" w:hAnsi="Times New Roman" w:eastAsia="仿宋" w:cs="Times New Roman"/>
                <w:bCs/>
                <w:color w:val="auto"/>
                <w:kern w:val="0"/>
                <w:szCs w:val="21"/>
                <w:lang w:val="en-US" w:eastAsia="zh-CN"/>
              </w:rPr>
            </w:pPr>
            <w:r>
              <w:rPr>
                <w:rFonts w:hint="default" w:ascii="Times New Roman" w:hAnsi="Times New Roman" w:eastAsia="仿宋" w:cs="Times New Roman"/>
                <w:bCs/>
                <w:color w:val="auto"/>
                <w:kern w:val="0"/>
                <w:szCs w:val="21"/>
                <w:lang w:val="en-US" w:eastAsia="zh-CN"/>
              </w:rPr>
              <w:t>水和废水</w:t>
            </w:r>
          </w:p>
        </w:tc>
        <w:tc>
          <w:tcPr>
            <w:tcW w:w="1187" w:type="dxa"/>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pH</w:t>
            </w:r>
          </w:p>
        </w:tc>
        <w:tc>
          <w:tcPr>
            <w:tcW w:w="2157" w:type="dxa"/>
            <w:vAlign w:val="center"/>
          </w:tcPr>
          <w:p>
            <w:pPr>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SX836便携式pH/电导率/溶解氧仪</w:t>
            </w:r>
          </w:p>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（GXZY21021）</w:t>
            </w:r>
          </w:p>
        </w:tc>
        <w:tc>
          <w:tcPr>
            <w:tcW w:w="3130"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《水质 pH值的测定 电极法》</w:t>
            </w:r>
          </w:p>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HJ 1147-2020</w:t>
            </w:r>
          </w:p>
        </w:tc>
        <w:tc>
          <w:tcPr>
            <w:tcW w:w="1298" w:type="dxa"/>
            <w:vAlign w:val="center"/>
          </w:tcPr>
          <w:p>
            <w:pPr>
              <w:jc w:val="center"/>
              <w:rPr>
                <w:rFonts w:hint="default" w:ascii="Times New Roman" w:hAnsi="Times New Roman" w:eastAsia="仿宋" w:cs="Times New Roman"/>
                <w:b/>
                <w:color w:val="auto"/>
                <w:kern w:val="2"/>
                <w:sz w:val="24"/>
                <w:szCs w:val="22"/>
                <w:lang w:val="en-US" w:eastAsia="zh-CN" w:bidi="ar-SA"/>
              </w:rPr>
            </w:pPr>
            <w:r>
              <w:rPr>
                <w:rFonts w:hint="default" w:ascii="Times New Roman" w:hAnsi="Times New Roman" w:eastAsia="仿宋" w:cs="Times New Roman"/>
                <w:bCs/>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悬浮物</w:t>
            </w:r>
          </w:p>
        </w:tc>
        <w:tc>
          <w:tcPr>
            <w:tcW w:w="2157" w:type="dxa"/>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PW125DZH电子分析天平（GXZY18059）</w:t>
            </w:r>
          </w:p>
        </w:tc>
        <w:tc>
          <w:tcPr>
            <w:tcW w:w="3130" w:type="dxa"/>
            <w:vAlign w:val="center"/>
          </w:tcPr>
          <w:p>
            <w:pPr>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《水质 悬浮物的测定 重量法》</w:t>
            </w:r>
          </w:p>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GB/T 11901-1989</w:t>
            </w:r>
          </w:p>
        </w:tc>
        <w:tc>
          <w:tcPr>
            <w:tcW w:w="1298" w:type="dxa"/>
            <w:vAlign w:val="center"/>
          </w:tcPr>
          <w:p>
            <w:pPr>
              <w:jc w:val="center"/>
              <w:rPr>
                <w:rFonts w:hint="default" w:ascii="Times New Roman" w:hAnsi="Times New Roman" w:eastAsia="仿宋" w:cs="Times New Roman"/>
                <w:color w:val="auto"/>
                <w:kern w:val="2"/>
                <w:sz w:val="24"/>
                <w:szCs w:val="22"/>
                <w:lang w:val="en-US" w:eastAsia="zh-CN" w:bidi="ar-SA"/>
              </w:rPr>
            </w:pPr>
            <w:r>
              <w:rPr>
                <w:rFonts w:hint="default" w:ascii="Times New Roman" w:hAnsi="Times New Roman" w:eastAsia="仿宋" w:cs="Times New Roman"/>
                <w:bCs/>
                <w:color w:val="auto"/>
                <w:kern w:val="0"/>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五日生化需氧量</w:t>
            </w:r>
          </w:p>
        </w:tc>
        <w:tc>
          <w:tcPr>
            <w:tcW w:w="215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SPX-150B-Z生化培养箱（GXZY19052）</w:t>
            </w:r>
          </w:p>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JPSJ-605F溶解氧测定仪（GXZY23011）</w:t>
            </w:r>
          </w:p>
        </w:tc>
        <w:tc>
          <w:tcPr>
            <w:tcW w:w="3130"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《水质 五日生化需氧量(BOD</w:t>
            </w:r>
            <w:r>
              <w:rPr>
                <w:rFonts w:hint="default" w:ascii="Times New Roman" w:hAnsi="Times New Roman" w:eastAsia="仿宋" w:cs="Times New Roman"/>
                <w:color w:val="auto"/>
                <w:szCs w:val="21"/>
                <w:vertAlign w:val="subscript"/>
              </w:rPr>
              <w:t>5</w:t>
            </w:r>
            <w:r>
              <w:rPr>
                <w:rFonts w:hint="default" w:ascii="Times New Roman" w:hAnsi="Times New Roman" w:eastAsia="仿宋" w:cs="Times New Roman"/>
                <w:color w:val="auto"/>
                <w:szCs w:val="21"/>
              </w:rPr>
              <w:t>)的测定</w:t>
            </w:r>
            <w:r>
              <w:rPr>
                <w:rFonts w:hint="eastAsia" w:ascii="Times New Roman" w:hAnsi="Times New Roman" w:eastAsia="仿宋" w:cs="Times New Roman"/>
                <w:color w:val="auto"/>
                <w:szCs w:val="21"/>
                <w:lang w:val="en-US" w:eastAsia="zh-CN"/>
              </w:rPr>
              <w:t xml:space="preserve"> </w:t>
            </w:r>
            <w:r>
              <w:rPr>
                <w:rFonts w:hint="default" w:ascii="Times New Roman" w:hAnsi="Times New Roman" w:eastAsia="仿宋" w:cs="Times New Roman"/>
                <w:color w:val="auto"/>
                <w:szCs w:val="21"/>
              </w:rPr>
              <w:t>稀释与接种法》</w:t>
            </w:r>
          </w:p>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HJ 505-2009</w:t>
            </w:r>
          </w:p>
        </w:tc>
        <w:tc>
          <w:tcPr>
            <w:tcW w:w="1298" w:type="dxa"/>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color w:val="auto"/>
                <w:szCs w:val="21"/>
              </w:rPr>
              <w:t>化学需氧量</w:t>
            </w:r>
          </w:p>
        </w:tc>
        <w:tc>
          <w:tcPr>
            <w:tcW w:w="2157" w:type="dxa"/>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color w:val="auto"/>
                <w:szCs w:val="21"/>
              </w:rPr>
              <w:t>50mL无色酸式滴定管（GX-DDG-05-001）</w:t>
            </w:r>
          </w:p>
        </w:tc>
        <w:tc>
          <w:tcPr>
            <w:tcW w:w="3130" w:type="dxa"/>
            <w:vAlign w:val="center"/>
          </w:tcPr>
          <w:p>
            <w:pPr>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color w:val="auto"/>
                <w:szCs w:val="21"/>
              </w:rPr>
              <w:t>《水质 化学需氧量的测定 重铬酸盐法》</w:t>
            </w:r>
            <w:r>
              <w:rPr>
                <w:rFonts w:hint="eastAsia" w:ascii="Times New Roman" w:hAnsi="Times New Roman" w:eastAsia="仿宋" w:cs="Times New Roman"/>
                <w:color w:val="auto"/>
                <w:szCs w:val="21"/>
                <w:lang w:val="en-US" w:eastAsia="zh-CN"/>
              </w:rPr>
              <w:t xml:space="preserve"> </w:t>
            </w:r>
            <w:r>
              <w:rPr>
                <w:rFonts w:hint="default" w:ascii="Times New Roman" w:hAnsi="Times New Roman" w:eastAsia="仿宋" w:cs="Times New Roman"/>
                <w:color w:val="auto"/>
                <w:szCs w:val="21"/>
              </w:rPr>
              <w:t>HJ 828-2017</w:t>
            </w:r>
          </w:p>
        </w:tc>
        <w:tc>
          <w:tcPr>
            <w:tcW w:w="1298" w:type="dxa"/>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color w:val="auto"/>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vAlign w:val="center"/>
          </w:tcPr>
          <w:p>
            <w:pPr>
              <w:widowControl/>
              <w:adjustRightInd w:val="0"/>
              <w:snapToGrid w:val="0"/>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石油类</w:t>
            </w:r>
          </w:p>
        </w:tc>
        <w:tc>
          <w:tcPr>
            <w:tcW w:w="2157" w:type="dxa"/>
            <w:vMerge w:val="restart"/>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OIL-6红外分光测油仪</w:t>
            </w:r>
          </w:p>
          <w:p>
            <w:pPr>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（GXZY18027）</w:t>
            </w:r>
          </w:p>
        </w:tc>
        <w:tc>
          <w:tcPr>
            <w:tcW w:w="3130" w:type="dxa"/>
            <w:vMerge w:val="restart"/>
            <w:vAlign w:val="center"/>
          </w:tcPr>
          <w:p>
            <w:pPr>
              <w:widowControl/>
              <w:adjustRightInd w:val="0"/>
              <w:snapToGrid w:val="0"/>
              <w:spacing w:line="320" w:lineRule="exact"/>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《水质 石油类和动植物油类的测定 红外分光光度法》</w:t>
            </w:r>
          </w:p>
          <w:p>
            <w:pPr>
              <w:adjustRightInd w:val="0"/>
              <w:snapToGrid w:val="0"/>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HJ 637-2018</w:t>
            </w:r>
          </w:p>
        </w:tc>
        <w:tc>
          <w:tcPr>
            <w:tcW w:w="1298" w:type="dxa"/>
            <w:vMerge w:val="restart"/>
            <w:vAlign w:val="center"/>
          </w:tcPr>
          <w:p>
            <w:pPr>
              <w:widowControl/>
              <w:adjustRightInd w:val="0"/>
              <w:snapToGrid w:val="0"/>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0.06mg/L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动植物油类</w:t>
            </w:r>
          </w:p>
        </w:tc>
        <w:tc>
          <w:tcPr>
            <w:tcW w:w="2157" w:type="dxa"/>
            <w:vMerge w:val="continue"/>
            <w:vAlign w:val="center"/>
          </w:tcPr>
          <w:p>
            <w:pPr>
              <w:jc w:val="center"/>
              <w:rPr>
                <w:rFonts w:hint="default" w:ascii="Times New Roman" w:hAnsi="Times New Roman" w:eastAsia="仿宋" w:cs="Times New Roman"/>
                <w:bCs/>
                <w:color w:val="auto"/>
                <w:kern w:val="0"/>
                <w:szCs w:val="21"/>
              </w:rPr>
            </w:pPr>
          </w:p>
        </w:tc>
        <w:tc>
          <w:tcPr>
            <w:tcW w:w="3130" w:type="dxa"/>
            <w:vMerge w:val="continue"/>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p>
        </w:tc>
        <w:tc>
          <w:tcPr>
            <w:tcW w:w="1298" w:type="dxa"/>
            <w:vMerge w:val="continue"/>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氨氮</w:t>
            </w:r>
          </w:p>
        </w:tc>
        <w:tc>
          <w:tcPr>
            <w:tcW w:w="2157" w:type="dxa"/>
            <w:vMerge w:val="restart"/>
            <w:vAlign w:val="center"/>
          </w:tcPr>
          <w:p>
            <w:pPr>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SP-756P紫外可见分光光度计</w:t>
            </w:r>
          </w:p>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（GXZY18002）</w:t>
            </w:r>
          </w:p>
        </w:tc>
        <w:tc>
          <w:tcPr>
            <w:tcW w:w="3130" w:type="dxa"/>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《水质 氨氮的测定纳氏试剂分光光度法》</w:t>
            </w:r>
            <w:r>
              <w:rPr>
                <w:rFonts w:hint="eastAsia" w:ascii="Times New Roman" w:hAnsi="Times New Roman" w:eastAsia="仿宋" w:cs="Times New Roman"/>
                <w:bCs/>
                <w:color w:val="auto"/>
                <w:kern w:val="0"/>
                <w:szCs w:val="21"/>
                <w:lang w:val="en-US" w:eastAsia="zh-CN"/>
              </w:rPr>
              <w:t xml:space="preserve"> </w:t>
            </w:r>
            <w:r>
              <w:rPr>
                <w:rFonts w:hint="default" w:ascii="Times New Roman" w:hAnsi="Times New Roman" w:eastAsia="仿宋" w:cs="Times New Roman"/>
                <w:bCs/>
                <w:color w:val="auto"/>
                <w:kern w:val="0"/>
                <w:szCs w:val="21"/>
              </w:rPr>
              <w:t>HJ 535-2009</w:t>
            </w:r>
          </w:p>
        </w:tc>
        <w:tc>
          <w:tcPr>
            <w:tcW w:w="1298" w:type="dxa"/>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总磷</w:t>
            </w:r>
          </w:p>
        </w:tc>
        <w:tc>
          <w:tcPr>
            <w:tcW w:w="2157" w:type="dxa"/>
            <w:vMerge w:val="continue"/>
            <w:vAlign w:val="center"/>
          </w:tcPr>
          <w:p>
            <w:pPr>
              <w:adjustRightInd w:val="0"/>
              <w:snapToGrid w:val="0"/>
              <w:jc w:val="center"/>
              <w:rPr>
                <w:rFonts w:hint="default" w:ascii="Times New Roman" w:hAnsi="Times New Roman" w:eastAsia="仿宋" w:cs="Times New Roman"/>
                <w:bCs/>
                <w:color w:val="auto"/>
                <w:kern w:val="0"/>
                <w:sz w:val="21"/>
                <w:szCs w:val="21"/>
                <w:lang w:val="en-US" w:eastAsia="zh-CN" w:bidi="ar-SA"/>
              </w:rPr>
            </w:pPr>
          </w:p>
        </w:tc>
        <w:tc>
          <w:tcPr>
            <w:tcW w:w="3130" w:type="dxa"/>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《水质 总磷的测定 钼酸铵分光光度法》 GB/T 11893-1989</w:t>
            </w:r>
          </w:p>
        </w:tc>
        <w:tc>
          <w:tcPr>
            <w:tcW w:w="1298" w:type="dxa"/>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阴离子表面活性剂</w:t>
            </w:r>
          </w:p>
        </w:tc>
        <w:tc>
          <w:tcPr>
            <w:tcW w:w="215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UV2000紫外可见分光光度计</w:t>
            </w:r>
          </w:p>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color w:val="auto"/>
                <w:szCs w:val="21"/>
              </w:rPr>
              <w:t>（LDZY11037）</w:t>
            </w:r>
          </w:p>
        </w:tc>
        <w:tc>
          <w:tcPr>
            <w:tcW w:w="3130" w:type="dxa"/>
            <w:vAlign w:val="center"/>
          </w:tcPr>
          <w:p>
            <w:pPr>
              <w:widowControl/>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《水质 阴离子表面活性剂的测定 亚甲蓝分光光度法》</w:t>
            </w:r>
          </w:p>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color w:val="auto"/>
                <w:szCs w:val="21"/>
              </w:rPr>
              <w:t>GB/T 7494-1987</w:t>
            </w:r>
          </w:p>
        </w:tc>
        <w:tc>
          <w:tcPr>
            <w:tcW w:w="1298" w:type="dxa"/>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color w:val="auto"/>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restart"/>
            <w:vAlign w:val="center"/>
          </w:tcPr>
          <w:p>
            <w:pPr>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有组织废气</w:t>
            </w:r>
          </w:p>
        </w:tc>
        <w:tc>
          <w:tcPr>
            <w:tcW w:w="1187" w:type="dxa"/>
            <w:tcBorders>
              <w:top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低浓度颗粒物</w:t>
            </w:r>
          </w:p>
        </w:tc>
        <w:tc>
          <w:tcPr>
            <w:tcW w:w="2157" w:type="dxa"/>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EM-3088智能烟尘烟气分析仪（GXZY19065）</w:t>
            </w:r>
          </w:p>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BT125D电子分析天平</w:t>
            </w:r>
          </w:p>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（LDZY11036）</w:t>
            </w:r>
          </w:p>
        </w:tc>
        <w:tc>
          <w:tcPr>
            <w:tcW w:w="3130" w:type="dxa"/>
            <w:tcBorders>
              <w:right w:val="single" w:color="auto" w:sz="4"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《固定污染源废气 低浓度颗粒物的测定 重量法》</w:t>
            </w:r>
          </w:p>
          <w:p>
            <w:pPr>
              <w:widowControl/>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HJ 836-2017</w:t>
            </w:r>
          </w:p>
        </w:tc>
        <w:tc>
          <w:tcPr>
            <w:tcW w:w="1298"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1.0mg/m</w:t>
            </w:r>
            <w:r>
              <w:rPr>
                <w:rFonts w:hint="default" w:ascii="Times New Roman" w:hAnsi="Times New Roman" w:eastAsia="仿宋"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tcBorders>
              <w:top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二氧化硫</w:t>
            </w:r>
          </w:p>
        </w:tc>
        <w:tc>
          <w:tcPr>
            <w:tcW w:w="2157" w:type="dxa"/>
            <w:vMerge w:val="restart"/>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EM-3088智能烟尘烟气分析仪（GXZY19065）</w:t>
            </w:r>
          </w:p>
        </w:tc>
        <w:tc>
          <w:tcPr>
            <w:tcW w:w="3130" w:type="dxa"/>
            <w:tcBorders>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《固定污染源废气 二氧化硫的测定</w:t>
            </w:r>
            <w:r>
              <w:rPr>
                <w:rFonts w:hint="eastAsia" w:ascii="Times New Roman" w:hAnsi="Times New Roman" w:eastAsia="仿宋" w:cs="Times New Roman"/>
                <w:bCs/>
                <w:color w:val="auto"/>
                <w:kern w:val="0"/>
                <w:szCs w:val="21"/>
                <w:lang w:val="en-US" w:eastAsia="zh-CN"/>
              </w:rPr>
              <w:t xml:space="preserve"> </w:t>
            </w:r>
            <w:r>
              <w:rPr>
                <w:rFonts w:hint="default" w:ascii="Times New Roman" w:hAnsi="Times New Roman" w:eastAsia="仿宋" w:cs="Times New Roman"/>
                <w:bCs/>
                <w:color w:val="auto"/>
                <w:kern w:val="0"/>
                <w:szCs w:val="21"/>
              </w:rPr>
              <w:t>定电位电解法》</w:t>
            </w:r>
          </w:p>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HJ 57-2017</w:t>
            </w:r>
          </w:p>
        </w:tc>
        <w:tc>
          <w:tcPr>
            <w:tcW w:w="1298"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3mg/m³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tcBorders>
              <w:top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氮氧化物</w:t>
            </w:r>
          </w:p>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（以NO</w:t>
            </w:r>
            <w:r>
              <w:rPr>
                <w:rFonts w:hint="default" w:ascii="Times New Roman" w:hAnsi="Times New Roman" w:eastAsia="仿宋" w:cs="Times New Roman"/>
                <w:bCs/>
                <w:color w:val="auto"/>
                <w:kern w:val="0"/>
                <w:szCs w:val="21"/>
                <w:vertAlign w:val="subscript"/>
              </w:rPr>
              <w:t>2</w:t>
            </w:r>
            <w:r>
              <w:rPr>
                <w:rFonts w:hint="default" w:ascii="Times New Roman" w:hAnsi="Times New Roman" w:eastAsia="仿宋" w:cs="Times New Roman"/>
                <w:bCs/>
                <w:color w:val="auto"/>
                <w:kern w:val="0"/>
                <w:szCs w:val="21"/>
              </w:rPr>
              <w:t>计）</w:t>
            </w:r>
          </w:p>
        </w:tc>
        <w:tc>
          <w:tcPr>
            <w:tcW w:w="2157" w:type="dxa"/>
            <w:vMerge w:val="continue"/>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p>
        </w:tc>
        <w:tc>
          <w:tcPr>
            <w:tcW w:w="3130" w:type="dxa"/>
            <w:tcBorders>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《固定污染源废气 氮氧化物的测定</w:t>
            </w:r>
            <w:r>
              <w:rPr>
                <w:rFonts w:hint="eastAsia" w:ascii="Times New Roman" w:hAnsi="Times New Roman" w:eastAsia="仿宋" w:cs="Times New Roman"/>
                <w:bCs/>
                <w:color w:val="auto"/>
                <w:kern w:val="0"/>
                <w:szCs w:val="21"/>
                <w:lang w:val="en-US" w:eastAsia="zh-CN"/>
              </w:rPr>
              <w:t xml:space="preserve"> </w:t>
            </w:r>
            <w:r>
              <w:rPr>
                <w:rFonts w:hint="default" w:ascii="Times New Roman" w:hAnsi="Times New Roman" w:eastAsia="仿宋" w:cs="Times New Roman"/>
                <w:bCs/>
                <w:color w:val="auto"/>
                <w:kern w:val="0"/>
                <w:szCs w:val="21"/>
              </w:rPr>
              <w:t>定电位电解法》</w:t>
            </w:r>
          </w:p>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HJ 693-2014</w:t>
            </w:r>
          </w:p>
        </w:tc>
        <w:tc>
          <w:tcPr>
            <w:tcW w:w="1298"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3mg/m³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tcBorders>
              <w:top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二甲苯</w:t>
            </w:r>
          </w:p>
        </w:tc>
        <w:tc>
          <w:tcPr>
            <w:tcW w:w="2157" w:type="dxa"/>
            <w:vMerge w:val="restart"/>
            <w:vAlign w:val="center"/>
          </w:tcPr>
          <w:p>
            <w:pPr>
              <w:widowControl/>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ZR-3520真空箱气袋采样器（GXZY21017）</w:t>
            </w:r>
          </w:p>
          <w:p>
            <w:pPr>
              <w:widowControl/>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ZR-3731型恶臭气体采样器（GXZY21026）</w:t>
            </w:r>
          </w:p>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7890B-5977B气相色谱质谱仪（GXZY19042）</w:t>
            </w:r>
          </w:p>
        </w:tc>
        <w:tc>
          <w:tcPr>
            <w:tcW w:w="3130" w:type="dxa"/>
            <w:vMerge w:val="restart"/>
            <w:tcBorders>
              <w:right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《固定污染源废气 挥发性有机物的测定 固相吸附-热脱附/气相色谱-质谱法》</w:t>
            </w:r>
          </w:p>
          <w:p>
            <w:pPr>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HJ 734-2014</w:t>
            </w:r>
          </w:p>
        </w:tc>
        <w:tc>
          <w:tcPr>
            <w:tcW w:w="1298"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0.013</w:t>
            </w:r>
          </w:p>
          <w:p>
            <w:pPr>
              <w:widowControl/>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mg/m</w:t>
            </w:r>
            <w:r>
              <w:rPr>
                <w:rFonts w:hint="default" w:ascii="Times New Roman" w:hAnsi="Times New Roman" w:eastAsia="仿宋"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tcBorders>
              <w:top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乙酸丁酯</w:t>
            </w:r>
          </w:p>
        </w:tc>
        <w:tc>
          <w:tcPr>
            <w:tcW w:w="2157" w:type="dxa"/>
            <w:vMerge w:val="continue"/>
            <w:vAlign w:val="center"/>
          </w:tcPr>
          <w:p>
            <w:pPr>
              <w:widowControl/>
              <w:adjustRightInd w:val="0"/>
              <w:snapToGrid w:val="0"/>
              <w:spacing w:line="320" w:lineRule="exact"/>
              <w:jc w:val="center"/>
              <w:rPr>
                <w:rFonts w:hint="default" w:ascii="Times New Roman" w:hAnsi="Times New Roman" w:eastAsia="仿宋" w:cs="Times New Roman"/>
                <w:bCs/>
                <w:color w:val="auto"/>
                <w:kern w:val="0"/>
                <w:szCs w:val="21"/>
              </w:rPr>
            </w:pPr>
          </w:p>
        </w:tc>
        <w:tc>
          <w:tcPr>
            <w:tcW w:w="3130" w:type="dxa"/>
            <w:vMerge w:val="continue"/>
            <w:tcBorders>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Cs w:val="21"/>
              </w:rPr>
            </w:pPr>
          </w:p>
        </w:tc>
        <w:tc>
          <w:tcPr>
            <w:tcW w:w="1298"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0.005</w:t>
            </w:r>
          </w:p>
          <w:p>
            <w:pPr>
              <w:widowControl/>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mg/m</w:t>
            </w:r>
            <w:r>
              <w:rPr>
                <w:rFonts w:hint="default" w:ascii="Times New Roman" w:hAnsi="Times New Roman" w:eastAsia="仿宋"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tcBorders>
              <w:top w:val="single" w:color="auto" w:sz="4" w:space="0"/>
            </w:tcBorders>
            <w:vAlign w:val="center"/>
          </w:tcPr>
          <w:p>
            <w:pPr>
              <w:widowControl/>
              <w:adjustRightInd w:val="0"/>
              <w:snapToGrid w:val="0"/>
              <w:spacing w:line="320" w:lineRule="exact"/>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非甲烷总烃</w:t>
            </w:r>
          </w:p>
        </w:tc>
        <w:tc>
          <w:tcPr>
            <w:tcW w:w="2157" w:type="dxa"/>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ZR-3520型真空箱气体袋采样器（GXZY19017）</w:t>
            </w:r>
            <w:r>
              <w:rPr>
                <w:rFonts w:hint="default" w:ascii="Times New Roman" w:hAnsi="Times New Roman" w:eastAsia="仿宋" w:cs="Times New Roman"/>
                <w:color w:val="auto"/>
                <w:szCs w:val="21"/>
              </w:rPr>
              <w:t>ZR-3731型恶臭气体采样器（GXZY21026）</w:t>
            </w:r>
          </w:p>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HF-900气相色谱仪</w:t>
            </w:r>
          </w:p>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（GXZY21012）</w:t>
            </w:r>
          </w:p>
        </w:tc>
        <w:tc>
          <w:tcPr>
            <w:tcW w:w="3130" w:type="dxa"/>
            <w:tcBorders>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《固定污染源废气 总烃、甲烷和非甲烷总烃的测定 气相色谱法》</w:t>
            </w:r>
          </w:p>
          <w:p>
            <w:pPr>
              <w:widowControl/>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HJ 38-2017</w:t>
            </w:r>
          </w:p>
        </w:tc>
        <w:tc>
          <w:tcPr>
            <w:tcW w:w="1298"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0.07mg/m</w:t>
            </w:r>
            <w:r>
              <w:rPr>
                <w:rFonts w:hint="default" w:ascii="Times New Roman" w:hAnsi="Times New Roman" w:eastAsia="仿宋" w:cs="Times New Roman"/>
                <w:bCs/>
                <w:color w:val="auto"/>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tcBorders>
              <w:top w:val="single" w:color="auto" w:sz="4" w:space="0"/>
            </w:tcBorders>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臭气浓度</w:t>
            </w:r>
          </w:p>
        </w:tc>
        <w:tc>
          <w:tcPr>
            <w:tcW w:w="2157" w:type="dxa"/>
            <w:vAlign w:val="center"/>
          </w:tcPr>
          <w:p>
            <w:pPr>
              <w:widowControl/>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ZR-3731型恶臭气体采样器（GXZY21026）</w:t>
            </w:r>
          </w:p>
        </w:tc>
        <w:tc>
          <w:tcPr>
            <w:tcW w:w="3130" w:type="dxa"/>
            <w:tcBorders>
              <w:right w:val="single" w:color="auto" w:sz="4" w:space="0"/>
            </w:tcBorders>
            <w:vAlign w:val="center"/>
          </w:tcPr>
          <w:p>
            <w:pPr>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《环境空气和废气 臭气的测定 三点比较式臭袋法》</w:t>
            </w:r>
          </w:p>
          <w:p>
            <w:pPr>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HJ 1262-2022</w:t>
            </w:r>
          </w:p>
        </w:tc>
        <w:tc>
          <w:tcPr>
            <w:tcW w:w="1298"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restart"/>
            <w:vAlign w:val="center"/>
          </w:tcPr>
          <w:p>
            <w:pPr>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无组织废气</w:t>
            </w:r>
          </w:p>
        </w:tc>
        <w:tc>
          <w:tcPr>
            <w:tcW w:w="1187" w:type="dxa"/>
            <w:tcBorders>
              <w:top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color w:val="auto"/>
                <w:szCs w:val="21"/>
              </w:rPr>
              <w:t>颗粒物</w:t>
            </w:r>
          </w:p>
        </w:tc>
        <w:tc>
          <w:tcPr>
            <w:tcW w:w="2157" w:type="dxa"/>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ZR-3923型环境空气颗粒物综合采样器</w:t>
            </w:r>
          </w:p>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（GXZY22034、GXZY22036、GXZY22037）</w:t>
            </w:r>
          </w:p>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BT125D电子分析天平</w:t>
            </w:r>
          </w:p>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（LDZY11036）</w:t>
            </w:r>
          </w:p>
        </w:tc>
        <w:tc>
          <w:tcPr>
            <w:tcW w:w="3130" w:type="dxa"/>
            <w:tcBorders>
              <w:right w:val="single" w:color="auto" w:sz="4"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《环境空气 总悬浮颗粒物的测定</w:t>
            </w:r>
          </w:p>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重量法》</w:t>
            </w:r>
          </w:p>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HJ 1263-2022</w:t>
            </w:r>
          </w:p>
        </w:tc>
        <w:tc>
          <w:tcPr>
            <w:tcW w:w="1298"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0.167mg/m</w:t>
            </w:r>
            <w:r>
              <w:rPr>
                <w:rFonts w:hint="default" w:ascii="Times New Roman" w:hAnsi="Times New Roman" w:eastAsia="仿宋" w:cs="Times New Roman"/>
                <w:bCs/>
                <w:color w:val="auto"/>
                <w:kern w:val="0"/>
                <w:szCs w:val="21"/>
                <w:vertAlign w:val="superscript"/>
              </w:rPr>
              <w:t>3</w:t>
            </w:r>
            <w:r>
              <w:rPr>
                <w:rFonts w:hint="default" w:ascii="Times New Roman" w:hAnsi="Times New Roman" w:eastAsia="仿宋" w:cs="Times New Roman"/>
                <w:bCs/>
                <w:color w:val="auto"/>
                <w:kern w:val="0"/>
                <w:szCs w:val="21"/>
              </w:rPr>
              <w:t>（按采样1小时体积6m</w:t>
            </w:r>
            <w:r>
              <w:rPr>
                <w:rFonts w:hint="default" w:ascii="Times New Roman" w:hAnsi="Times New Roman" w:eastAsia="仿宋" w:cs="Times New Roman"/>
                <w:bCs/>
                <w:color w:val="auto"/>
                <w:kern w:val="0"/>
                <w:szCs w:val="21"/>
                <w:vertAlign w:val="superscript"/>
              </w:rPr>
              <w:t>3</w:t>
            </w:r>
            <w:r>
              <w:rPr>
                <w:rFonts w:hint="default" w:ascii="Times New Roman" w:hAnsi="Times New Roman" w:eastAsia="仿宋" w:cs="Times New Roman"/>
                <w:bCs/>
                <w:color w:val="auto"/>
                <w:kern w:val="0"/>
                <w:szCs w:val="21"/>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tcBorders>
              <w:top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二甲苯</w:t>
            </w:r>
          </w:p>
        </w:tc>
        <w:tc>
          <w:tcPr>
            <w:tcW w:w="2157" w:type="dxa"/>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ZR-3923型环境空气颗粒物综合采样器</w:t>
            </w:r>
          </w:p>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（GXZY22034、GXZY22036、GXZY22037）</w:t>
            </w:r>
          </w:p>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GC-2010气相色谱仪</w:t>
            </w:r>
          </w:p>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（GXZY18001）</w:t>
            </w:r>
          </w:p>
          <w:p>
            <w:pPr>
              <w:widowControl/>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Agilent 6890N气相色谱仪（LDZY16006）</w:t>
            </w:r>
          </w:p>
        </w:tc>
        <w:tc>
          <w:tcPr>
            <w:tcW w:w="3130" w:type="dxa"/>
            <w:tcBorders>
              <w:right w:val="single" w:color="auto" w:sz="4" w:space="0"/>
            </w:tcBorders>
            <w:vAlign w:val="center"/>
          </w:tcPr>
          <w:p>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《环境空气 苯系物的测定 活性炭吸附/二硫化碳解吸-气相色谱法》</w:t>
            </w:r>
            <w:r>
              <w:rPr>
                <w:rFonts w:hint="eastAsia" w:ascii="Times New Roman" w:hAnsi="Times New Roman" w:eastAsia="仿宋" w:cs="Times New Roman"/>
                <w:bCs/>
                <w:color w:val="auto"/>
                <w:kern w:val="0"/>
                <w:szCs w:val="21"/>
                <w:lang w:val="en-US" w:eastAsia="zh-CN"/>
              </w:rPr>
              <w:t xml:space="preserve"> </w:t>
            </w:r>
            <w:r>
              <w:rPr>
                <w:rFonts w:hint="default" w:ascii="Times New Roman" w:hAnsi="Times New Roman" w:eastAsia="仿宋" w:cs="Times New Roman"/>
                <w:bCs/>
                <w:color w:val="auto"/>
                <w:kern w:val="0"/>
                <w:szCs w:val="21"/>
              </w:rPr>
              <w:t>HJ 584-2010</w:t>
            </w:r>
          </w:p>
        </w:tc>
        <w:tc>
          <w:tcPr>
            <w:tcW w:w="1298"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Cs w:val="21"/>
                <w:vertAlign w:val="superscript"/>
              </w:rPr>
            </w:pPr>
            <w:r>
              <w:rPr>
                <w:rFonts w:hint="default" w:ascii="Times New Roman" w:hAnsi="Times New Roman" w:eastAsia="仿宋" w:cs="Times New Roman"/>
                <w:bCs/>
                <w:color w:val="auto"/>
                <w:kern w:val="0"/>
                <w:szCs w:val="21"/>
              </w:rPr>
              <w:t>1.5×10</w:t>
            </w:r>
            <w:r>
              <w:rPr>
                <w:rFonts w:hint="default" w:ascii="Times New Roman" w:hAnsi="Times New Roman" w:eastAsia="仿宋" w:cs="Times New Roman"/>
                <w:bCs/>
                <w:color w:val="auto"/>
                <w:kern w:val="0"/>
                <w:szCs w:val="21"/>
                <w:vertAlign w:val="superscript"/>
              </w:rPr>
              <w:t>-3</w:t>
            </w:r>
          </w:p>
          <w:p>
            <w:pPr>
              <w:widowControl/>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mg/m</w:t>
            </w:r>
            <w:r>
              <w:rPr>
                <w:rFonts w:hint="default" w:ascii="Times New Roman" w:hAnsi="Times New Roman" w:eastAsia="仿宋"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tcBorders>
              <w:top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非甲烷总烃</w:t>
            </w:r>
          </w:p>
        </w:tc>
        <w:tc>
          <w:tcPr>
            <w:tcW w:w="2157" w:type="dxa"/>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RH2071i真空箱气袋采样器（GXZY23071、GXZY23072、GXZY23073、GXZY23075）</w:t>
            </w:r>
          </w:p>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HF-900气相色谱仪</w:t>
            </w:r>
          </w:p>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（GXZY21012）</w:t>
            </w:r>
          </w:p>
        </w:tc>
        <w:tc>
          <w:tcPr>
            <w:tcW w:w="3130" w:type="dxa"/>
            <w:tcBorders>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《环境空气 总烃、甲烷和非甲烷总烃的测定 直接进样-气相色谱法》</w:t>
            </w:r>
            <w:r>
              <w:rPr>
                <w:rFonts w:hint="eastAsia" w:ascii="Times New Roman" w:hAnsi="Times New Roman" w:eastAsia="仿宋" w:cs="Times New Roman"/>
                <w:bCs/>
                <w:color w:val="auto"/>
                <w:kern w:val="0"/>
                <w:szCs w:val="21"/>
                <w:lang w:val="en-US" w:eastAsia="zh-CN"/>
              </w:rPr>
              <w:t xml:space="preserve"> </w:t>
            </w:r>
            <w:r>
              <w:rPr>
                <w:rFonts w:hint="default" w:ascii="Times New Roman" w:hAnsi="Times New Roman" w:eastAsia="仿宋" w:cs="Times New Roman"/>
                <w:bCs/>
                <w:color w:val="auto"/>
                <w:kern w:val="0"/>
                <w:szCs w:val="21"/>
              </w:rPr>
              <w:t>HJ 604-2017</w:t>
            </w:r>
          </w:p>
        </w:tc>
        <w:tc>
          <w:tcPr>
            <w:tcW w:w="1298"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0.07mg/m</w:t>
            </w:r>
            <w:r>
              <w:rPr>
                <w:rFonts w:hint="default" w:ascii="Times New Roman" w:hAnsi="Times New Roman" w:eastAsia="仿宋" w:cs="Times New Roman"/>
                <w:bCs/>
                <w:color w:val="auto"/>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Merge w:val="continue"/>
            <w:vAlign w:val="center"/>
          </w:tcPr>
          <w:p>
            <w:pPr>
              <w:adjustRightInd w:val="0"/>
              <w:snapToGrid w:val="0"/>
              <w:jc w:val="center"/>
              <w:rPr>
                <w:rFonts w:hint="default" w:ascii="Times New Roman" w:hAnsi="Times New Roman" w:eastAsia="仿宋" w:cs="Times New Roman"/>
                <w:bCs/>
                <w:color w:val="auto"/>
                <w:kern w:val="0"/>
                <w:szCs w:val="21"/>
              </w:rPr>
            </w:pPr>
          </w:p>
        </w:tc>
        <w:tc>
          <w:tcPr>
            <w:tcW w:w="1187" w:type="dxa"/>
            <w:tcBorders>
              <w:top w:val="single" w:color="auto" w:sz="4" w:space="0"/>
            </w:tcBorders>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臭气浓度</w:t>
            </w:r>
          </w:p>
        </w:tc>
        <w:tc>
          <w:tcPr>
            <w:tcW w:w="2157" w:type="dxa"/>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RH2071i真空箱气袋采样器（GXZY23071、GXZY23072、GXZY23073）</w:t>
            </w:r>
          </w:p>
        </w:tc>
        <w:tc>
          <w:tcPr>
            <w:tcW w:w="3130" w:type="dxa"/>
            <w:tcBorders>
              <w:right w:val="single" w:color="auto" w:sz="4" w:space="0"/>
            </w:tcBorders>
            <w:vAlign w:val="center"/>
          </w:tcPr>
          <w:p>
            <w:pPr>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《环境空气和废气 臭气的测定 三点比较式臭袋法》</w:t>
            </w:r>
          </w:p>
          <w:p>
            <w:pPr>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HJ 1262-2022</w:t>
            </w:r>
          </w:p>
        </w:tc>
        <w:tc>
          <w:tcPr>
            <w:tcW w:w="1298"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bCs/>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噪声</w:t>
            </w:r>
          </w:p>
        </w:tc>
        <w:tc>
          <w:tcPr>
            <w:tcW w:w="118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工业企业厂界环境噪声</w:t>
            </w:r>
          </w:p>
        </w:tc>
        <w:tc>
          <w:tcPr>
            <w:tcW w:w="2157"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AWA5688多功能声级计（GXZY21013）</w:t>
            </w:r>
          </w:p>
        </w:tc>
        <w:tc>
          <w:tcPr>
            <w:tcW w:w="31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《工业企业厂界环境噪声排放标准》</w:t>
            </w:r>
            <w:r>
              <w:rPr>
                <w:rFonts w:hint="eastAsia" w:ascii="Times New Roman" w:hAnsi="Times New Roman" w:eastAsia="仿宋" w:cs="Times New Roman"/>
                <w:bCs/>
                <w:color w:val="auto"/>
                <w:kern w:val="0"/>
                <w:szCs w:val="21"/>
                <w:lang w:val="en-US" w:eastAsia="zh-CN"/>
              </w:rPr>
              <w:t xml:space="preserve"> </w:t>
            </w:r>
            <w:r>
              <w:rPr>
                <w:rFonts w:hint="default" w:ascii="Times New Roman" w:hAnsi="Times New Roman" w:eastAsia="仿宋" w:cs="Times New Roman"/>
                <w:bCs/>
                <w:color w:val="auto"/>
                <w:kern w:val="0"/>
                <w:szCs w:val="21"/>
              </w:rPr>
              <w:t>GB 12348-2008</w:t>
            </w:r>
          </w:p>
        </w:tc>
        <w:tc>
          <w:tcPr>
            <w:tcW w:w="129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仿宋" w:cs="Times New Roman"/>
                <w:bCs/>
                <w:color w:val="auto"/>
                <w:kern w:val="0"/>
                <w:sz w:val="21"/>
                <w:szCs w:val="21"/>
                <w:lang w:val="en-US" w:eastAsia="zh-CN" w:bidi="ar-SA"/>
              </w:rPr>
            </w:pPr>
            <w:r>
              <w:rPr>
                <w:rFonts w:hint="default" w:ascii="Times New Roman" w:hAnsi="Times New Roman" w:eastAsia="仿宋" w:cs="Times New Roman"/>
                <w:bCs/>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9" w:type="dxa"/>
            <w:vAlign w:val="center"/>
          </w:tcPr>
          <w:p>
            <w:pPr>
              <w:widowControl/>
              <w:adjustRightInd w:val="0"/>
              <w:snapToGrid w:val="0"/>
              <w:jc w:val="center"/>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备注</w:t>
            </w:r>
          </w:p>
        </w:tc>
        <w:tc>
          <w:tcPr>
            <w:tcW w:w="7772" w:type="dxa"/>
            <w:gridSpan w:val="4"/>
            <w:vAlign w:val="center"/>
          </w:tcPr>
          <w:p>
            <w:pPr>
              <w:widowControl/>
              <w:adjustRightInd w:val="0"/>
              <w:snapToGrid w:val="0"/>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1、“---”表示方法无检出限；</w:t>
            </w:r>
          </w:p>
          <w:p>
            <w:pPr>
              <w:widowControl/>
              <w:adjustRightInd w:val="0"/>
              <w:snapToGrid w:val="0"/>
              <w:rPr>
                <w:rFonts w:hint="default" w:ascii="Times New Roman" w:hAnsi="Times New Roman" w:eastAsia="仿宋" w:cs="Times New Roman"/>
                <w:bCs/>
                <w:color w:val="auto"/>
                <w:kern w:val="0"/>
                <w:szCs w:val="21"/>
              </w:rPr>
            </w:pPr>
            <w:r>
              <w:rPr>
                <w:rFonts w:hint="default" w:ascii="Times New Roman" w:hAnsi="Times New Roman" w:eastAsia="仿宋" w:cs="Times New Roman"/>
                <w:bCs/>
                <w:color w:val="auto"/>
                <w:kern w:val="0"/>
                <w:szCs w:val="21"/>
              </w:rPr>
              <w:t>2、“/”表示不涉及检测仪器。</w:t>
            </w:r>
          </w:p>
        </w:tc>
      </w:tr>
    </w:tbl>
    <w:p>
      <w:pPr>
        <w:pStyle w:val="5"/>
        <w:rPr>
          <w:rFonts w:eastAsia="宋体"/>
        </w:rPr>
      </w:pPr>
      <w:bookmarkStart w:id="83" w:name="_Toc1057"/>
      <w:r>
        <w:rPr>
          <w:rFonts w:eastAsia="宋体"/>
        </w:rPr>
        <w:t>8.2监测仪器</w:t>
      </w:r>
      <w:bookmarkEnd w:id="83"/>
    </w:p>
    <w:p>
      <w:pPr>
        <w:adjustRightInd w:val="0"/>
        <w:snapToGrid w:val="0"/>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公司配备有数量充足、技术指标符合相关监测方法要求的各类监测仪器设备、标准物质和实验试剂。监测仪器性能符合相应方法标准或技术规范要求，根据仪器性能实施自校准或者检定/校准、运行和维护、定期检查。</w:t>
      </w:r>
    </w:p>
    <w:p>
      <w:pPr>
        <w:adjustRightInd w:val="0"/>
        <w:snapToGrid w:val="0"/>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标准物质、试剂、耗材的购买和使用情况建立台账有予以记录。</w:t>
      </w:r>
    </w:p>
    <w:p>
      <w:pPr>
        <w:spacing w:line="360" w:lineRule="auto"/>
        <w:jc w:val="center"/>
        <w:rPr>
          <w:rFonts w:ascii="Times New Roman" w:hAnsi="Times New Roman"/>
          <w:b/>
          <w:bCs/>
          <w:szCs w:val="21"/>
        </w:rPr>
      </w:pPr>
      <w:r>
        <w:rPr>
          <w:rFonts w:hint="eastAsia" w:ascii="Times New Roman" w:hAnsi="Times New Roman"/>
          <w:b/>
          <w:bCs/>
          <w:szCs w:val="21"/>
        </w:rPr>
        <w:t>表8</w:t>
      </w:r>
      <w:r>
        <w:rPr>
          <w:rFonts w:ascii="Times New Roman" w:hAnsi="Times New Roman"/>
          <w:b/>
          <w:bCs/>
          <w:szCs w:val="21"/>
        </w:rPr>
        <w:t>.2</w:t>
      </w:r>
      <w:r>
        <w:rPr>
          <w:rFonts w:hint="eastAsia" w:ascii="Times New Roman" w:hAnsi="Times New Roman"/>
          <w:b/>
          <w:bCs/>
          <w:szCs w:val="21"/>
        </w:rPr>
        <w:t>-</w:t>
      </w:r>
      <w:r>
        <w:rPr>
          <w:rFonts w:ascii="Times New Roman" w:hAnsi="Times New Roman"/>
          <w:b/>
          <w:bCs/>
          <w:szCs w:val="21"/>
        </w:rPr>
        <w:t>1</w:t>
      </w:r>
      <w:r>
        <w:rPr>
          <w:rFonts w:hint="eastAsia" w:ascii="Times New Roman" w:hAnsi="Times New Roman"/>
          <w:b/>
          <w:bCs/>
          <w:szCs w:val="21"/>
        </w:rPr>
        <w:t xml:space="preserve"> 监测仪器一览表</w:t>
      </w:r>
    </w:p>
    <w:tbl>
      <w:tblPr>
        <w:tblStyle w:val="31"/>
        <w:tblW w:w="48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84"/>
        <w:gridCol w:w="1532"/>
        <w:gridCol w:w="1597"/>
        <w:gridCol w:w="1360"/>
        <w:gridCol w:w="9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仪器名称</w:t>
            </w:r>
          </w:p>
        </w:tc>
        <w:tc>
          <w:tcPr>
            <w:tcW w:w="1532" w:type="dxa"/>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型号</w:t>
            </w:r>
          </w:p>
        </w:tc>
        <w:tc>
          <w:tcPr>
            <w:tcW w:w="1597" w:type="dxa"/>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编号</w:t>
            </w:r>
          </w:p>
        </w:tc>
        <w:tc>
          <w:tcPr>
            <w:tcW w:w="1360" w:type="dxa"/>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检定证书有效期至</w:t>
            </w:r>
          </w:p>
        </w:tc>
        <w:tc>
          <w:tcPr>
            <w:tcW w:w="954" w:type="dxa"/>
            <w:tcBorders>
              <w:tl2br w:val="nil"/>
              <w:tr2bl w:val="nil"/>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是否在有效期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bCs/>
                <w:color w:val="auto"/>
                <w:kern w:val="0"/>
                <w:szCs w:val="21"/>
              </w:rPr>
              <w:t>便携式pH/电导率/溶解氧仪</w:t>
            </w:r>
          </w:p>
        </w:tc>
        <w:tc>
          <w:tcPr>
            <w:tcW w:w="1532"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bCs/>
                <w:color w:val="auto"/>
                <w:kern w:val="0"/>
                <w:szCs w:val="21"/>
              </w:rPr>
              <w:t>SX836</w:t>
            </w:r>
          </w:p>
        </w:tc>
        <w:tc>
          <w:tcPr>
            <w:tcW w:w="1597" w:type="dxa"/>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bCs/>
                <w:color w:val="auto"/>
                <w:kern w:val="0"/>
                <w:szCs w:val="21"/>
              </w:rPr>
              <w:t>GXZY21021</w:t>
            </w:r>
          </w:p>
        </w:tc>
        <w:tc>
          <w:tcPr>
            <w:tcW w:w="1360"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2024.05.30</w:t>
            </w:r>
          </w:p>
        </w:tc>
        <w:tc>
          <w:tcPr>
            <w:tcW w:w="954" w:type="dxa"/>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智能烟尘烟气分析仪</w:t>
            </w:r>
          </w:p>
        </w:tc>
        <w:tc>
          <w:tcPr>
            <w:tcW w:w="1532" w:type="dxa"/>
            <w:tcBorders>
              <w:tl2br w:val="nil"/>
              <w:tr2bl w:val="nil"/>
            </w:tcBorders>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EM-3088</w:t>
            </w:r>
          </w:p>
        </w:tc>
        <w:tc>
          <w:tcPr>
            <w:tcW w:w="1597" w:type="dxa"/>
            <w:tcBorders>
              <w:tl2br w:val="nil"/>
              <w:tr2bl w:val="nil"/>
            </w:tcBorders>
            <w:vAlign w:val="center"/>
          </w:tcPr>
          <w:p>
            <w:pPr>
              <w:jc w:val="center"/>
              <w:rPr>
                <w:rFonts w:hint="default" w:ascii="Times New Roman" w:hAnsi="Times New Roman" w:cs="Times New Roman" w:eastAsiaTheme="minorEastAsia"/>
                <w:bCs/>
                <w:color w:val="auto"/>
                <w:kern w:val="0"/>
                <w:szCs w:val="21"/>
                <w:lang w:val="en-US" w:eastAsia="zh-CN"/>
              </w:rPr>
            </w:pPr>
            <w:r>
              <w:rPr>
                <w:rFonts w:hint="default" w:ascii="Times New Roman" w:hAnsi="Times New Roman" w:cs="Times New Roman"/>
                <w:bCs/>
                <w:color w:val="auto"/>
                <w:kern w:val="0"/>
                <w:szCs w:val="21"/>
              </w:rPr>
              <w:t>GXZY19065</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2024.10.11</w:t>
            </w:r>
          </w:p>
        </w:tc>
        <w:tc>
          <w:tcPr>
            <w:tcW w:w="9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环境空气颗粒物综合采样器</w:t>
            </w:r>
          </w:p>
        </w:tc>
        <w:tc>
          <w:tcPr>
            <w:tcW w:w="1532" w:type="dxa"/>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ZR-3923型</w:t>
            </w:r>
          </w:p>
        </w:tc>
        <w:tc>
          <w:tcPr>
            <w:tcW w:w="1597"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eastAsiaTheme="minorEastAsia"/>
                <w:color w:val="auto"/>
                <w:kern w:val="2"/>
                <w:sz w:val="21"/>
                <w:szCs w:val="21"/>
                <w:lang w:val="en-US" w:eastAsia="zh-CN" w:bidi="ar-SA"/>
              </w:rPr>
              <w:t>GXZY22034</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2024.07.09</w:t>
            </w:r>
          </w:p>
        </w:tc>
        <w:tc>
          <w:tcPr>
            <w:tcW w:w="954"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eastAsiaTheme="minorEastAsia"/>
                <w:color w:val="auto"/>
                <w:kern w:val="2"/>
                <w:sz w:val="21"/>
                <w:szCs w:val="21"/>
                <w:lang w:val="en-US" w:eastAsia="zh-CN" w:bidi="ar-SA"/>
              </w:rPr>
              <w:t>环境空气颗粒物综合采样器</w:t>
            </w:r>
          </w:p>
        </w:tc>
        <w:tc>
          <w:tcPr>
            <w:tcW w:w="1532"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ZR-3923型</w:t>
            </w:r>
          </w:p>
        </w:tc>
        <w:tc>
          <w:tcPr>
            <w:tcW w:w="1597" w:type="dxa"/>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GXZY22035</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2024.07.09</w:t>
            </w:r>
          </w:p>
        </w:tc>
        <w:tc>
          <w:tcPr>
            <w:tcW w:w="954"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eastAsiaTheme="minorEastAsia"/>
                <w:color w:val="auto"/>
                <w:kern w:val="2"/>
                <w:sz w:val="21"/>
                <w:szCs w:val="21"/>
                <w:lang w:val="en-US" w:eastAsia="zh-CN" w:bidi="ar-SA"/>
              </w:rPr>
              <w:t>环境空气颗粒物综合采样器</w:t>
            </w:r>
          </w:p>
        </w:tc>
        <w:tc>
          <w:tcPr>
            <w:tcW w:w="1532"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ZR-3923型</w:t>
            </w:r>
          </w:p>
        </w:tc>
        <w:tc>
          <w:tcPr>
            <w:tcW w:w="1597" w:type="dxa"/>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GXZY22036</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2024.07.09</w:t>
            </w:r>
          </w:p>
        </w:tc>
        <w:tc>
          <w:tcPr>
            <w:tcW w:w="954"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eastAsiaTheme="minorEastAsia"/>
                <w:color w:val="auto"/>
                <w:kern w:val="2"/>
                <w:sz w:val="21"/>
                <w:szCs w:val="21"/>
                <w:lang w:val="en-US" w:eastAsia="zh-CN" w:bidi="ar-SA"/>
              </w:rPr>
              <w:t>环境空气颗粒物综合采样器</w:t>
            </w:r>
          </w:p>
        </w:tc>
        <w:tc>
          <w:tcPr>
            <w:tcW w:w="1532"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ZR-3923型</w:t>
            </w:r>
          </w:p>
        </w:tc>
        <w:tc>
          <w:tcPr>
            <w:tcW w:w="1597" w:type="dxa"/>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GXZY22037</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2024.07.09</w:t>
            </w:r>
          </w:p>
        </w:tc>
        <w:tc>
          <w:tcPr>
            <w:tcW w:w="954"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多功能声级计</w:t>
            </w:r>
          </w:p>
        </w:tc>
        <w:tc>
          <w:tcPr>
            <w:tcW w:w="153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bCs/>
                <w:color w:val="auto"/>
                <w:kern w:val="0"/>
                <w:szCs w:val="21"/>
              </w:rPr>
              <w:t>AWA5688</w:t>
            </w:r>
          </w:p>
        </w:tc>
        <w:tc>
          <w:tcPr>
            <w:tcW w:w="1597"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default" w:ascii="Times New Roman" w:hAnsi="Times New Roman" w:cs="Times New Roman"/>
                <w:bCs/>
                <w:color w:val="auto"/>
                <w:kern w:val="0"/>
                <w:szCs w:val="21"/>
              </w:rPr>
              <w:t>GXZY21013</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2024.06.01</w:t>
            </w:r>
          </w:p>
        </w:tc>
        <w:tc>
          <w:tcPr>
            <w:tcW w:w="954"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kern w:val="0"/>
                <w:szCs w:val="21"/>
              </w:rPr>
              <w:t>电子分析天平</w:t>
            </w:r>
          </w:p>
        </w:tc>
        <w:tc>
          <w:tcPr>
            <w:tcW w:w="153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bCs/>
                <w:color w:val="auto"/>
                <w:kern w:val="0"/>
                <w:szCs w:val="21"/>
              </w:rPr>
              <w:t>BT125D</w:t>
            </w:r>
          </w:p>
        </w:tc>
        <w:tc>
          <w:tcPr>
            <w:tcW w:w="1597"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default" w:ascii="Times New Roman" w:hAnsi="Times New Roman" w:cs="Times New Roman"/>
                <w:bCs/>
                <w:color w:val="auto"/>
                <w:kern w:val="0"/>
                <w:szCs w:val="21"/>
              </w:rPr>
              <w:t>LDZY11036</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2024.05.16</w:t>
            </w:r>
          </w:p>
        </w:tc>
        <w:tc>
          <w:tcPr>
            <w:tcW w:w="9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kern w:val="0"/>
                <w:szCs w:val="21"/>
              </w:rPr>
              <w:t>红外分光测油仪</w:t>
            </w:r>
          </w:p>
        </w:tc>
        <w:tc>
          <w:tcPr>
            <w:tcW w:w="153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kern w:val="0"/>
                <w:szCs w:val="21"/>
              </w:rPr>
              <w:t>OIL-6</w:t>
            </w:r>
          </w:p>
        </w:tc>
        <w:tc>
          <w:tcPr>
            <w:tcW w:w="15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kern w:val="0"/>
                <w:szCs w:val="21"/>
              </w:rPr>
              <w:t>GXZY18027</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2024.02.14</w:t>
            </w:r>
            <w:r>
              <w:rPr>
                <w:rFonts w:hint="eastAsia" w:ascii="Times New Roman" w:hAnsi="Times New Roman" w:cs="Times New Roman"/>
                <w:bCs/>
                <w:color w:val="auto"/>
                <w:kern w:val="0"/>
                <w:szCs w:val="21"/>
                <w:lang w:val="en-US" w:eastAsia="zh-CN"/>
              </w:rPr>
              <w:t>*</w:t>
            </w:r>
          </w:p>
        </w:tc>
        <w:tc>
          <w:tcPr>
            <w:tcW w:w="954"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jc w:val="center"/>
              <w:rPr>
                <w:rFonts w:hint="eastAsia" w:ascii="Times New Roman" w:hAnsi="Times New Roman" w:cs="Times New Roman"/>
                <w:color w:val="auto"/>
                <w:szCs w:val="21"/>
              </w:rPr>
            </w:pPr>
            <w:r>
              <w:rPr>
                <w:rFonts w:hint="default" w:ascii="Times New Roman" w:hAnsi="Times New Roman" w:cs="Times New Roman"/>
                <w:color w:val="auto"/>
                <w:szCs w:val="21"/>
              </w:rPr>
              <w:t>溶解氧测定仪</w:t>
            </w:r>
          </w:p>
        </w:tc>
        <w:tc>
          <w:tcPr>
            <w:tcW w:w="1532" w:type="dxa"/>
            <w:tcBorders>
              <w:tl2br w:val="nil"/>
              <w:tr2bl w:val="nil"/>
            </w:tcBorders>
            <w:vAlign w:val="center"/>
          </w:tcPr>
          <w:p>
            <w:pPr>
              <w:jc w:val="center"/>
              <w:rPr>
                <w:rFonts w:hint="eastAsia" w:ascii="Times New Roman" w:hAnsi="Times New Roman" w:cs="Times New Roman"/>
                <w:color w:val="auto"/>
                <w:szCs w:val="21"/>
              </w:rPr>
            </w:pPr>
            <w:r>
              <w:rPr>
                <w:rFonts w:hint="default" w:ascii="Times New Roman" w:hAnsi="Times New Roman" w:cs="Times New Roman"/>
                <w:color w:val="auto"/>
                <w:szCs w:val="21"/>
              </w:rPr>
              <w:t>JPSJ-605F</w:t>
            </w:r>
          </w:p>
        </w:tc>
        <w:tc>
          <w:tcPr>
            <w:tcW w:w="1597" w:type="dxa"/>
            <w:tcBorders>
              <w:tl2br w:val="nil"/>
              <w:tr2bl w:val="nil"/>
            </w:tcBorders>
            <w:vAlign w:val="center"/>
          </w:tcPr>
          <w:p>
            <w:pPr>
              <w:jc w:val="center"/>
              <w:rPr>
                <w:rFonts w:hint="eastAsia" w:ascii="Times New Roman" w:hAnsi="Times New Roman" w:cs="Times New Roman"/>
                <w:color w:val="auto"/>
                <w:szCs w:val="21"/>
              </w:rPr>
            </w:pPr>
            <w:r>
              <w:rPr>
                <w:rFonts w:hint="default" w:ascii="Times New Roman" w:hAnsi="Times New Roman" w:cs="Times New Roman"/>
                <w:color w:val="auto"/>
                <w:szCs w:val="21"/>
              </w:rPr>
              <w:t>GXZY23011</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2024.04.16</w:t>
            </w:r>
          </w:p>
        </w:tc>
        <w:tc>
          <w:tcPr>
            <w:tcW w:w="954"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jc w:val="center"/>
              <w:rPr>
                <w:rFonts w:hint="eastAsia" w:ascii="Times New Roman" w:hAnsi="Times New Roman" w:cs="Times New Roman"/>
                <w:color w:val="auto"/>
                <w:szCs w:val="21"/>
              </w:rPr>
            </w:pPr>
            <w:r>
              <w:rPr>
                <w:rFonts w:hint="default" w:ascii="Times New Roman" w:hAnsi="Times New Roman" w:cs="Times New Roman"/>
                <w:bCs/>
                <w:color w:val="auto"/>
                <w:kern w:val="0"/>
                <w:szCs w:val="21"/>
              </w:rPr>
              <w:t>紫外可见分光光度计</w:t>
            </w:r>
          </w:p>
        </w:tc>
        <w:tc>
          <w:tcPr>
            <w:tcW w:w="1532" w:type="dxa"/>
            <w:tcBorders>
              <w:tl2br w:val="nil"/>
              <w:tr2bl w:val="nil"/>
            </w:tcBorders>
            <w:vAlign w:val="center"/>
          </w:tcPr>
          <w:p>
            <w:pPr>
              <w:jc w:val="center"/>
              <w:rPr>
                <w:rFonts w:hint="eastAsia" w:ascii="Times New Roman" w:hAnsi="Times New Roman" w:cs="Times New Roman"/>
                <w:color w:val="auto"/>
                <w:szCs w:val="21"/>
              </w:rPr>
            </w:pPr>
            <w:r>
              <w:rPr>
                <w:rFonts w:hint="default" w:ascii="Times New Roman" w:hAnsi="Times New Roman" w:cs="Times New Roman"/>
                <w:bCs/>
                <w:color w:val="auto"/>
                <w:kern w:val="0"/>
                <w:szCs w:val="21"/>
              </w:rPr>
              <w:t>SP-756P</w:t>
            </w:r>
          </w:p>
        </w:tc>
        <w:tc>
          <w:tcPr>
            <w:tcW w:w="1597" w:type="dxa"/>
            <w:tcBorders>
              <w:tl2br w:val="nil"/>
              <w:tr2bl w:val="nil"/>
            </w:tcBorders>
            <w:vAlign w:val="center"/>
          </w:tcPr>
          <w:p>
            <w:pPr>
              <w:jc w:val="center"/>
              <w:rPr>
                <w:rFonts w:hint="eastAsia" w:ascii="Times New Roman" w:hAnsi="Times New Roman" w:cs="Times New Roman"/>
                <w:color w:val="auto"/>
                <w:szCs w:val="21"/>
              </w:rPr>
            </w:pPr>
            <w:r>
              <w:rPr>
                <w:rFonts w:hint="default" w:ascii="Times New Roman" w:hAnsi="Times New Roman" w:cs="Times New Roman"/>
                <w:bCs/>
                <w:color w:val="auto"/>
                <w:kern w:val="0"/>
                <w:szCs w:val="21"/>
              </w:rPr>
              <w:t>GXZY18002</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2024.02.14</w:t>
            </w:r>
            <w:r>
              <w:rPr>
                <w:rFonts w:hint="eastAsia" w:ascii="Times New Roman" w:hAnsi="Times New Roman" w:cs="Times New Roman"/>
                <w:bCs/>
                <w:color w:val="auto"/>
                <w:kern w:val="0"/>
                <w:szCs w:val="21"/>
                <w:lang w:val="en-US" w:eastAsia="zh-CN"/>
              </w:rPr>
              <w:t>*</w:t>
            </w:r>
          </w:p>
        </w:tc>
        <w:tc>
          <w:tcPr>
            <w:tcW w:w="954"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widowControl/>
              <w:adjustRightInd w:val="0"/>
              <w:snapToGrid w:val="0"/>
              <w:jc w:val="center"/>
              <w:rPr>
                <w:bCs/>
                <w:color w:val="auto"/>
                <w:kern w:val="0"/>
                <w:szCs w:val="21"/>
              </w:rPr>
            </w:pPr>
            <w:r>
              <w:rPr>
                <w:rFonts w:hint="default" w:ascii="Times New Roman" w:hAnsi="Times New Roman" w:cs="Times New Roman"/>
                <w:color w:val="auto"/>
                <w:szCs w:val="21"/>
              </w:rPr>
              <w:t>生化培养箱</w:t>
            </w:r>
          </w:p>
        </w:tc>
        <w:tc>
          <w:tcPr>
            <w:tcW w:w="153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SPX-150B-Z</w:t>
            </w:r>
          </w:p>
        </w:tc>
        <w:tc>
          <w:tcPr>
            <w:tcW w:w="15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GXZY19052</w:t>
            </w:r>
          </w:p>
        </w:tc>
        <w:tc>
          <w:tcPr>
            <w:tcW w:w="1360"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2024.04.08</w:t>
            </w:r>
          </w:p>
        </w:tc>
        <w:tc>
          <w:tcPr>
            <w:tcW w:w="954"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widowControl/>
              <w:adjustRightInd w:val="0"/>
              <w:snapToGrid w:val="0"/>
              <w:jc w:val="center"/>
              <w:rPr>
                <w:bCs/>
                <w:color w:val="auto"/>
                <w:kern w:val="0"/>
                <w:szCs w:val="21"/>
              </w:rPr>
            </w:pPr>
            <w:r>
              <w:rPr>
                <w:rFonts w:hint="default" w:ascii="Times New Roman" w:hAnsi="Times New Roman" w:cs="Times New Roman"/>
                <w:bCs/>
                <w:color w:val="auto"/>
                <w:kern w:val="0"/>
                <w:szCs w:val="21"/>
              </w:rPr>
              <w:t>电子分析天平</w:t>
            </w:r>
          </w:p>
        </w:tc>
        <w:tc>
          <w:tcPr>
            <w:tcW w:w="153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kern w:val="0"/>
                <w:szCs w:val="21"/>
              </w:rPr>
              <w:t>PW125DZH</w:t>
            </w:r>
          </w:p>
        </w:tc>
        <w:tc>
          <w:tcPr>
            <w:tcW w:w="15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kern w:val="0"/>
                <w:szCs w:val="21"/>
              </w:rPr>
              <w:t>GXZY18059</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highlight w:val="none"/>
                <w:lang w:val="en-US" w:eastAsia="zh-CN"/>
              </w:rPr>
              <w:t>2024.12.18</w:t>
            </w:r>
          </w:p>
        </w:tc>
        <w:tc>
          <w:tcPr>
            <w:tcW w:w="9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widowControl/>
              <w:adjustRightInd w:val="0"/>
              <w:snapToGrid w:val="0"/>
              <w:jc w:val="center"/>
              <w:rPr>
                <w:rFonts w:hint="default" w:ascii="Times New Roman" w:hAnsi="Times New Roman" w:cs="Times New Roman"/>
                <w:bCs/>
                <w:color w:val="auto"/>
                <w:kern w:val="0"/>
                <w:szCs w:val="21"/>
              </w:rPr>
            </w:pPr>
            <w:r>
              <w:rPr>
                <w:rFonts w:hint="eastAsia"/>
                <w:color w:val="auto"/>
              </w:rPr>
              <w:t>紫外可见分光光度计</w:t>
            </w:r>
          </w:p>
        </w:tc>
        <w:tc>
          <w:tcPr>
            <w:tcW w:w="1532" w:type="dxa"/>
            <w:tcBorders>
              <w:tl2br w:val="nil"/>
              <w:tr2bl w:val="nil"/>
            </w:tcBorders>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UV2000</w:t>
            </w:r>
          </w:p>
        </w:tc>
        <w:tc>
          <w:tcPr>
            <w:tcW w:w="1597" w:type="dxa"/>
            <w:tcBorders>
              <w:tl2br w:val="nil"/>
              <w:tr2bl w:val="nil"/>
            </w:tcBorders>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LDZY11037</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2024.05.16</w:t>
            </w:r>
          </w:p>
        </w:tc>
        <w:tc>
          <w:tcPr>
            <w:tcW w:w="9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widowControl/>
              <w:adjustRightInd w:val="0"/>
              <w:snapToGrid w:val="0"/>
              <w:jc w:val="center"/>
              <w:rPr>
                <w:rFonts w:hint="eastAsia"/>
                <w:color w:val="auto"/>
              </w:rPr>
            </w:pPr>
            <w:r>
              <w:rPr>
                <w:rFonts w:hint="default" w:ascii="Times New Roman" w:hAnsi="Times New Roman" w:cs="Times New Roman"/>
                <w:bCs/>
                <w:color w:val="auto"/>
                <w:kern w:val="0"/>
                <w:szCs w:val="21"/>
              </w:rPr>
              <w:t>气相色谱仪</w:t>
            </w:r>
          </w:p>
        </w:tc>
        <w:tc>
          <w:tcPr>
            <w:tcW w:w="1532" w:type="dxa"/>
            <w:tcBorders>
              <w:tl2br w:val="nil"/>
              <w:tr2bl w:val="nil"/>
            </w:tcBorders>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Agilent 6890N</w:t>
            </w:r>
          </w:p>
        </w:tc>
        <w:tc>
          <w:tcPr>
            <w:tcW w:w="1597" w:type="dxa"/>
            <w:tcBorders>
              <w:tl2br w:val="nil"/>
              <w:tr2bl w:val="nil"/>
            </w:tcBorders>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LDZY16006</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2025.05.18</w:t>
            </w:r>
          </w:p>
        </w:tc>
        <w:tc>
          <w:tcPr>
            <w:tcW w:w="9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widowControl/>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气相色谱仪</w:t>
            </w:r>
          </w:p>
        </w:tc>
        <w:tc>
          <w:tcPr>
            <w:tcW w:w="1532" w:type="dxa"/>
            <w:tcBorders>
              <w:tl2br w:val="nil"/>
              <w:tr2bl w:val="nil"/>
            </w:tcBorders>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GC-2010</w:t>
            </w:r>
          </w:p>
        </w:tc>
        <w:tc>
          <w:tcPr>
            <w:tcW w:w="1597" w:type="dxa"/>
            <w:tcBorders>
              <w:tl2br w:val="nil"/>
              <w:tr2bl w:val="nil"/>
            </w:tcBorders>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GXZY18001</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2024.02.29</w:t>
            </w:r>
            <w:r>
              <w:rPr>
                <w:rFonts w:hint="eastAsia" w:ascii="Times New Roman" w:hAnsi="Times New Roman" w:cs="Times New Roman"/>
                <w:bCs/>
                <w:color w:val="auto"/>
                <w:kern w:val="0"/>
                <w:szCs w:val="21"/>
                <w:lang w:val="en-US" w:eastAsia="zh-CN"/>
              </w:rPr>
              <w:t>*</w:t>
            </w:r>
          </w:p>
        </w:tc>
        <w:tc>
          <w:tcPr>
            <w:tcW w:w="9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5" w:type="dxa"/>
            <w:tcBorders>
              <w:tl2br w:val="nil"/>
              <w:tr2bl w:val="nil"/>
            </w:tcBorders>
            <w:vAlign w:val="center"/>
          </w:tcPr>
          <w:p>
            <w:pPr>
              <w:widowControl/>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气相色谱仪</w:t>
            </w:r>
          </w:p>
        </w:tc>
        <w:tc>
          <w:tcPr>
            <w:tcW w:w="1532" w:type="dxa"/>
            <w:tcBorders>
              <w:tl2br w:val="nil"/>
              <w:tr2bl w:val="nil"/>
            </w:tcBorders>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HF-900</w:t>
            </w:r>
          </w:p>
        </w:tc>
        <w:tc>
          <w:tcPr>
            <w:tcW w:w="1597" w:type="dxa"/>
            <w:tcBorders>
              <w:tl2br w:val="nil"/>
              <w:tr2bl w:val="nil"/>
            </w:tcBorders>
            <w:vAlign w:val="center"/>
          </w:tcPr>
          <w:p>
            <w:pPr>
              <w:jc w:val="center"/>
              <w:rPr>
                <w:rFonts w:hint="default" w:ascii="Times New Roman" w:hAnsi="Times New Roman" w:cs="Times New Roman"/>
                <w:bCs/>
                <w:color w:val="auto"/>
                <w:kern w:val="0"/>
                <w:szCs w:val="21"/>
                <w:lang w:val="en-US"/>
              </w:rPr>
            </w:pPr>
            <w:r>
              <w:rPr>
                <w:rFonts w:hint="default" w:ascii="Times New Roman" w:hAnsi="Times New Roman" w:cs="Times New Roman"/>
                <w:bCs/>
                <w:color w:val="auto"/>
                <w:kern w:val="0"/>
                <w:szCs w:val="21"/>
              </w:rPr>
              <w:t>GXZY</w:t>
            </w:r>
            <w:r>
              <w:rPr>
                <w:rFonts w:hint="eastAsia" w:ascii="Times New Roman" w:hAnsi="Times New Roman" w:cs="Times New Roman"/>
                <w:bCs/>
                <w:color w:val="auto"/>
                <w:kern w:val="0"/>
                <w:szCs w:val="21"/>
                <w:lang w:val="en-US" w:eastAsia="zh-CN"/>
              </w:rPr>
              <w:t>21012</w:t>
            </w:r>
          </w:p>
        </w:tc>
        <w:tc>
          <w:tcPr>
            <w:tcW w:w="136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2025.04.13</w:t>
            </w:r>
          </w:p>
        </w:tc>
        <w:tc>
          <w:tcPr>
            <w:tcW w:w="9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8" w:type="dxa"/>
            <w:gridSpan w:val="5"/>
            <w:tcBorders>
              <w:tl2br w:val="nil"/>
              <w:tr2bl w:val="nil"/>
            </w:tcBorders>
            <w:vAlign w:val="center"/>
          </w:tcPr>
          <w:p>
            <w:pPr>
              <w:jc w:val="both"/>
              <w:rPr>
                <w:rFonts w:hint="default" w:ascii="Times New Roman" w:hAnsi="Times New Roman" w:cs="Times New Roman"/>
                <w:color w:val="auto"/>
                <w:szCs w:val="21"/>
                <w:lang w:val="en-US"/>
              </w:rPr>
            </w:pPr>
            <w:r>
              <w:rPr>
                <w:rFonts w:hint="eastAsia" w:ascii="Times New Roman" w:hAnsi="Times New Roman" w:cs="Times New Roman"/>
                <w:bCs/>
                <w:color w:val="auto"/>
                <w:kern w:val="0"/>
                <w:szCs w:val="21"/>
                <w:lang w:val="en-US" w:eastAsia="zh-CN"/>
              </w:rPr>
              <w:t>备注：“*”</w:t>
            </w:r>
            <w:r>
              <w:rPr>
                <w:rFonts w:hint="default" w:ascii="Times New Roman" w:hAnsi="Times New Roman" w:cs="Times New Roman"/>
                <w:bCs/>
                <w:color w:val="auto"/>
                <w:kern w:val="0"/>
                <w:szCs w:val="21"/>
              </w:rPr>
              <w:t>气相色谱仪GXZY18001</w:t>
            </w:r>
            <w:r>
              <w:rPr>
                <w:rFonts w:hint="eastAsia" w:ascii="Times New Roman" w:hAnsi="Times New Roman" w:cs="Times New Roman"/>
                <w:bCs/>
                <w:color w:val="auto"/>
                <w:kern w:val="0"/>
                <w:szCs w:val="21"/>
                <w:lang w:val="en-US" w:eastAsia="zh-CN"/>
              </w:rPr>
              <w:t>、</w:t>
            </w:r>
            <w:r>
              <w:rPr>
                <w:rFonts w:hint="default" w:ascii="Times New Roman" w:hAnsi="Times New Roman" w:cs="Times New Roman"/>
                <w:bCs/>
                <w:color w:val="auto"/>
                <w:kern w:val="0"/>
                <w:szCs w:val="21"/>
              </w:rPr>
              <w:t>红外分光测油仪GXZY18027</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紫外可见分光光度计GXZY18002</w:t>
            </w:r>
            <w:r>
              <w:rPr>
                <w:rFonts w:hint="eastAsia" w:ascii="Times New Roman" w:hAnsi="Times New Roman" w:cs="Times New Roman"/>
                <w:bCs/>
                <w:color w:val="auto"/>
                <w:kern w:val="0"/>
                <w:szCs w:val="21"/>
                <w:highlight w:val="none"/>
                <w:lang w:val="en-US" w:eastAsia="zh-CN"/>
              </w:rPr>
              <w:t>在2023.12.21-12.22检测时在有效检定期内，到期后已重新检定</w:t>
            </w:r>
          </w:p>
        </w:tc>
      </w:tr>
    </w:tbl>
    <w:p>
      <w:pPr>
        <w:pStyle w:val="5"/>
        <w:rPr>
          <w:rFonts w:eastAsia="宋体"/>
        </w:rPr>
      </w:pPr>
      <w:bookmarkStart w:id="84" w:name="_Toc7691"/>
      <w:r>
        <w:rPr>
          <w:rFonts w:eastAsia="宋体"/>
        </w:rPr>
        <w:t>8.3人员能力</w:t>
      </w:r>
      <w:bookmarkEnd w:id="84"/>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公司技术人员配备数量充足，技术水平满足工作要求，监测人员录用、培训教育和能力确认/考核等活动规范，建立有人员档案，并对监测人员实施监督和管理，规避人员因素对监测数据正确性和可靠性的影响。</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按国家有关规定、监测技术规范和有关质量控制手册进行。参加环保设施竣工验收监测采样和测试的人员，按国家有关规定持证上岗。</w:t>
      </w:r>
    </w:p>
    <w:p>
      <w:pPr>
        <w:pStyle w:val="5"/>
        <w:rPr>
          <w:rFonts w:eastAsia="宋体"/>
        </w:rPr>
      </w:pPr>
      <w:bookmarkStart w:id="85" w:name="_Toc18040"/>
      <w:r>
        <w:rPr>
          <w:rFonts w:eastAsia="宋体"/>
        </w:rPr>
        <w:t>8.4水质监测分析过程中的质量保证和质量控制</w:t>
      </w:r>
      <w:bookmarkEnd w:id="85"/>
    </w:p>
    <w:p>
      <w:pPr>
        <w:adjustRightInd w:val="0"/>
        <w:spacing w:line="360" w:lineRule="auto"/>
        <w:ind w:firstLine="480" w:firstLineChars="200"/>
        <w:jc w:val="left"/>
        <w:rPr>
          <w:rFonts w:hint="default" w:ascii="Times New Roman" w:hAnsi="Times New Roman" w:cs="Times New Roman"/>
          <w:sz w:val="24"/>
          <w:szCs w:val="24"/>
        </w:rPr>
      </w:pPr>
      <w:r>
        <w:rPr>
          <w:rFonts w:hint="eastAsia" w:ascii="Times New Roman" w:hAnsi="Times New Roman"/>
          <w:sz w:val="24"/>
          <w:szCs w:val="24"/>
        </w:rPr>
        <w:t>采样过程中采集不少于10%的平行样；实验室分析过程加不少于10%的平行样；对可以得到标准样品的或质量控制样品的项目，在分析的同时做10%质控样品分析；对无标准样品或质量控制样品的项目，且可以加标回收测试的，应在分析的同时做10%加标回收样品分析。废水的采样、保存和分析按照《浙江省环境监测质量保证技术规定</w:t>
      </w:r>
      <w:r>
        <w:rPr>
          <w:rFonts w:hint="default" w:ascii="Times New Roman" w:hAnsi="Times New Roman" w:cs="Times New Roman"/>
          <w:sz w:val="24"/>
          <w:szCs w:val="24"/>
        </w:rPr>
        <w:t>》（第三版 试行）的要求进行。</w:t>
      </w:r>
    </w:p>
    <w:p>
      <w:pPr>
        <w:jc w:val="center"/>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rPr>
        <w:t xml:space="preserve">表8.4-1 </w:t>
      </w:r>
      <w:r>
        <w:rPr>
          <w:rFonts w:hint="eastAsia" w:ascii="Times New Roman" w:hAnsi="Times New Roman" w:cs="Times New Roman"/>
          <w:b/>
          <w:highlight w:val="none"/>
          <w:lang w:val="en-US" w:eastAsia="zh-CN"/>
        </w:rPr>
        <w:t>水质加标样统计结果</w:t>
      </w:r>
    </w:p>
    <w:tbl>
      <w:tblPr>
        <w:tblStyle w:val="31"/>
        <w:tblW w:w="480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4"/>
        <w:gridCol w:w="1294"/>
        <w:gridCol w:w="1324"/>
        <w:gridCol w:w="1443"/>
        <w:gridCol w:w="1413"/>
        <w:gridCol w:w="11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4" w:type="dxa"/>
            <w:vAlign w:val="center"/>
          </w:tcPr>
          <w:p>
            <w:pPr>
              <w:autoSpaceDE w:val="0"/>
              <w:autoSpaceDN w:val="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项目名称</w:t>
            </w:r>
          </w:p>
        </w:tc>
        <w:tc>
          <w:tcPr>
            <w:tcW w:w="1429" w:type="dxa"/>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加标量</w:t>
            </w:r>
          </w:p>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（μg）</w:t>
            </w:r>
          </w:p>
        </w:tc>
        <w:tc>
          <w:tcPr>
            <w:tcW w:w="1462" w:type="dxa"/>
            <w:vAlign w:val="center"/>
          </w:tcPr>
          <w:p>
            <w:pPr>
              <w:autoSpaceDE w:val="0"/>
              <w:autoSpaceDN w:val="0"/>
              <w:jc w:val="center"/>
              <w:rPr>
                <w:rFonts w:hint="default" w:ascii="Times New Roman" w:hAnsi="Times New Roman" w:cs="Times New Roman"/>
                <w:b/>
                <w:szCs w:val="21"/>
                <w:highlight w:val="none"/>
              </w:rPr>
            </w:pPr>
            <w:r>
              <w:rPr>
                <w:rFonts w:hint="eastAsia" w:ascii="Times New Roman" w:hAnsi="Times New Roman" w:cs="Times New Roman"/>
                <w:b/>
                <w:szCs w:val="21"/>
                <w:highlight w:val="none"/>
                <w:lang w:val="en-US" w:eastAsia="zh-CN"/>
              </w:rPr>
              <w:t>加标</w:t>
            </w:r>
            <w:r>
              <w:rPr>
                <w:rFonts w:hint="default" w:ascii="Times New Roman" w:hAnsi="Times New Roman" w:cs="Times New Roman"/>
                <w:b/>
                <w:szCs w:val="21"/>
                <w:highlight w:val="none"/>
              </w:rPr>
              <w:t>测</w:t>
            </w:r>
            <w:r>
              <w:rPr>
                <w:rFonts w:hint="eastAsia" w:ascii="Times New Roman" w:hAnsi="Times New Roman" w:cs="Times New Roman"/>
                <w:b/>
                <w:szCs w:val="21"/>
                <w:highlight w:val="none"/>
                <w:lang w:val="en-US" w:eastAsia="zh-CN"/>
              </w:rPr>
              <w:t>得</w:t>
            </w:r>
            <w:r>
              <w:rPr>
                <w:rFonts w:hint="default" w:ascii="Times New Roman" w:hAnsi="Times New Roman" w:cs="Times New Roman"/>
                <w:b/>
                <w:szCs w:val="21"/>
                <w:highlight w:val="none"/>
              </w:rPr>
              <w:t>值</w:t>
            </w:r>
          </w:p>
          <w:p>
            <w:pPr>
              <w:autoSpaceDE w:val="0"/>
              <w:autoSpaceDN w:val="0"/>
              <w:jc w:val="center"/>
              <w:rPr>
                <w:rFonts w:hint="eastAsia" w:ascii="Times New Roman" w:hAnsi="Times New Roman" w:cs="Times New Roman" w:eastAsiaTheme="minorEastAsia"/>
                <w:b/>
                <w:szCs w:val="21"/>
                <w:highlight w:val="none"/>
                <w:lang w:eastAsia="zh-CN"/>
              </w:rPr>
            </w:pPr>
            <w:r>
              <w:rPr>
                <w:rFonts w:hint="default" w:ascii="Times New Roman" w:hAnsi="Times New Roman" w:cs="Times New Roman"/>
                <w:b/>
                <w:szCs w:val="21"/>
                <w:highlight w:val="none"/>
              </w:rPr>
              <w:t>（</w:t>
            </w:r>
            <w:r>
              <w:rPr>
                <w:rFonts w:hint="eastAsia" w:ascii="Times New Roman" w:hAnsi="Times New Roman" w:cs="Times New Roman"/>
                <w:b/>
                <w:szCs w:val="21"/>
                <w:highlight w:val="none"/>
                <w:lang w:val="en-US" w:eastAsia="zh-CN"/>
              </w:rPr>
              <w:t>μg</w:t>
            </w:r>
            <w:r>
              <w:rPr>
                <w:rFonts w:hint="default" w:ascii="Times New Roman" w:hAnsi="Times New Roman" w:cs="Times New Roman"/>
                <w:b/>
                <w:szCs w:val="21"/>
                <w:highlight w:val="none"/>
              </w:rPr>
              <w:t>）</w:t>
            </w:r>
            <w:r>
              <w:rPr>
                <w:rFonts w:hint="eastAsia" w:ascii="Times New Roman" w:hAnsi="Times New Roman" w:cs="Times New Roman"/>
                <w:b/>
                <w:szCs w:val="21"/>
                <w:highlight w:val="none"/>
                <w:lang w:val="en-US" w:eastAsia="zh-CN"/>
              </w:rPr>
              <w:t xml:space="preserve"> </w:t>
            </w:r>
          </w:p>
        </w:tc>
        <w:tc>
          <w:tcPr>
            <w:tcW w:w="1593" w:type="dxa"/>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加标回收率</w:t>
            </w:r>
          </w:p>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w:t>
            </w:r>
          </w:p>
        </w:tc>
        <w:tc>
          <w:tcPr>
            <w:tcW w:w="1560" w:type="dxa"/>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质控要求</w:t>
            </w:r>
          </w:p>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w:t>
            </w:r>
          </w:p>
        </w:tc>
        <w:tc>
          <w:tcPr>
            <w:tcW w:w="1297" w:type="dxa"/>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结果判定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94" w:type="dxa"/>
            <w:vAlign w:val="center"/>
          </w:tcPr>
          <w:p>
            <w:pPr>
              <w:autoSpaceDE w:val="0"/>
              <w:autoSpaceDN w:val="0"/>
              <w:jc w:val="center"/>
              <w:rPr>
                <w:rFonts w:hint="eastAsia" w:ascii="Times New Roman" w:hAnsi="Times New Roman" w:cs="Times New Roman" w:eastAsiaTheme="minorEastAsia"/>
                <w:b w:val="0"/>
                <w:bCs/>
                <w:szCs w:val="21"/>
                <w:highlight w:val="red"/>
                <w:lang w:val="en-US" w:eastAsia="zh-CN"/>
              </w:rPr>
            </w:pPr>
            <w:r>
              <w:rPr>
                <w:rFonts w:hint="eastAsia" w:ascii="Times New Roman" w:hAnsi="Times New Roman" w:cs="Times New Roman"/>
                <w:b w:val="0"/>
                <w:bCs/>
                <w:szCs w:val="21"/>
                <w:highlight w:val="red"/>
                <w:lang w:val="en-US" w:eastAsia="zh-CN"/>
              </w:rPr>
              <w:t>总磷</w:t>
            </w:r>
          </w:p>
        </w:tc>
        <w:tc>
          <w:tcPr>
            <w:tcW w:w="1429" w:type="dxa"/>
            <w:vAlign w:val="center"/>
          </w:tcPr>
          <w:p>
            <w:pPr>
              <w:autoSpaceDE w:val="0"/>
              <w:autoSpaceDN w:val="0"/>
              <w:jc w:val="center"/>
              <w:rPr>
                <w:rFonts w:hint="default" w:ascii="Times New Roman" w:hAnsi="Times New Roman" w:cs="Times New Roman" w:eastAsiaTheme="minorEastAsia"/>
                <w:b w:val="0"/>
                <w:bCs/>
                <w:szCs w:val="21"/>
                <w:highlight w:val="red"/>
                <w:lang w:val="en-US" w:eastAsia="zh-CN"/>
              </w:rPr>
            </w:pPr>
            <w:r>
              <w:rPr>
                <w:rFonts w:hint="eastAsia" w:ascii="Times New Roman" w:hAnsi="Times New Roman" w:cs="Times New Roman"/>
                <w:b w:val="0"/>
                <w:bCs/>
                <w:szCs w:val="21"/>
                <w:highlight w:val="red"/>
                <w:lang w:val="en-US" w:eastAsia="zh-CN"/>
              </w:rPr>
              <w:t>2.00</w:t>
            </w:r>
          </w:p>
        </w:tc>
        <w:tc>
          <w:tcPr>
            <w:tcW w:w="1462" w:type="dxa"/>
            <w:vAlign w:val="center"/>
          </w:tcPr>
          <w:p>
            <w:pPr>
              <w:autoSpaceDE w:val="0"/>
              <w:autoSpaceDN w:val="0"/>
              <w:jc w:val="center"/>
              <w:rPr>
                <w:rFonts w:hint="default" w:ascii="Times New Roman" w:hAnsi="Times New Roman" w:cs="Times New Roman" w:eastAsiaTheme="minorEastAsia"/>
                <w:b w:val="0"/>
                <w:bCs/>
                <w:szCs w:val="21"/>
                <w:highlight w:val="red"/>
                <w:lang w:val="en-US" w:eastAsia="zh-CN"/>
              </w:rPr>
            </w:pPr>
            <w:r>
              <w:rPr>
                <w:rFonts w:hint="eastAsia" w:ascii="Times New Roman" w:hAnsi="Times New Roman" w:cs="Times New Roman"/>
                <w:b w:val="0"/>
                <w:bCs/>
                <w:szCs w:val="21"/>
                <w:highlight w:val="red"/>
                <w:lang w:val="en-US" w:eastAsia="zh-CN"/>
              </w:rPr>
              <w:t>2.01</w:t>
            </w:r>
          </w:p>
        </w:tc>
        <w:tc>
          <w:tcPr>
            <w:tcW w:w="1593" w:type="dxa"/>
            <w:vAlign w:val="center"/>
          </w:tcPr>
          <w:p>
            <w:pPr>
              <w:autoSpaceDE w:val="0"/>
              <w:autoSpaceDN w:val="0"/>
              <w:jc w:val="center"/>
              <w:rPr>
                <w:rFonts w:hint="default" w:ascii="Times New Roman" w:hAnsi="Times New Roman" w:cs="Times New Roman" w:eastAsiaTheme="minorEastAsia"/>
                <w:b w:val="0"/>
                <w:bCs/>
                <w:szCs w:val="21"/>
                <w:highlight w:val="red"/>
                <w:lang w:val="en-US" w:eastAsia="zh-CN"/>
              </w:rPr>
            </w:pPr>
            <w:r>
              <w:rPr>
                <w:rFonts w:hint="eastAsia" w:ascii="Times New Roman" w:hAnsi="Times New Roman" w:cs="Times New Roman"/>
                <w:b w:val="0"/>
                <w:bCs/>
                <w:szCs w:val="21"/>
                <w:highlight w:val="red"/>
                <w:lang w:val="en-US" w:eastAsia="zh-CN"/>
              </w:rPr>
              <w:t>100.5</w:t>
            </w:r>
          </w:p>
        </w:tc>
        <w:tc>
          <w:tcPr>
            <w:tcW w:w="1560" w:type="dxa"/>
            <w:vAlign w:val="center"/>
          </w:tcPr>
          <w:p>
            <w:pPr>
              <w:autoSpaceDE w:val="0"/>
              <w:autoSpaceDN w:val="0"/>
              <w:jc w:val="center"/>
              <w:rPr>
                <w:rFonts w:hint="default" w:ascii="Times New Roman" w:hAnsi="Times New Roman" w:cs="Times New Roman" w:eastAsiaTheme="minorEastAsia"/>
                <w:b w:val="0"/>
                <w:bCs/>
                <w:szCs w:val="21"/>
                <w:highlight w:val="red"/>
                <w:lang w:val="en-US" w:eastAsia="zh-CN"/>
              </w:rPr>
            </w:pPr>
            <w:r>
              <w:rPr>
                <w:rFonts w:hint="eastAsia" w:ascii="Times New Roman" w:hAnsi="Times New Roman" w:cs="Times New Roman"/>
                <w:b w:val="0"/>
                <w:bCs/>
                <w:szCs w:val="21"/>
                <w:highlight w:val="red"/>
                <w:lang w:val="en-US" w:eastAsia="zh-CN"/>
              </w:rPr>
              <w:t>95-105</w:t>
            </w:r>
          </w:p>
        </w:tc>
        <w:tc>
          <w:tcPr>
            <w:tcW w:w="1297" w:type="dxa"/>
            <w:vAlign w:val="center"/>
          </w:tcPr>
          <w:p>
            <w:pPr>
              <w:autoSpaceDE w:val="0"/>
              <w:autoSpaceDN w:val="0"/>
              <w:jc w:val="center"/>
              <w:rPr>
                <w:rFonts w:hint="eastAsia" w:ascii="Times New Roman" w:hAnsi="Times New Roman" w:cs="Times New Roman" w:eastAsiaTheme="minorEastAsia"/>
                <w:b w:val="0"/>
                <w:bCs/>
                <w:szCs w:val="21"/>
                <w:highlight w:val="red"/>
                <w:lang w:val="en-US" w:eastAsia="zh-CN"/>
              </w:rPr>
            </w:pPr>
            <w:r>
              <w:rPr>
                <w:rFonts w:hint="eastAsia" w:ascii="Times New Roman" w:hAnsi="Times New Roman" w:cs="Times New Roman"/>
                <w:b w:val="0"/>
                <w:bCs/>
                <w:szCs w:val="21"/>
                <w:highlight w:val="red"/>
                <w:lang w:val="en-US" w:eastAsia="zh-CN"/>
              </w:rPr>
              <w:t>符合</w:t>
            </w:r>
          </w:p>
        </w:tc>
      </w:tr>
    </w:tbl>
    <w:p>
      <w:pPr>
        <w:jc w:val="center"/>
        <w:rPr>
          <w:rFonts w:hint="default" w:ascii="Times New Roman" w:hAnsi="Times New Roman" w:cs="Times New Roman"/>
          <w:b/>
          <w:highlight w:val="none"/>
        </w:rPr>
      </w:pPr>
    </w:p>
    <w:p>
      <w:pPr>
        <w:jc w:val="center"/>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rPr>
        <w:t>表8.4-</w:t>
      </w:r>
      <w:r>
        <w:rPr>
          <w:rFonts w:hint="eastAsia" w:ascii="Times New Roman" w:hAnsi="Times New Roman" w:cs="Times New Roman"/>
          <w:b/>
          <w:highlight w:val="none"/>
          <w:lang w:val="en-US" w:eastAsia="zh-CN"/>
        </w:rPr>
        <w:t>2</w:t>
      </w:r>
      <w:r>
        <w:rPr>
          <w:rFonts w:hint="default" w:ascii="Times New Roman" w:hAnsi="Times New Roman" w:cs="Times New Roman"/>
          <w:b/>
          <w:highlight w:val="none"/>
        </w:rPr>
        <w:t xml:space="preserve"> </w:t>
      </w:r>
      <w:r>
        <w:rPr>
          <w:rFonts w:hint="eastAsia" w:ascii="Times New Roman" w:hAnsi="Times New Roman" w:cs="Times New Roman"/>
          <w:b/>
          <w:highlight w:val="none"/>
          <w:lang w:val="en-US" w:eastAsia="zh-CN"/>
        </w:rPr>
        <w:t>水质平行样统计结果</w:t>
      </w:r>
    </w:p>
    <w:tbl>
      <w:tblPr>
        <w:tblStyle w:val="31"/>
        <w:tblW w:w="480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2"/>
        <w:gridCol w:w="1176"/>
        <w:gridCol w:w="1334"/>
        <w:gridCol w:w="1403"/>
        <w:gridCol w:w="1314"/>
        <w:gridCol w:w="11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blHeader/>
          <w:jc w:val="center"/>
        </w:trPr>
        <w:tc>
          <w:tcPr>
            <w:tcW w:w="1967" w:type="dxa"/>
            <w:vMerge w:val="restart"/>
            <w:vAlign w:val="center"/>
          </w:tcPr>
          <w:p>
            <w:pPr>
              <w:autoSpaceDE w:val="0"/>
              <w:autoSpaceDN w:val="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项目名称</w:t>
            </w:r>
          </w:p>
        </w:tc>
        <w:tc>
          <w:tcPr>
            <w:tcW w:w="2771" w:type="dxa"/>
            <w:gridSpan w:val="2"/>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测得值（mg/L）</w:t>
            </w:r>
          </w:p>
        </w:tc>
        <w:tc>
          <w:tcPr>
            <w:tcW w:w="1549" w:type="dxa"/>
            <w:vMerge w:val="restart"/>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RD值（%）</w:t>
            </w:r>
          </w:p>
        </w:tc>
        <w:tc>
          <w:tcPr>
            <w:tcW w:w="1451" w:type="dxa"/>
            <w:vMerge w:val="restart"/>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质控要求</w:t>
            </w:r>
          </w:p>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w:t>
            </w:r>
          </w:p>
        </w:tc>
        <w:tc>
          <w:tcPr>
            <w:tcW w:w="1297" w:type="dxa"/>
            <w:vMerge w:val="restart"/>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结果判定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blHeader/>
          <w:jc w:val="center"/>
        </w:trPr>
        <w:tc>
          <w:tcPr>
            <w:tcW w:w="1967" w:type="dxa"/>
            <w:vMerge w:val="continue"/>
            <w:vAlign w:val="center"/>
          </w:tcPr>
          <w:p>
            <w:pPr>
              <w:autoSpaceDE w:val="0"/>
              <w:autoSpaceDN w:val="0"/>
              <w:jc w:val="center"/>
              <w:rPr>
                <w:highlight w:val="none"/>
              </w:rPr>
            </w:pPr>
          </w:p>
        </w:tc>
        <w:tc>
          <w:tcPr>
            <w:tcW w:w="1298" w:type="dxa"/>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A样</w:t>
            </w:r>
          </w:p>
        </w:tc>
        <w:tc>
          <w:tcPr>
            <w:tcW w:w="1473" w:type="dxa"/>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B样</w:t>
            </w:r>
          </w:p>
        </w:tc>
        <w:tc>
          <w:tcPr>
            <w:tcW w:w="1549" w:type="dxa"/>
            <w:vMerge w:val="continue"/>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p>
        </w:tc>
        <w:tc>
          <w:tcPr>
            <w:tcW w:w="1451" w:type="dxa"/>
            <w:vMerge w:val="continue"/>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p>
        </w:tc>
        <w:tc>
          <w:tcPr>
            <w:tcW w:w="1297" w:type="dxa"/>
            <w:vMerge w:val="continue"/>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67" w:type="dxa"/>
            <w:vAlign w:val="center"/>
          </w:tcPr>
          <w:p>
            <w:pPr>
              <w:autoSpaceDE w:val="0"/>
              <w:autoSpaceDN w:val="0"/>
              <w:jc w:val="center"/>
              <w:rPr>
                <w:rFonts w:hint="default"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szCs w:val="21"/>
                <w:highlight w:val="red"/>
                <w:lang w:val="en-US" w:eastAsia="zh-CN"/>
              </w:rPr>
              <w:t>化学需氧量</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195</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192</w:t>
            </w:r>
          </w:p>
        </w:tc>
        <w:tc>
          <w:tcPr>
            <w:tcW w:w="1549" w:type="dxa"/>
            <w:vAlign w:val="center"/>
          </w:tcPr>
          <w:p>
            <w:pPr>
              <w:autoSpaceDE w:val="0"/>
              <w:autoSpaceDN w:val="0"/>
              <w:jc w:val="center"/>
              <w:rPr>
                <w:rFonts w:hint="default"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0.8</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szCs w:val="21"/>
                <w:highlight w:val="red"/>
                <w:lang w:val="en-US" w:eastAsia="zh-CN"/>
              </w:rPr>
              <w:t>10</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szCs w:val="21"/>
                <w:highlight w:val="red"/>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67" w:type="dxa"/>
            <w:vAlign w:val="center"/>
          </w:tcPr>
          <w:p>
            <w:pPr>
              <w:autoSpaceDE w:val="0"/>
              <w:autoSpaceDN w:val="0"/>
              <w:jc w:val="center"/>
              <w:rPr>
                <w:rFonts w:hint="default"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szCs w:val="21"/>
                <w:highlight w:val="red"/>
                <w:lang w:val="en-US" w:eastAsia="zh-CN"/>
              </w:rPr>
              <w:t>氨氮</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5.24</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5.30</w:t>
            </w:r>
          </w:p>
        </w:tc>
        <w:tc>
          <w:tcPr>
            <w:tcW w:w="1549" w:type="dxa"/>
            <w:vAlign w:val="center"/>
          </w:tcPr>
          <w:p>
            <w:pPr>
              <w:autoSpaceDE w:val="0"/>
              <w:autoSpaceDN w:val="0"/>
              <w:jc w:val="center"/>
              <w:rPr>
                <w:rFonts w:hint="default"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0.6</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szCs w:val="21"/>
                <w:highlight w:val="red"/>
                <w:lang w:val="en-US" w:eastAsia="zh-CN"/>
              </w:rPr>
              <w:t>5</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szCs w:val="21"/>
                <w:highlight w:val="red"/>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6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szCs w:val="21"/>
                <w:highlight w:val="red"/>
                <w:lang w:val="en-US" w:eastAsia="zh-CN"/>
              </w:rPr>
              <w:t>总磷</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2.10</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2.10</w:t>
            </w:r>
          </w:p>
        </w:tc>
        <w:tc>
          <w:tcPr>
            <w:tcW w:w="1549" w:type="dxa"/>
            <w:vAlign w:val="center"/>
          </w:tcPr>
          <w:p>
            <w:pPr>
              <w:autoSpaceDE w:val="0"/>
              <w:autoSpaceDN w:val="0"/>
              <w:jc w:val="center"/>
              <w:rPr>
                <w:rFonts w:hint="default"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0</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szCs w:val="21"/>
                <w:highlight w:val="red"/>
                <w:lang w:val="en-US" w:eastAsia="zh-CN"/>
              </w:rPr>
              <w:t>5</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red"/>
                <w:lang w:val="en-US" w:eastAsia="zh-CN" w:bidi="ar-SA"/>
              </w:rPr>
            </w:pPr>
            <w:r>
              <w:rPr>
                <w:rFonts w:hint="eastAsia" w:ascii="Times New Roman" w:hAnsi="Times New Roman" w:cs="Times New Roman"/>
                <w:b w:val="0"/>
                <w:bCs/>
                <w:szCs w:val="21"/>
                <w:highlight w:val="red"/>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67" w:type="dxa"/>
            <w:vAlign w:val="center"/>
          </w:tcPr>
          <w:p>
            <w:pPr>
              <w:autoSpaceDE w:val="0"/>
              <w:autoSpaceDN w:val="0"/>
              <w:jc w:val="center"/>
              <w:rPr>
                <w:rFonts w:hint="eastAsia" w:ascii="Times New Roman" w:hAnsi="Times New Roman" w:cs="Times New Roman"/>
                <w:b w:val="0"/>
                <w:bCs/>
                <w:szCs w:val="21"/>
                <w:highlight w:val="red"/>
                <w:lang w:val="en-US" w:eastAsia="zh-CN"/>
              </w:rPr>
            </w:pPr>
            <w:r>
              <w:rPr>
                <w:rFonts w:hint="eastAsia" w:ascii="Times New Roman" w:hAnsi="Times New Roman" w:cs="Times New Roman"/>
                <w:b w:val="0"/>
                <w:bCs/>
                <w:szCs w:val="21"/>
                <w:highlight w:val="red"/>
                <w:lang w:val="en-US" w:eastAsia="zh-CN"/>
              </w:rPr>
              <w:t>总磷</w:t>
            </w:r>
          </w:p>
        </w:tc>
        <w:tc>
          <w:tcPr>
            <w:tcW w:w="1298" w:type="dxa"/>
            <w:vAlign w:val="center"/>
          </w:tcPr>
          <w:p>
            <w:pPr>
              <w:autoSpaceDE w:val="0"/>
              <w:autoSpaceDN w:val="0"/>
              <w:jc w:val="center"/>
              <w:rPr>
                <w:rFonts w:hint="default" w:ascii="Times New Roman" w:hAnsi="Times New Roman" w:cs="Times New Roman"/>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2.36</w:t>
            </w:r>
          </w:p>
        </w:tc>
        <w:tc>
          <w:tcPr>
            <w:tcW w:w="1473" w:type="dxa"/>
            <w:vAlign w:val="center"/>
          </w:tcPr>
          <w:p>
            <w:pPr>
              <w:autoSpaceDE w:val="0"/>
              <w:autoSpaceDN w:val="0"/>
              <w:jc w:val="center"/>
              <w:rPr>
                <w:rFonts w:hint="default" w:ascii="Times New Roman" w:hAnsi="Times New Roman" w:cs="Times New Roman"/>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2.36</w:t>
            </w:r>
          </w:p>
        </w:tc>
        <w:tc>
          <w:tcPr>
            <w:tcW w:w="1549" w:type="dxa"/>
            <w:vAlign w:val="center"/>
          </w:tcPr>
          <w:p>
            <w:pPr>
              <w:autoSpaceDE w:val="0"/>
              <w:autoSpaceDN w:val="0"/>
              <w:jc w:val="center"/>
              <w:rPr>
                <w:rFonts w:hint="default" w:ascii="Times New Roman" w:hAnsi="Times New Roman" w:cs="Times New Roman"/>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0</w:t>
            </w:r>
          </w:p>
        </w:tc>
        <w:tc>
          <w:tcPr>
            <w:tcW w:w="1451" w:type="dxa"/>
            <w:vAlign w:val="center"/>
          </w:tcPr>
          <w:p>
            <w:pPr>
              <w:autoSpaceDE w:val="0"/>
              <w:autoSpaceDN w:val="0"/>
              <w:jc w:val="center"/>
              <w:rPr>
                <w:rFonts w:hint="default" w:ascii="Times New Roman" w:hAnsi="Times New Roman" w:cs="Times New Roman"/>
                <w:b w:val="0"/>
                <w:bCs/>
                <w:szCs w:val="21"/>
                <w:highlight w:val="red"/>
                <w:lang w:val="en-US" w:eastAsia="zh-CN"/>
              </w:rPr>
            </w:pPr>
            <w:r>
              <w:rPr>
                <w:rFonts w:hint="eastAsia" w:ascii="Times New Roman" w:hAnsi="Times New Roman" w:cs="Times New Roman"/>
                <w:b w:val="0"/>
                <w:bCs/>
                <w:szCs w:val="21"/>
                <w:highlight w:val="red"/>
                <w:lang w:val="en-US" w:eastAsia="zh-CN"/>
              </w:rPr>
              <w:t>5</w:t>
            </w:r>
          </w:p>
        </w:tc>
        <w:tc>
          <w:tcPr>
            <w:tcW w:w="1297" w:type="dxa"/>
            <w:vAlign w:val="center"/>
          </w:tcPr>
          <w:p>
            <w:pPr>
              <w:autoSpaceDE w:val="0"/>
              <w:autoSpaceDN w:val="0"/>
              <w:jc w:val="center"/>
              <w:rPr>
                <w:rFonts w:hint="default" w:ascii="Times New Roman" w:hAnsi="Times New Roman" w:cs="Times New Roman"/>
                <w:b w:val="0"/>
                <w:bCs/>
                <w:szCs w:val="21"/>
                <w:highlight w:val="red"/>
                <w:lang w:val="en-US" w:eastAsia="zh-CN"/>
              </w:rPr>
            </w:pPr>
            <w:r>
              <w:rPr>
                <w:rFonts w:hint="eastAsia" w:ascii="Times New Roman" w:hAnsi="Times New Roman" w:cs="Times New Roman"/>
                <w:b w:val="0"/>
                <w:bCs/>
                <w:szCs w:val="21"/>
                <w:highlight w:val="red"/>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67" w:type="dxa"/>
            <w:vAlign w:val="center"/>
          </w:tcPr>
          <w:p>
            <w:pPr>
              <w:autoSpaceDE w:val="0"/>
              <w:autoSpaceDN w:val="0"/>
              <w:jc w:val="center"/>
              <w:rPr>
                <w:rFonts w:hint="default" w:ascii="Times New Roman" w:hAnsi="Times New Roman" w:cs="Times New Roman"/>
                <w:b w:val="0"/>
                <w:bCs/>
                <w:szCs w:val="21"/>
                <w:highlight w:val="red"/>
                <w:lang w:val="en-US" w:eastAsia="zh-CN"/>
              </w:rPr>
            </w:pPr>
            <w:r>
              <w:rPr>
                <w:rFonts w:hint="eastAsia" w:ascii="Times New Roman" w:hAnsi="Times New Roman" w:cs="Times New Roman"/>
                <w:b w:val="0"/>
                <w:bCs/>
                <w:szCs w:val="21"/>
                <w:highlight w:val="red"/>
                <w:lang w:val="en-US" w:eastAsia="zh-CN"/>
              </w:rPr>
              <w:t>阴离子表面活性剂</w:t>
            </w:r>
          </w:p>
        </w:tc>
        <w:tc>
          <w:tcPr>
            <w:tcW w:w="1298" w:type="dxa"/>
            <w:vAlign w:val="center"/>
          </w:tcPr>
          <w:p>
            <w:pPr>
              <w:autoSpaceDE w:val="0"/>
              <w:autoSpaceDN w:val="0"/>
              <w:jc w:val="center"/>
              <w:rPr>
                <w:rFonts w:hint="default" w:ascii="Times New Roman" w:hAnsi="Times New Roman" w:cs="Times New Roman"/>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6.44</w:t>
            </w:r>
          </w:p>
        </w:tc>
        <w:tc>
          <w:tcPr>
            <w:tcW w:w="1473" w:type="dxa"/>
            <w:vAlign w:val="center"/>
          </w:tcPr>
          <w:p>
            <w:pPr>
              <w:autoSpaceDE w:val="0"/>
              <w:autoSpaceDN w:val="0"/>
              <w:jc w:val="center"/>
              <w:rPr>
                <w:rFonts w:hint="default" w:ascii="Times New Roman" w:hAnsi="Times New Roman" w:cs="Times New Roman"/>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6.61</w:t>
            </w:r>
          </w:p>
        </w:tc>
        <w:tc>
          <w:tcPr>
            <w:tcW w:w="1549" w:type="dxa"/>
            <w:vAlign w:val="center"/>
          </w:tcPr>
          <w:p>
            <w:pPr>
              <w:autoSpaceDE w:val="0"/>
              <w:autoSpaceDN w:val="0"/>
              <w:jc w:val="center"/>
              <w:rPr>
                <w:rFonts w:hint="default" w:ascii="Times New Roman" w:hAnsi="Times New Roman" w:cs="Times New Roman"/>
                <w:b w:val="0"/>
                <w:bCs/>
                <w:kern w:val="2"/>
                <w:sz w:val="21"/>
                <w:szCs w:val="21"/>
                <w:highlight w:val="red"/>
                <w:lang w:val="en-US" w:eastAsia="zh-CN" w:bidi="ar-SA"/>
              </w:rPr>
            </w:pPr>
            <w:r>
              <w:rPr>
                <w:rFonts w:hint="eastAsia" w:ascii="Times New Roman" w:hAnsi="Times New Roman" w:cs="Times New Roman"/>
                <w:b w:val="0"/>
                <w:bCs/>
                <w:kern w:val="2"/>
                <w:sz w:val="21"/>
                <w:szCs w:val="21"/>
                <w:highlight w:val="red"/>
                <w:lang w:val="en-US" w:eastAsia="zh-CN" w:bidi="ar-SA"/>
              </w:rPr>
              <w:t>1.4</w:t>
            </w:r>
          </w:p>
        </w:tc>
        <w:tc>
          <w:tcPr>
            <w:tcW w:w="1451" w:type="dxa"/>
            <w:vAlign w:val="center"/>
          </w:tcPr>
          <w:p>
            <w:pPr>
              <w:autoSpaceDE w:val="0"/>
              <w:autoSpaceDN w:val="0"/>
              <w:jc w:val="center"/>
              <w:rPr>
                <w:rFonts w:hint="default" w:ascii="Times New Roman" w:hAnsi="Times New Roman" w:cs="Times New Roman"/>
                <w:b w:val="0"/>
                <w:bCs/>
                <w:szCs w:val="21"/>
                <w:highlight w:val="red"/>
                <w:lang w:val="en-US" w:eastAsia="zh-CN"/>
              </w:rPr>
            </w:pPr>
            <w:r>
              <w:rPr>
                <w:rFonts w:hint="eastAsia" w:ascii="Times New Roman" w:hAnsi="Times New Roman" w:cs="Times New Roman"/>
                <w:b w:val="0"/>
                <w:bCs/>
                <w:szCs w:val="21"/>
                <w:highlight w:val="red"/>
                <w:lang w:val="en-US" w:eastAsia="zh-CN"/>
              </w:rPr>
              <w:t>5</w:t>
            </w:r>
          </w:p>
        </w:tc>
        <w:tc>
          <w:tcPr>
            <w:tcW w:w="1297" w:type="dxa"/>
            <w:vAlign w:val="center"/>
          </w:tcPr>
          <w:p>
            <w:pPr>
              <w:autoSpaceDE w:val="0"/>
              <w:autoSpaceDN w:val="0"/>
              <w:jc w:val="center"/>
              <w:rPr>
                <w:rFonts w:hint="default" w:ascii="Times New Roman" w:hAnsi="Times New Roman" w:cs="Times New Roman"/>
                <w:b w:val="0"/>
                <w:bCs/>
                <w:szCs w:val="21"/>
                <w:highlight w:val="red"/>
                <w:lang w:val="en-US" w:eastAsia="zh-CN"/>
              </w:rPr>
            </w:pPr>
            <w:r>
              <w:rPr>
                <w:rFonts w:hint="eastAsia" w:ascii="Times New Roman" w:hAnsi="Times New Roman" w:cs="Times New Roman"/>
                <w:b w:val="0"/>
                <w:bCs/>
                <w:szCs w:val="21"/>
                <w:highlight w:val="red"/>
                <w:lang w:val="en-US" w:eastAsia="zh-CN"/>
              </w:rPr>
              <w:t>符合</w:t>
            </w:r>
          </w:p>
        </w:tc>
      </w:tr>
    </w:tbl>
    <w:p>
      <w:pPr>
        <w:jc w:val="center"/>
        <w:rPr>
          <w:rFonts w:hint="default" w:ascii="Times New Roman" w:hAnsi="Times New Roman" w:cs="Times New Roman"/>
          <w:b/>
          <w:highlight w:val="green"/>
        </w:rPr>
      </w:pPr>
    </w:p>
    <w:p>
      <w:pPr>
        <w:pStyle w:val="2"/>
        <w:rPr>
          <w:rFonts w:hint="default" w:ascii="Times New Roman" w:hAnsi="Times New Roman" w:cs="Times New Roman"/>
          <w:b/>
          <w:highlight w:val="green"/>
        </w:rPr>
      </w:pPr>
    </w:p>
    <w:p>
      <w:pPr>
        <w:pStyle w:val="3"/>
        <w:rPr>
          <w:rFonts w:hint="default" w:ascii="Times New Roman" w:hAnsi="Times New Roman" w:cs="Times New Roman"/>
          <w:b/>
          <w:highlight w:val="green"/>
        </w:rPr>
      </w:pPr>
    </w:p>
    <w:p>
      <w:pPr>
        <w:rPr>
          <w:rFonts w:hint="default"/>
        </w:rPr>
      </w:pPr>
    </w:p>
    <w:p>
      <w:pPr>
        <w:spacing w:line="360" w:lineRule="auto"/>
        <w:jc w:val="center"/>
        <w:rPr>
          <w:rFonts w:hint="default" w:ascii="Times New Roman" w:hAnsi="Times New Roman" w:cs="Times New Roman"/>
          <w:b/>
        </w:rPr>
      </w:pPr>
      <w:r>
        <w:rPr>
          <w:rFonts w:hint="default" w:ascii="Times New Roman" w:hAnsi="Times New Roman" w:cs="Times New Roman"/>
          <w:b/>
        </w:rPr>
        <w:t>表8.4-</w:t>
      </w:r>
      <w:r>
        <w:rPr>
          <w:rFonts w:hint="eastAsia" w:ascii="Times New Roman" w:hAnsi="Times New Roman" w:cs="Times New Roman"/>
          <w:b/>
          <w:lang w:val="en-US" w:eastAsia="zh-CN"/>
        </w:rPr>
        <w:t>3</w:t>
      </w:r>
      <w:r>
        <w:rPr>
          <w:rFonts w:hint="default" w:ascii="Times New Roman" w:hAnsi="Times New Roman" w:cs="Times New Roman"/>
          <w:b/>
        </w:rPr>
        <w:t xml:space="preserve"> 标准样品测定结果</w:t>
      </w:r>
    </w:p>
    <w:tbl>
      <w:tblPr>
        <w:tblStyle w:val="31"/>
        <w:tblW w:w="482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54"/>
        <w:gridCol w:w="1605"/>
        <w:gridCol w:w="1910"/>
        <w:gridCol w:w="1625"/>
        <w:gridCol w:w="11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54" w:type="dxa"/>
            <w:vAlign w:val="center"/>
          </w:tcPr>
          <w:p>
            <w:pPr>
              <w:autoSpaceDE w:val="0"/>
              <w:autoSpaceDN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项目名称</w:t>
            </w:r>
          </w:p>
        </w:tc>
        <w:tc>
          <w:tcPr>
            <w:tcW w:w="1605" w:type="dxa"/>
            <w:vAlign w:val="center"/>
          </w:tcPr>
          <w:p>
            <w:pPr>
              <w:autoSpaceDE w:val="0"/>
              <w:autoSpaceDN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测定值（mg/L）</w:t>
            </w:r>
          </w:p>
        </w:tc>
        <w:tc>
          <w:tcPr>
            <w:tcW w:w="1910" w:type="dxa"/>
            <w:vAlign w:val="center"/>
          </w:tcPr>
          <w:p>
            <w:pPr>
              <w:autoSpaceDE w:val="0"/>
              <w:autoSpaceDN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标样编号</w:t>
            </w:r>
          </w:p>
        </w:tc>
        <w:tc>
          <w:tcPr>
            <w:tcW w:w="1625" w:type="dxa"/>
            <w:vAlign w:val="center"/>
          </w:tcPr>
          <w:p>
            <w:pPr>
              <w:autoSpaceDE w:val="0"/>
              <w:autoSpaceDN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标准值（mg/L）</w:t>
            </w:r>
          </w:p>
        </w:tc>
        <w:tc>
          <w:tcPr>
            <w:tcW w:w="1122" w:type="dxa"/>
            <w:vAlign w:val="center"/>
          </w:tcPr>
          <w:p>
            <w:pPr>
              <w:autoSpaceDE w:val="0"/>
              <w:autoSpaceDN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是否合格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954"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五</w:t>
            </w:r>
            <w:bookmarkStart w:id="139" w:name="_GoBack"/>
            <w:bookmarkEnd w:id="139"/>
            <w:r>
              <w:rPr>
                <w:rFonts w:hint="default" w:ascii="Times New Roman" w:hAnsi="Times New Roman" w:cs="Times New Roman"/>
                <w:b w:val="0"/>
                <w:bCs/>
                <w:color w:val="auto"/>
                <w:szCs w:val="21"/>
              </w:rPr>
              <w:t>日生化需氧量</w:t>
            </w:r>
          </w:p>
        </w:tc>
        <w:tc>
          <w:tcPr>
            <w:tcW w:w="160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224</w:t>
            </w:r>
          </w:p>
        </w:tc>
        <w:tc>
          <w:tcPr>
            <w:tcW w:w="1910"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H-</w:t>
            </w:r>
            <w:r>
              <w:rPr>
                <w:rFonts w:hint="eastAsia" w:ascii="Times New Roman" w:hAnsi="Times New Roman" w:cs="Times New Roman"/>
                <w:b w:val="0"/>
                <w:bCs/>
                <w:color w:val="auto"/>
                <w:szCs w:val="21"/>
              </w:rPr>
              <w:t>231221</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01</w:t>
            </w:r>
          </w:p>
        </w:tc>
        <w:tc>
          <w:tcPr>
            <w:tcW w:w="162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210</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20</w:t>
            </w:r>
          </w:p>
        </w:tc>
        <w:tc>
          <w:tcPr>
            <w:tcW w:w="1122"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954"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五日生化需氧量</w:t>
            </w:r>
          </w:p>
        </w:tc>
        <w:tc>
          <w:tcPr>
            <w:tcW w:w="160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207</w:t>
            </w:r>
          </w:p>
        </w:tc>
        <w:tc>
          <w:tcPr>
            <w:tcW w:w="1910"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H-</w:t>
            </w:r>
            <w:r>
              <w:rPr>
                <w:rFonts w:hint="eastAsia" w:ascii="Times New Roman" w:hAnsi="Times New Roman" w:cs="Times New Roman"/>
                <w:b w:val="0"/>
                <w:bCs/>
                <w:color w:val="auto"/>
                <w:szCs w:val="21"/>
              </w:rPr>
              <w:t>231222</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01</w:t>
            </w:r>
          </w:p>
        </w:tc>
        <w:tc>
          <w:tcPr>
            <w:tcW w:w="162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210</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20</w:t>
            </w:r>
          </w:p>
        </w:tc>
        <w:tc>
          <w:tcPr>
            <w:tcW w:w="1122"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954"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化学需氧量</w:t>
            </w:r>
          </w:p>
        </w:tc>
        <w:tc>
          <w:tcPr>
            <w:tcW w:w="160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123</w:t>
            </w:r>
          </w:p>
        </w:tc>
        <w:tc>
          <w:tcPr>
            <w:tcW w:w="1910"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BY-H-</w:t>
            </w:r>
            <w:r>
              <w:rPr>
                <w:rFonts w:hint="eastAsia" w:ascii="Times New Roman" w:hAnsi="Times New Roman" w:cs="Times New Roman"/>
                <w:b w:val="0"/>
                <w:bCs/>
                <w:color w:val="auto"/>
                <w:szCs w:val="21"/>
              </w:rPr>
              <w:t>230049</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1</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02</w:t>
            </w:r>
          </w:p>
        </w:tc>
        <w:tc>
          <w:tcPr>
            <w:tcW w:w="162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126</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7</w:t>
            </w:r>
          </w:p>
        </w:tc>
        <w:tc>
          <w:tcPr>
            <w:tcW w:w="1122"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954"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石油类</w:t>
            </w:r>
          </w:p>
        </w:tc>
        <w:tc>
          <w:tcPr>
            <w:tcW w:w="160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9.82</w:t>
            </w:r>
          </w:p>
        </w:tc>
        <w:tc>
          <w:tcPr>
            <w:tcW w:w="1910"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BY-H-</w:t>
            </w:r>
            <w:r>
              <w:rPr>
                <w:rFonts w:hint="eastAsia" w:ascii="Times New Roman" w:hAnsi="Times New Roman" w:cs="Times New Roman"/>
                <w:b w:val="0"/>
                <w:bCs/>
                <w:color w:val="auto"/>
                <w:szCs w:val="21"/>
              </w:rPr>
              <w:t>230037</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4</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05</w:t>
            </w:r>
          </w:p>
        </w:tc>
        <w:tc>
          <w:tcPr>
            <w:tcW w:w="162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9.72</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0.78</w:t>
            </w:r>
          </w:p>
        </w:tc>
        <w:tc>
          <w:tcPr>
            <w:tcW w:w="1122"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954"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氨氮</w:t>
            </w:r>
          </w:p>
        </w:tc>
        <w:tc>
          <w:tcPr>
            <w:tcW w:w="160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0.786</w:t>
            </w:r>
          </w:p>
        </w:tc>
        <w:tc>
          <w:tcPr>
            <w:tcW w:w="1910"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BY-H-</w:t>
            </w:r>
            <w:r>
              <w:rPr>
                <w:rFonts w:hint="eastAsia" w:ascii="Times New Roman" w:hAnsi="Times New Roman" w:cs="Times New Roman"/>
                <w:b w:val="0"/>
                <w:bCs/>
                <w:color w:val="auto"/>
                <w:szCs w:val="21"/>
              </w:rPr>
              <w:t>230004</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2</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07</w:t>
            </w:r>
          </w:p>
        </w:tc>
        <w:tc>
          <w:tcPr>
            <w:tcW w:w="162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0.801</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0.046</w:t>
            </w:r>
          </w:p>
        </w:tc>
        <w:tc>
          <w:tcPr>
            <w:tcW w:w="1122"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954" w:type="dxa"/>
            <w:vAlign w:val="center"/>
          </w:tcPr>
          <w:p>
            <w:pPr>
              <w:autoSpaceDE w:val="0"/>
              <w:autoSpaceDN w:val="0"/>
              <w:jc w:val="center"/>
              <w:rPr>
                <w:rFonts w:hint="default" w:ascii="Times New Roman" w:hAnsi="Times New Roman" w:cs="Times New Roman"/>
                <w:b w:val="0"/>
                <w:bCs/>
                <w:color w:val="auto"/>
                <w:szCs w:val="21"/>
                <w:lang w:val="en-US" w:eastAsia="zh-CN"/>
              </w:rPr>
            </w:pPr>
            <w:bookmarkStart w:id="86" w:name="_Toc20836"/>
            <w:r>
              <w:rPr>
                <w:rFonts w:hint="eastAsia" w:ascii="Times New Roman" w:hAnsi="Times New Roman" w:cs="Times New Roman"/>
                <w:b w:val="0"/>
                <w:bCs/>
                <w:color w:val="auto"/>
                <w:szCs w:val="21"/>
              </w:rPr>
              <w:t>总磷</w:t>
            </w:r>
          </w:p>
        </w:tc>
        <w:tc>
          <w:tcPr>
            <w:tcW w:w="160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5.06</w:t>
            </w:r>
          </w:p>
        </w:tc>
        <w:tc>
          <w:tcPr>
            <w:tcW w:w="1910"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BY-H-</w:t>
            </w:r>
            <w:r>
              <w:rPr>
                <w:rFonts w:hint="eastAsia" w:ascii="Times New Roman" w:hAnsi="Times New Roman" w:cs="Times New Roman"/>
                <w:b w:val="0"/>
                <w:bCs/>
                <w:color w:val="auto"/>
                <w:szCs w:val="21"/>
              </w:rPr>
              <w:t>220023-2</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12</w:t>
            </w:r>
          </w:p>
        </w:tc>
        <w:tc>
          <w:tcPr>
            <w:tcW w:w="162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5.03</w:t>
            </w:r>
            <w:r>
              <w:rPr>
                <w:rFonts w:hint="default" w:ascii="Times New Roman" w:hAnsi="Times New Roman" w:cs="Times New Roman"/>
                <w:b w:val="0"/>
                <w:bCs/>
                <w:color w:val="auto"/>
                <w:szCs w:val="21"/>
              </w:rPr>
              <w:t>±0.</w:t>
            </w:r>
            <w:r>
              <w:rPr>
                <w:rFonts w:hint="eastAsia" w:ascii="Times New Roman" w:hAnsi="Times New Roman" w:cs="Times New Roman"/>
                <w:b w:val="0"/>
                <w:bCs/>
                <w:color w:val="auto"/>
                <w:szCs w:val="21"/>
              </w:rPr>
              <w:t>28</w:t>
            </w:r>
          </w:p>
        </w:tc>
        <w:tc>
          <w:tcPr>
            <w:tcW w:w="1122"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954"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阴离子表面活性剂</w:t>
            </w:r>
          </w:p>
        </w:tc>
        <w:tc>
          <w:tcPr>
            <w:tcW w:w="160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4.64</w:t>
            </w:r>
          </w:p>
        </w:tc>
        <w:tc>
          <w:tcPr>
            <w:tcW w:w="1910"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BY-H-</w:t>
            </w:r>
            <w:r>
              <w:rPr>
                <w:rFonts w:hint="eastAsia" w:ascii="Times New Roman" w:hAnsi="Times New Roman" w:cs="Times New Roman"/>
                <w:b w:val="0"/>
                <w:bCs/>
                <w:color w:val="auto"/>
                <w:szCs w:val="21"/>
              </w:rPr>
              <w:t>230028-</w:t>
            </w:r>
            <w:r>
              <w:rPr>
                <w:rFonts w:hint="default" w:ascii="Times New Roman" w:hAnsi="Times New Roman" w:cs="Times New Roman"/>
                <w:b w:val="0"/>
                <w:bCs/>
                <w:color w:val="auto"/>
                <w:szCs w:val="21"/>
              </w:rPr>
              <w:t>1-</w:t>
            </w:r>
            <w:r>
              <w:rPr>
                <w:rFonts w:hint="eastAsia" w:ascii="Times New Roman" w:hAnsi="Times New Roman" w:cs="Times New Roman"/>
                <w:b w:val="0"/>
                <w:bCs/>
                <w:color w:val="auto"/>
                <w:szCs w:val="21"/>
              </w:rPr>
              <w:t>09</w:t>
            </w:r>
          </w:p>
        </w:tc>
        <w:tc>
          <w:tcPr>
            <w:tcW w:w="1625"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eastAsia" w:ascii="Times New Roman" w:hAnsi="Times New Roman" w:cs="Times New Roman"/>
                <w:b w:val="0"/>
                <w:bCs/>
                <w:color w:val="auto"/>
                <w:szCs w:val="21"/>
              </w:rPr>
              <w:t>4.75</w:t>
            </w:r>
            <w:r>
              <w:rPr>
                <w:rFonts w:hint="default" w:ascii="Times New Roman" w:hAnsi="Times New Roman" w:cs="Times New Roman"/>
                <w:b w:val="0"/>
                <w:bCs/>
                <w:color w:val="auto"/>
                <w:szCs w:val="21"/>
              </w:rPr>
              <w:t>±</w:t>
            </w:r>
            <w:r>
              <w:rPr>
                <w:rFonts w:hint="eastAsia" w:ascii="Times New Roman" w:hAnsi="Times New Roman" w:cs="Times New Roman"/>
                <w:b w:val="0"/>
                <w:bCs/>
                <w:color w:val="auto"/>
                <w:szCs w:val="21"/>
              </w:rPr>
              <w:t>0.22</w:t>
            </w:r>
          </w:p>
        </w:tc>
        <w:tc>
          <w:tcPr>
            <w:tcW w:w="1122" w:type="dxa"/>
            <w:vAlign w:val="center"/>
          </w:tcPr>
          <w:p>
            <w:pPr>
              <w:autoSpaceDE w:val="0"/>
              <w:autoSpaceDN w:val="0"/>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合格</w:t>
            </w:r>
          </w:p>
        </w:tc>
      </w:tr>
    </w:tbl>
    <w:p>
      <w:pPr>
        <w:pStyle w:val="5"/>
        <w:rPr>
          <w:rFonts w:eastAsia="宋体"/>
        </w:rPr>
      </w:pPr>
      <w:r>
        <w:rPr>
          <w:rFonts w:eastAsia="宋体"/>
        </w:rPr>
        <w:t>8.5气体监测分析过程中的质量保证和质量控制</w:t>
      </w:r>
      <w:bookmarkEnd w:id="86"/>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监测时使用经计量部门检定、并在有效期内的仪器。采样器在进现场前对气体分析仪、采样流量计等进行校核。气样的采集、运输、保存、实验室分析和数据计算的全过程均按照《浙江省环境监测质量保证技术规定》（第三版 试行）的要求进行。</w:t>
      </w:r>
    </w:p>
    <w:p>
      <w:pPr>
        <w:pStyle w:val="5"/>
        <w:rPr>
          <w:rFonts w:eastAsia="宋体"/>
        </w:rPr>
      </w:pPr>
      <w:bookmarkStart w:id="87" w:name="_Toc12280"/>
      <w:r>
        <w:rPr>
          <w:rFonts w:eastAsia="宋体"/>
        </w:rPr>
        <w:t>8.6噪声监测分析过程中的质量保证和质量控制</w:t>
      </w:r>
      <w:bookmarkEnd w:id="87"/>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监测时使用经计量部门检定、并在有效使用期内的声级计。噪声仪在使用前后用声校准器校准，校准读数偏差不大于0.5分贝。测量在无雨雪、无雷电天气、风速5m/s以下时进行。</w:t>
      </w:r>
    </w:p>
    <w:p>
      <w:pPr>
        <w:pStyle w:val="5"/>
        <w:rPr>
          <w:rFonts w:eastAsia="宋体"/>
        </w:rPr>
      </w:pPr>
      <w:bookmarkStart w:id="88" w:name="_Toc12897"/>
      <w:r>
        <w:rPr>
          <w:rFonts w:eastAsia="宋体"/>
        </w:rPr>
        <w:t>8.7</w:t>
      </w:r>
      <w:r>
        <w:rPr>
          <w:rFonts w:hint="eastAsia" w:eastAsia="宋体"/>
        </w:rPr>
        <w:t>采样记录及分析结果</w:t>
      </w:r>
      <w:bookmarkEnd w:id="88"/>
    </w:p>
    <w:p>
      <w:pPr>
        <w:spacing w:line="360" w:lineRule="auto"/>
        <w:ind w:firstLine="480" w:firstLineChars="200"/>
        <w:jc w:val="left"/>
        <w:rPr>
          <w:rFonts w:ascii="Times New Roman" w:hAnsi="Times New Roman"/>
          <w:sz w:val="24"/>
          <w:szCs w:val="24"/>
        </w:rPr>
      </w:pPr>
      <w:r>
        <w:rPr>
          <w:rFonts w:hint="eastAsia" w:ascii="Times New Roman" w:hAnsi="Times New Roman" w:cs="宋体"/>
          <w:sz w:val="24"/>
        </w:rPr>
        <w:t>验收监测的采样记录及分析测试结果，按国家标准和监测技术规范有关要求进行数据处理和填报，并按有关规定和要求进行三级审核，</w:t>
      </w:r>
      <w:r>
        <w:rPr>
          <w:rFonts w:hint="eastAsia" w:ascii="Times New Roman" w:hAnsi="Times New Roman"/>
          <w:sz w:val="24"/>
          <w:szCs w:val="24"/>
        </w:rPr>
        <w:t>经过校对、校核，最后由技术负责人审定。</w:t>
      </w:r>
    </w:p>
    <w:p>
      <w:pPr>
        <w:spacing w:line="360" w:lineRule="auto"/>
        <w:ind w:firstLine="480" w:firstLineChars="200"/>
        <w:jc w:val="left"/>
        <w:rPr>
          <w:rFonts w:ascii="Times New Roman" w:hAnsi="Times New Roman"/>
          <w:sz w:val="24"/>
          <w:szCs w:val="24"/>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pPr>
      <w:bookmarkStart w:id="89" w:name="_Toc15401"/>
      <w:r>
        <w:rPr>
          <w:rFonts w:hint="eastAsia"/>
        </w:rPr>
        <w:t>9验收监测结果</w:t>
      </w:r>
      <w:bookmarkEnd w:id="89"/>
    </w:p>
    <w:p>
      <w:pPr>
        <w:pStyle w:val="5"/>
        <w:rPr>
          <w:rFonts w:eastAsia="宋体"/>
        </w:rPr>
      </w:pPr>
      <w:bookmarkStart w:id="90" w:name="_Toc26998"/>
      <w:r>
        <w:rPr>
          <w:rFonts w:eastAsia="宋体"/>
        </w:rPr>
        <w:t>9.1生产工况</w:t>
      </w:r>
      <w:bookmarkEnd w:id="90"/>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highlight w:val="none"/>
        </w:rPr>
        <w:t>根据企业提供的监测期间工况证明，</w:t>
      </w:r>
      <w:r>
        <w:rPr>
          <w:rFonts w:ascii="Times New Roman" w:hAnsi="Times New Roman"/>
          <w:sz w:val="24"/>
          <w:szCs w:val="24"/>
          <w:highlight w:val="none"/>
        </w:rPr>
        <w:t>在验收监测期间，该公司生产负荷</w:t>
      </w:r>
      <w:r>
        <w:rPr>
          <w:rFonts w:hint="eastAsia" w:ascii="Times New Roman" w:hAnsi="Times New Roman"/>
          <w:sz w:val="24"/>
          <w:szCs w:val="24"/>
          <w:highlight w:val="none"/>
        </w:rPr>
        <w:t>最低</w:t>
      </w:r>
      <w:r>
        <w:rPr>
          <w:rFonts w:hint="eastAsia" w:ascii="Times New Roman" w:hAnsi="Times New Roman"/>
          <w:sz w:val="24"/>
          <w:szCs w:val="24"/>
          <w:highlight w:val="none"/>
          <w:lang w:val="en-US" w:eastAsia="zh-CN"/>
        </w:rPr>
        <w:t>89.0</w:t>
      </w:r>
      <w:r>
        <w:rPr>
          <w:rFonts w:hint="eastAsia" w:ascii="Times New Roman" w:hAnsi="Times New Roman"/>
          <w:sz w:val="24"/>
          <w:szCs w:val="24"/>
          <w:highlight w:val="none"/>
        </w:rPr>
        <w:t>%</w:t>
      </w:r>
      <w:r>
        <w:rPr>
          <w:rFonts w:ascii="Times New Roman" w:hAnsi="Times New Roman"/>
          <w:sz w:val="24"/>
          <w:szCs w:val="24"/>
          <w:highlight w:val="none"/>
        </w:rPr>
        <w:t>，满足国家环保总局《建设项目竣工环境保护验收管理办法》中要求设计能力75%以上的负荷要求</w:t>
      </w:r>
      <w:r>
        <w:rPr>
          <w:rFonts w:hint="eastAsia" w:ascii="Times New Roman" w:hAnsi="Times New Roman"/>
          <w:sz w:val="24"/>
          <w:szCs w:val="24"/>
        </w:rPr>
        <w:t>。项目验收期间生产工况见表9</w:t>
      </w:r>
      <w:r>
        <w:rPr>
          <w:rFonts w:ascii="Times New Roman" w:hAnsi="Times New Roman"/>
          <w:sz w:val="24"/>
          <w:szCs w:val="24"/>
        </w:rPr>
        <w:t>.1</w:t>
      </w:r>
      <w:r>
        <w:rPr>
          <w:rFonts w:hint="eastAsia" w:ascii="Times New Roman" w:hAnsi="Times New Roman"/>
          <w:sz w:val="24"/>
          <w:szCs w:val="24"/>
        </w:rPr>
        <w:t>-1。</w:t>
      </w:r>
    </w:p>
    <w:p>
      <w:pPr>
        <w:spacing w:line="360" w:lineRule="auto"/>
        <w:jc w:val="center"/>
        <w:rPr>
          <w:rFonts w:hint="eastAsia" w:ascii="Times New Roman" w:hAnsi="Times New Roman" w:eastAsia="宋体" w:cs="Times New Roman"/>
          <w:b/>
          <w:szCs w:val="21"/>
        </w:rPr>
      </w:pPr>
      <w:r>
        <w:rPr>
          <w:rFonts w:hint="eastAsia" w:ascii="Times New Roman" w:hAnsi="Times New Roman" w:eastAsia="宋体" w:cs="Times New Roman"/>
          <w:b/>
          <w:szCs w:val="21"/>
        </w:rPr>
        <w:t>表9</w:t>
      </w:r>
      <w:r>
        <w:rPr>
          <w:rFonts w:ascii="Times New Roman" w:hAnsi="Times New Roman" w:eastAsia="宋体" w:cs="Times New Roman"/>
          <w:b/>
          <w:szCs w:val="21"/>
        </w:rPr>
        <w:t>.1</w:t>
      </w:r>
      <w:r>
        <w:rPr>
          <w:rFonts w:hint="eastAsia" w:ascii="Times New Roman" w:hAnsi="Times New Roman" w:eastAsia="宋体" w:cs="Times New Roman"/>
          <w:b/>
          <w:szCs w:val="21"/>
        </w:rPr>
        <w:t>-1 建设项目竣工验收监测期间生产工况</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3160"/>
        <w:gridCol w:w="2180"/>
        <w:gridCol w:w="16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vAlign w:val="center"/>
          </w:tcPr>
          <w:p>
            <w:pPr>
              <w:adjustRightInd w:val="0"/>
              <w:snapToGrid w:val="0"/>
              <w:spacing w:line="259" w:lineRule="auto"/>
              <w:ind w:right="46"/>
              <w:jc w:val="center"/>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日期</w:t>
            </w:r>
          </w:p>
        </w:tc>
        <w:tc>
          <w:tcPr>
            <w:tcW w:w="3160" w:type="dxa"/>
            <w:tcBorders>
              <w:tl2br w:val="nil"/>
              <w:tr2bl w:val="nil"/>
            </w:tcBorders>
            <w:vAlign w:val="center"/>
          </w:tcPr>
          <w:p>
            <w:pPr>
              <w:adjustRightInd w:val="0"/>
              <w:snapToGrid w:val="0"/>
              <w:spacing w:line="259" w:lineRule="auto"/>
              <w:ind w:right="46" w:rightChars="0"/>
              <w:jc w:val="center"/>
              <w:rPr>
                <w:rFonts w:hint="default" w:ascii="宋体" w:hAnsi="宋体" w:cs="Times New Roman" w:eastAsiaTheme="minorEastAsia"/>
                <w:b/>
                <w:bCs/>
                <w:kern w:val="2"/>
                <w:sz w:val="21"/>
                <w:szCs w:val="21"/>
                <w:highlight w:val="none"/>
                <w:lang w:val="en-US" w:eastAsia="zh-CN" w:bidi="ar-SA"/>
              </w:rPr>
            </w:pPr>
            <w:r>
              <w:rPr>
                <w:rFonts w:hint="eastAsia" w:ascii="Times New Roman" w:hAnsi="Times New Roman"/>
                <w:b/>
                <w:bCs/>
              </w:rPr>
              <w:t>环评批复</w:t>
            </w:r>
            <w:r>
              <w:rPr>
                <w:rFonts w:hint="eastAsia" w:ascii="Times New Roman" w:hAnsi="Times New Roman"/>
                <w:b/>
                <w:bCs/>
                <w:lang w:val="en-US" w:eastAsia="zh-CN"/>
              </w:rPr>
              <w:t>年产量</w:t>
            </w:r>
          </w:p>
        </w:tc>
        <w:tc>
          <w:tcPr>
            <w:tcW w:w="2180" w:type="dxa"/>
            <w:tcBorders>
              <w:tl2br w:val="nil"/>
              <w:tr2bl w:val="nil"/>
            </w:tcBorders>
            <w:vAlign w:val="center"/>
          </w:tcPr>
          <w:p>
            <w:pPr>
              <w:adjustRightInd w:val="0"/>
              <w:snapToGrid w:val="0"/>
              <w:spacing w:line="259" w:lineRule="auto"/>
              <w:ind w:right="46" w:rightChars="0"/>
              <w:jc w:val="center"/>
              <w:rPr>
                <w:rFonts w:hint="default" w:ascii="Times New Roman" w:hAnsi="Times New Roman" w:eastAsiaTheme="minorEastAsia"/>
                <w:b/>
                <w:bCs/>
                <w:lang w:val="en-US" w:eastAsia="zh-CN"/>
              </w:rPr>
            </w:pPr>
            <w:r>
              <w:rPr>
                <w:rFonts w:hint="eastAsia" w:ascii="Times New Roman" w:hAnsi="Times New Roman"/>
                <w:b/>
                <w:bCs/>
              </w:rPr>
              <w:t>监测期间日均</w:t>
            </w:r>
            <w:r>
              <w:rPr>
                <w:rFonts w:hint="eastAsia" w:ascii="Times New Roman" w:hAnsi="Times New Roman"/>
                <w:b/>
                <w:bCs/>
                <w:lang w:val="en-US" w:eastAsia="zh-CN"/>
              </w:rPr>
              <w:t>生产量</w:t>
            </w:r>
          </w:p>
        </w:tc>
        <w:tc>
          <w:tcPr>
            <w:tcW w:w="1618"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Times New Roman" w:hAnsi="Times New Roman"/>
                <w:b/>
                <w:bCs/>
              </w:rPr>
              <w:t>生产负荷（%）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Cs w:val="21"/>
                <w:highlight w:val="none"/>
                <w:lang w:eastAsia="zh-CN"/>
              </w:rPr>
              <w:t>2023.12.21</w:t>
            </w:r>
          </w:p>
        </w:tc>
        <w:tc>
          <w:tcPr>
            <w:tcW w:w="3160" w:type="dxa"/>
            <w:tcBorders>
              <w:tl2br w:val="nil"/>
              <w:tr2bl w:val="nil"/>
            </w:tcBorders>
            <w:vAlign w:val="center"/>
          </w:tcPr>
          <w:p>
            <w:pPr>
              <w:jc w:val="center"/>
              <w:rPr>
                <w:rFonts w:hint="default" w:ascii="Times New Roman" w:hAnsi="Times New Roman" w:cs="Times New Roman" w:eastAsiaTheme="minorEastAsia"/>
                <w:kern w:val="2"/>
                <w:sz w:val="21"/>
                <w:szCs w:val="22"/>
                <w:highlight w:val="none"/>
                <w:lang w:val="en-US" w:eastAsia="zh-CN" w:bidi="ar-SA"/>
              </w:rPr>
            </w:pPr>
            <w:r>
              <w:rPr>
                <w:rFonts w:hint="eastAsia" w:ascii="Times New Roman" w:hAnsi="Times New Roman" w:cs="Times New Roman"/>
                <w:highlight w:val="none"/>
                <w:lang w:val="en-US" w:eastAsia="zh-CN"/>
              </w:rPr>
              <w:t>年产8000樘非标门</w:t>
            </w:r>
          </w:p>
        </w:tc>
        <w:tc>
          <w:tcPr>
            <w:tcW w:w="2180" w:type="dxa"/>
            <w:tcBorders>
              <w:tl2br w:val="nil"/>
              <w:tr2bl w:val="nil"/>
            </w:tcBorders>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Cs w:val="21"/>
                <w:lang w:val="en-US" w:eastAsia="zh-CN"/>
              </w:rPr>
              <w:t>24樘</w:t>
            </w:r>
          </w:p>
        </w:tc>
        <w:tc>
          <w:tcPr>
            <w:tcW w:w="1618"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Cs w:val="21"/>
                <w:lang w:eastAsia="zh-CN"/>
              </w:rPr>
              <w:t>2023.12.22</w:t>
            </w:r>
          </w:p>
        </w:tc>
        <w:tc>
          <w:tcPr>
            <w:tcW w:w="3160" w:type="dxa"/>
            <w:tcBorders>
              <w:tl2br w:val="nil"/>
              <w:tr2bl w:val="nil"/>
            </w:tcBorders>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highlight w:val="none"/>
                <w:lang w:val="en-US" w:eastAsia="zh-CN"/>
              </w:rPr>
              <w:t>年产8000樘非标门</w:t>
            </w:r>
          </w:p>
        </w:tc>
        <w:tc>
          <w:tcPr>
            <w:tcW w:w="2180" w:type="dxa"/>
            <w:tcBorders>
              <w:tl2br w:val="nil"/>
              <w:tr2bl w:val="nil"/>
            </w:tcBorders>
            <w:vAlign w:val="center"/>
          </w:tcPr>
          <w:p>
            <w:pPr>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zCs w:val="21"/>
                <w:lang w:val="en-US" w:eastAsia="zh-CN"/>
              </w:rPr>
              <w:t>25樘</w:t>
            </w:r>
          </w:p>
        </w:tc>
        <w:tc>
          <w:tcPr>
            <w:tcW w:w="1618" w:type="dxa"/>
            <w:tcBorders>
              <w:tl2br w:val="nil"/>
              <w:tr2bl w:val="nil"/>
            </w:tcBorders>
            <w:vAlign w:val="center"/>
          </w:tcPr>
          <w:p>
            <w:pPr>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93.8</w:t>
            </w:r>
          </w:p>
        </w:tc>
      </w:tr>
    </w:tbl>
    <w:p>
      <w:pPr>
        <w:pStyle w:val="5"/>
      </w:pPr>
      <w:bookmarkStart w:id="91" w:name="_Toc18577"/>
      <w:r>
        <w:rPr>
          <w:rFonts w:eastAsia="宋体"/>
        </w:rPr>
        <w:t>9.2</w:t>
      </w:r>
      <w:r>
        <w:rPr>
          <w:rFonts w:hint="eastAsia"/>
        </w:rPr>
        <w:t>污染物排放监测</w:t>
      </w:r>
      <w:r>
        <w:t>及</w:t>
      </w:r>
      <w:r>
        <w:rPr>
          <w:rFonts w:hint="eastAsia"/>
        </w:rPr>
        <w:t>环保设施处理效率结果</w:t>
      </w:r>
      <w:bookmarkEnd w:id="91"/>
    </w:p>
    <w:p>
      <w:pPr>
        <w:pStyle w:val="6"/>
        <w:rPr>
          <w:rFonts w:hint="eastAsia"/>
          <w:kern w:val="22"/>
        </w:rPr>
      </w:pPr>
      <w:bookmarkStart w:id="92" w:name="_Toc27280"/>
      <w:bookmarkStart w:id="93" w:name="_Toc24942"/>
      <w:r>
        <w:rPr>
          <w:rFonts w:hint="eastAsia"/>
          <w:kern w:val="22"/>
        </w:rPr>
        <w:t>9.2.1</w:t>
      </w:r>
      <w:bookmarkEnd w:id="92"/>
      <w:r>
        <w:rPr>
          <w:rFonts w:hint="eastAsia"/>
          <w:kern w:val="22"/>
        </w:rPr>
        <w:t>废水监测结果及评价</w:t>
      </w:r>
      <w:bookmarkEnd w:id="93"/>
    </w:p>
    <w:p>
      <w:pPr>
        <w:spacing w:line="360" w:lineRule="auto"/>
        <w:ind w:firstLine="480" w:firstLineChars="200"/>
        <w:jc w:val="left"/>
        <w:rPr>
          <w:rFonts w:hint="eastAsia" w:ascii="Times New Roman" w:hAnsi="Times New Roman"/>
          <w:sz w:val="24"/>
          <w:szCs w:val="24"/>
          <w:lang w:val="en-US" w:eastAsia="zh-CN"/>
        </w:rPr>
        <w:sectPr>
          <w:footerReference r:id="rId12" w:type="default"/>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ascii="Times New Roman" w:hAnsi="Times New Roman"/>
          <w:sz w:val="24"/>
          <w:szCs w:val="24"/>
        </w:rPr>
        <w:t>废水监测结果见表9.2.1</w:t>
      </w:r>
      <w:r>
        <w:rPr>
          <w:rFonts w:ascii="Times New Roman" w:hAnsi="Times New Roman"/>
          <w:sz w:val="24"/>
          <w:szCs w:val="24"/>
        </w:rPr>
        <w:t>-1</w:t>
      </w:r>
      <w:r>
        <w:rPr>
          <w:rFonts w:hint="eastAsia" w:ascii="Times New Roman" w:hAnsi="Times New Roman"/>
          <w:sz w:val="24"/>
          <w:szCs w:val="24"/>
          <w:lang w:val="en-US" w:eastAsia="zh-CN"/>
        </w:rPr>
        <w:t>-</w:t>
      </w:r>
      <w:r>
        <w:rPr>
          <w:rFonts w:hint="eastAsia" w:ascii="Times New Roman" w:hAnsi="Times New Roman"/>
          <w:sz w:val="24"/>
          <w:szCs w:val="24"/>
        </w:rPr>
        <w:t>表9.2.1</w:t>
      </w:r>
      <w:r>
        <w:rPr>
          <w:rFonts w:ascii="Times New Roman" w:hAnsi="Times New Roman"/>
          <w:sz w:val="24"/>
          <w:szCs w:val="24"/>
        </w:rPr>
        <w:t>-</w:t>
      </w:r>
      <w:r>
        <w:rPr>
          <w:rFonts w:hint="eastAsia" w:ascii="Times New Roman" w:hAnsi="Times New Roman"/>
          <w:sz w:val="24"/>
          <w:szCs w:val="24"/>
          <w:lang w:val="en-US" w:eastAsia="zh-CN"/>
        </w:rPr>
        <w:t>3。</w:t>
      </w:r>
    </w:p>
    <w:p>
      <w:pPr>
        <w:snapToGrid w:val="0"/>
        <w:spacing w:before="163" w:beforeLines="50"/>
        <w:jc w:val="center"/>
        <w:rPr>
          <w:rFonts w:hint="eastAsia" w:ascii="Times New Roman" w:hAnsi="Times New Roman"/>
          <w:b/>
          <w:bCs/>
          <w:szCs w:val="21"/>
        </w:rPr>
      </w:pP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rPr>
        <w:t>1废水监测结果（1）</w:t>
      </w:r>
    </w:p>
    <w:tbl>
      <w:tblPr>
        <w:tblStyle w:val="31"/>
        <w:tblW w:w="14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采样日期</w:t>
            </w:r>
          </w:p>
        </w:tc>
        <w:tc>
          <w:tcPr>
            <w:tcW w:w="12899" w:type="dxa"/>
            <w:gridSpan w:val="12"/>
            <w:vAlign w:val="center"/>
          </w:tcPr>
          <w:p>
            <w:pPr>
              <w:widowControl/>
              <w:adjustRightInd w:val="0"/>
              <w:snapToGrid w:val="0"/>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2023年12月21日-22日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检测日期</w:t>
            </w:r>
          </w:p>
        </w:tc>
        <w:tc>
          <w:tcPr>
            <w:tcW w:w="12899" w:type="dxa"/>
            <w:gridSpan w:val="12"/>
            <w:vAlign w:val="center"/>
          </w:tcPr>
          <w:p>
            <w:pPr>
              <w:widowControl/>
              <w:adjustRightInd w:val="0"/>
              <w:snapToGrid w:val="0"/>
              <w:rPr>
                <w:rFonts w:hint="default" w:ascii="Times New Roman" w:hAnsi="Times New Roman" w:cs="Times New Roman" w:eastAsiaTheme="minorEastAsia"/>
                <w:bCs/>
                <w:color w:val="auto"/>
                <w:kern w:val="0"/>
                <w:sz w:val="18"/>
                <w:szCs w:val="18"/>
                <w:highlight w:val="yellow"/>
                <w:lang w:val="en-US" w:eastAsia="zh-CN" w:bidi="ar-SA"/>
              </w:rPr>
            </w:pPr>
            <w:r>
              <w:rPr>
                <w:rFonts w:hint="default" w:ascii="Times New Roman" w:hAnsi="Times New Roman" w:cs="Times New Roman"/>
                <w:bCs/>
                <w:color w:val="auto"/>
                <w:kern w:val="0"/>
                <w:sz w:val="18"/>
                <w:szCs w:val="18"/>
              </w:rPr>
              <w:t>2023年12月21日-28日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采样点位</w:t>
            </w:r>
          </w:p>
        </w:tc>
        <w:tc>
          <w:tcPr>
            <w:tcW w:w="12899" w:type="dxa"/>
            <w:gridSpan w:val="12"/>
            <w:vAlign w:val="center"/>
          </w:tcPr>
          <w:p>
            <w:pP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废水总排放口DW001-2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Merge w:val="restart"/>
            <w:vAlign w:val="center"/>
          </w:tcPr>
          <w:p>
            <w:pPr>
              <w:widowControl/>
              <w:adjustRightInd w:val="0"/>
              <w:snapToGrid w:val="0"/>
              <w:jc w:val="center"/>
              <w:rPr>
                <w:rFonts w:hint="default" w:ascii="Times New Roman" w:hAnsi="Times New Roman" w:cs="Times New Roman"/>
                <w:color w:val="auto"/>
                <w:sz w:val="18"/>
              </w:rPr>
            </w:pPr>
            <w:r>
              <w:rPr>
                <w:rFonts w:hint="default" w:ascii="Times New Roman" w:hAnsi="Times New Roman" w:cs="Times New Roman"/>
                <w:b/>
                <w:bCs/>
                <w:color w:val="auto"/>
                <w:kern w:val="0"/>
                <w:szCs w:val="21"/>
              </w:rPr>
              <mc:AlternateContent>
                <mc:Choice Requires="wps">
                  <w:drawing>
                    <wp:anchor distT="0" distB="0" distL="114300" distR="114300" simplePos="0" relativeHeight="251724800" behindDoc="0" locked="0" layoutInCell="1" allowOverlap="1">
                      <wp:simplePos x="0" y="0"/>
                      <wp:positionH relativeFrom="column">
                        <wp:posOffset>892175</wp:posOffset>
                      </wp:positionH>
                      <wp:positionV relativeFrom="paragraph">
                        <wp:posOffset>1270</wp:posOffset>
                      </wp:positionV>
                      <wp:extent cx="449580" cy="387350"/>
                      <wp:effectExtent l="0" t="0" r="0" b="0"/>
                      <wp:wrapNone/>
                      <wp:docPr id="98"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样品</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70.25pt;margin-top:0.1pt;height:30.5pt;width:35.4pt;z-index:251724800;mso-width-relative:page;mso-height-relative:page;" filled="f" stroked="f" coordsize="21600,21600" o:gfxdata="UEsDBAoAAAAAAIdO4kAAAAAAAAAAAAAAAAAEAAAAZHJzL1BLAwQUAAAACACHTuJAJv1wR9cAAAAH&#10;AQAADwAAAGRycy9kb3ducmV2LnhtbE2OwUrDQBRF94L/MDzBjdiZRC0lZtJFQSwilKa262nmmQQz&#10;b9LMNKl/73Oly8u9nHvy5cV1YsQhtJ40JDMFAqnytqVaw8fu5X4BIkRD1nSeUMM3BlgW11e5yayf&#10;aItjGWvBEAqZ0dDE2GdShqpBZ8LM90jcffrBmchxqKUdzMRw18lUqbl0piV+aEyPqwarr/LsNEzV&#10;Zjzs3l/l5u6w9nRan1bl/k3r25tEPYOIeIl/Y/jVZ3Uo2Onoz2SD6Dg/qieeakhBcJ0myQOIo4Z5&#10;koIscvnfv/gBUEsDBBQAAAAIAIdO4kDn3aM9EAIAAAoEAAAOAAAAZHJzL2Uyb0RvYy54bWytU0tu&#10;2zAQ3RfoHQjua1n+JLZgOQhipCiQtgHSHICmKIuoxGGHtCX3MgW6yyF6nKLX6JByHCfdZNENweEM&#10;H997M1xcdE3NdgqdBpPzdDDkTBkJhTabnN9/uX4348x5YQpRg1E53yvHL5Zv3yxam6kRVFAXChmB&#10;GJe1NueV9zZLEicr1Qg3AKsMJUvARngKcZMUKFpCb+pkNByeJS1gYRGkco5OV32SHxDxNYBQllqq&#10;Fchto4zvUVHVwpMkV2nr+DKyLUsl/eeydMqzOuek1MeVHqH9OqzJciGyDQpbaXmgIF5D4YWmRmhD&#10;jx6hVsILtkX9D1SjJYKD0g8kNEkvJDpCKtLhC2/uKmFV1EJWO3s03f0/WPlpd4tMFzmfU9+NaKjj&#10;f348/P71k52l42BPa11GVXf2FoNAZ29AfnXMwFUlzEZdIkJbKVEQqTTUJ88uhMDRVbZuP0JB4GLr&#10;ITrVldgEQPKAdbEh+2NDVOeZpMPJZD6dUaskpcaz8/E0NiwR2eNli86/V9CwsMk5Ur8juNjdOB/I&#10;iOyxJLxl4FrXdex5bZ4dUGE4ieQD316379bdwYI1FHuSgdCPEH0g2lSA3zlraXxy7r5tBSrO6g+G&#10;rJink0mYtxhMpucjCvA0sz7NCCMJKuees3575fsZ3VrUm4peSqMsA5dkX6mjtGBtz+rAm0YkKj6M&#10;c5jB0zhWPX3h5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XBH1wAAAAcBAAAPAAAAAAAAAAEA&#10;IAAAACIAAABkcnMvZG93bnJldi54bWxQSwECFAAUAAAACACHTuJA592jPRACAAAKBAAADgAAAAAA&#10;AAABACAAAAAmAQAAZHJzL2Uyb0RvYy54bWxQSwUGAAAAAAYABgBZAQAAqAU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样品</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编号</w:t>
                            </w:r>
                          </w:p>
                        </w:txbxContent>
                      </v:textbox>
                    </v:rect>
                  </w:pict>
                </mc:Fallback>
              </mc:AlternateContent>
            </w:r>
            <w:r>
              <w:rPr>
                <w:rFonts w:hint="default" w:ascii="Times New Roman" w:hAnsi="Times New Roman" w:cs="Times New Roman"/>
                <w:b/>
                <w:bCs/>
                <w:color w:val="auto"/>
                <w:kern w:val="0"/>
                <w:szCs w:val="21"/>
              </w:rPr>
              <mc:AlternateContent>
                <mc:Choice Requires="wps">
                  <w:drawing>
                    <wp:anchor distT="0" distB="0" distL="114300" distR="114300" simplePos="0" relativeHeight="251692032" behindDoc="0" locked="0" layoutInCell="1" allowOverlap="1">
                      <wp:simplePos x="0" y="0"/>
                      <wp:positionH relativeFrom="column">
                        <wp:posOffset>-5715</wp:posOffset>
                      </wp:positionH>
                      <wp:positionV relativeFrom="paragraph">
                        <wp:posOffset>20320</wp:posOffset>
                      </wp:positionV>
                      <wp:extent cx="571500" cy="1047750"/>
                      <wp:effectExtent l="4445" t="2540" r="14605" b="16510"/>
                      <wp:wrapNone/>
                      <wp:docPr id="78"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0.45pt;margin-top:1.6pt;height:82.5pt;width:45pt;z-index:251692032;mso-width-relative:page;mso-height-relative:page;" filled="f" stroked="t" coordsize="21600,21600" o:gfxdata="UEsDBAoAAAAAAIdO4kAAAAAAAAAAAAAAAAAEAAAAZHJzL1BLAwQUAAAACACHTuJAy56JSdUAAAAG&#10;AQAADwAAAGRycy9kb3ducmV2LnhtbE2OwU7DMBBE70j8g7WVekGtnSCqJMSpEBIHjrSVuLrxkoTG&#10;6yh2mrZfz3KC42ieZl65vbhenHEMnScNyVqBQKq97ajRcNi/rTIQIRqypveEGq4YYFvd35WmsH6m&#10;DzzvYiN4hEJhNLQxDoWUoW7RmbD2AxJ3X350JnIcG2lHM/O462Wq1EY60xE/tGbA1xbr025yGjBM&#10;T4l6yV1zeL/ND5/p7Xse9lovF4l6BhHxEv9g+NVndajY6egnskH0GlY5gxoeUxDcZnkC4sjUJktB&#10;VqX8r1/9AFBLAwQUAAAACACHTuJAM+Jji/UBAAC+AwAADgAAAGRycy9lMm9Eb2MueG1srVPNjtMw&#10;EL4j8Q6W7zRJtaUQNd1Dq+WyQKVdHsB1nMTC8Vhjt2lv3BDPwI0j78C+zUrwFozdH5blsgdysDye&#10;mW/m+2Yyu9z1hm0Veg224sUo50xZCbW2bcU/3F69eMWZD8LWwoBVFd8rzy/nz5/NBleqMXRgaoWM&#10;QKwvB1fxLgRXZpmXneqFH4FTlpwNYC8CmdhmNYqB0HuTjfP8ZTYA1g5BKu/pdXlw8iMiPgUQmkZL&#10;tQS56ZUNB1RURgSi5DvtPJ+nbptGyfC+abwKzFScmIZ0UhG6r+OZzWeibFG4TstjC+IpLTzi1Att&#10;qegZaimCYBvU/0D1WiJ4aMJIQp8diCRFiEWRP9LmphNOJS4ktXdn0f3/g5Xvtitkuq74lOZuRU8T&#10;//n5+69PX+6/3t3/+MaKYnwRVRqcLyl4YVcYecqdvXHXID96ZmHRCduq1O3t3hFCETOyv1Ki4R3V&#10;Wg9voaYYsQmQJNs12EdIEoPt0mT258moXWCSHifTYpLTzCS5ivxiOp2k0WWiPGU79OGNgp7FS8V9&#10;QKHbLizAWloCwCLVEttrH2JvojwlxNIWrrQxaReMZUPFX0/Gk5Tgweg6OmOYx3a9MMi2Im5T+hJR&#10;8jwMQ9jY+lDE2KMOkfpBxDXU+xWe9KGxpm6OKxj35qGdsv/8dv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56JSdUAAAAGAQAADwAAAAAAAAABACAAAAAiAAAAZHJzL2Rvd25yZXYueG1sUEsBAhQA&#10;FAAAAAgAh07iQDPiY4v1AQAAvgMAAA4AAAAAAAAAAQAgAAAAJAEAAGRycy9lMm9Eb2MueG1sUEsF&#10;BgAAAAAGAAYAWQEAAIsFAAAAAA==&#10;">
                      <v:fill on="f" focussize="0,0"/>
                      <v:stroke color="#000000" joinstyle="round"/>
                      <v:imagedata o:title=""/>
                      <o:lock v:ext="edit" aspectratio="f"/>
                    </v:shape>
                  </w:pict>
                </mc:Fallback>
              </mc:AlternateContent>
            </w:r>
            <w:r>
              <w:rPr>
                <w:rFonts w:hint="default" w:ascii="Times New Roman" w:hAnsi="Times New Roman" w:cs="Times New Roman"/>
                <w:b/>
                <w:bCs/>
                <w:color w:val="auto"/>
                <w:kern w:val="0"/>
                <w:szCs w:val="21"/>
              </w:rPr>
              <mc:AlternateContent>
                <mc:Choice Requires="wps">
                  <w:drawing>
                    <wp:anchor distT="0" distB="0" distL="114300" distR="114300" simplePos="0" relativeHeight="251691008" behindDoc="0" locked="0" layoutInCell="1" allowOverlap="1">
                      <wp:simplePos x="0" y="0"/>
                      <wp:positionH relativeFrom="column">
                        <wp:posOffset>-11430</wp:posOffset>
                      </wp:positionH>
                      <wp:positionV relativeFrom="paragraph">
                        <wp:posOffset>8890</wp:posOffset>
                      </wp:positionV>
                      <wp:extent cx="1285875" cy="1064895"/>
                      <wp:effectExtent l="3175" t="3810" r="6350" b="17145"/>
                      <wp:wrapNone/>
                      <wp:docPr id="77"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0.9pt;margin-top:0.7pt;height:83.85pt;width:101.25pt;z-index:251691008;mso-width-relative:page;mso-height-relative:page;" filled="f" stroked="t" coordsize="21600,21600" o:gfxdata="UEsDBAoAAAAAAIdO4kAAAAAAAAAAAAAAAAAEAAAAZHJzL1BLAwQUAAAACACHTuJACg66iNYAAAAI&#10;AQAADwAAAGRycy9kb3ducmV2LnhtbE2PwW7CMBBE75X4B2uReqnANmppCXEQQuqhxwJSryZekrTx&#10;OoodQvn6bk/tcXZWM2/yzdW34oJ9bAIZ0HMFAqkMrqHKwPHwOnsBEZMlZ9tAaOAbI2yKyV1uMxdG&#10;esfLPlWCQyhm1kCdUpdJGcsavY3z0CGxdw69t4llX0nX25HDfSsXSi2ltw1xQ2073NVYfu0HbwDj&#10;8KTVduWr49ttfPhY3D7H7mDM/VSrNYiE1/T3DL/4jA4FM53CQC6K1sBMM3ni+yMItrnsGcSJ9XKl&#10;QRa5/D+g+AFQSwMEFAAAAAgAh07iQBEU8LP3AQAAvwMAAA4AAABkcnMvZTJvRG9jLnhtbK1TzY7T&#10;MBC+I/EOlu80TaHbbtR0D62WywKVdnkA13ESC8djedymvXFDPAM3jrwDvM1K8BaM3R/Y5bIHcrA8&#10;nplv5vtmMrvadYZtlUcNtuT5YMiZshIqbZuSv7+7fjHlDIOwlTBgVcn3CvnV/PmzWe8KNYIWTKU8&#10;IxCLRe9K3obgiixD2apO4ACcsuSswXcikOmbrPKiJ/TOZKPh8CLrwVfOg1SI9Lo8OPkR0T8FEOpa&#10;S7UEuemUDQdUr4wIRAlb7ZDPU7d1rWR4V9eoAjMlJ6YhnVSE7ut4ZvOZKBovXKvlsQXxlBYeceqE&#10;tlT0DLUUQbCN1/9AdVp6QKjDQEKXHYgkRYhFPnykzW0rnEpcSGp0Z9Hx/8HKt9uVZ7oq+WTCmRUd&#10;Tfznp2+/Pn6+//Lj/vtXluejl1Gl3mFBwQu78pGn3NlbdwPyAzILi1bYRqVu7/aOEPKYkT1IiQY6&#10;qrXu30BFMWITIEm2q30XIUkMtkuT2Z8no3aBSXrMR9PxdDLmTJIvH168ml6OUw1RnNKdx/BaQcfi&#10;peQYvNBNGxZgLW0B+DwVE9sbDLE5UZwSYm0L19qYtAzGsr7kl+PROCUgGF1FZwxD36wXxrOtiOuU&#10;vmMXD8I8bGx1KGLsUYjI/aDiGqr9yp8Eormmbo47GBfnbztl//nv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g66iNYAAAAIAQAADwAAAAAAAAABACAAAAAiAAAAZHJzL2Rvd25yZXYueG1sUEsB&#10;AhQAFAAAAAgAh07iQBEU8LP3AQAAvwMAAA4AAAAAAAAAAQAgAAAAJQEAAGRycy9lMm9Eb2MueG1s&#10;UEsFBgAAAAAGAAYAWQEAAI4FAAAAAA==&#10;">
                      <v:fill on="f" focussize="0,0"/>
                      <v:stroke color="#000000" joinstyle="round"/>
                      <v:imagedata o:title=""/>
                      <o:lock v:ext="edit" aspectratio="f"/>
                    </v:shape>
                  </w:pict>
                </mc:Fallback>
              </mc:AlternateContent>
            </w:r>
            <w:r>
              <w:rPr>
                <w:rFonts w:hint="default" w:ascii="Times New Roman" w:hAnsi="Times New Roman" w:cs="Times New Roman"/>
                <w:b/>
                <w:bCs/>
                <w:color w:val="auto"/>
                <w:kern w:val="0"/>
                <w:szCs w:val="21"/>
              </w:rPr>
              <mc:AlternateContent>
                <mc:Choice Requires="wps">
                  <w:drawing>
                    <wp:anchor distT="0" distB="0" distL="114300" distR="114300" simplePos="0" relativeHeight="251689984" behindDoc="0" locked="0" layoutInCell="1" allowOverlap="1">
                      <wp:simplePos x="0" y="0"/>
                      <wp:positionH relativeFrom="column">
                        <wp:posOffset>-19050</wp:posOffset>
                      </wp:positionH>
                      <wp:positionV relativeFrom="paragraph">
                        <wp:posOffset>7620</wp:posOffset>
                      </wp:positionV>
                      <wp:extent cx="1276350" cy="426720"/>
                      <wp:effectExtent l="1270" t="4445" r="17780" b="6985"/>
                      <wp:wrapNone/>
                      <wp:docPr id="75"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1.5pt;margin-top:0.6pt;height:33.6pt;width:100.5pt;z-index:251689984;mso-width-relative:page;mso-height-relative:page;" filled="f" stroked="t" coordsize="21600,21600" o:gfxdata="UEsDBAoAAAAAAIdO4kAAAAAAAAAAAAAAAAAEAAAAZHJzL1BLAwQUAAAACACHTuJAPV8bbNYAAAAH&#10;AQAADwAAAGRycy9kb3ducmV2LnhtbE2PzU7DMBCE70i8g7WVuKDWToAqDXEqhMSBY38krm68JKHx&#10;OoqdpvTpuz3BcXZWM98U67PrxAmH0HrSkCwUCKTK25ZqDfvdxzwDEaIhazpPqOEXA6zL+7vC5NZP&#10;tMHTNtaCQyjkRkMTY59LGaoGnQkL3yOx9+0HZyLLoZZ2MBOHu06mSi2lMy1xQ2N6fG+wOm5HpwHD&#10;+JKot5Wr95+X6fErvfxM/U7rh1miXkFEPMe/Z7jhMzqUzHTwI9kgOg3zJ54S+Z6CuNmrjPVBwzJ7&#10;BlkW8j9/eQVQSwMEFAAAAAgAh07iQGUYq672AQAAvgMAAA4AAABkcnMvZTJvRG9jLnhtbK1TzY7T&#10;MBC+I/EOlu80TaAtRE330Gq5LLDSLg/gOk5i4Xgsj9u0N26IZ+DGkXeAt1kJ3oKx+8OyXPZADpbH&#10;M/PNfN9M5he73rCt8qjBVjwfjTlTVkKtbVvx97eXz15yhkHYWhiwquJ7hfxi8fTJfHClKqADUyvP&#10;CMRiObiKdyG4MstQdqoXOAKnLDkb8L0IZPo2q70YCL03WTEeT7MBfO08SIVIr6uDkx8R/WMAoWm0&#10;VCuQm17ZcED1yohAlLDTDvkidds0SoZ3TYMqMFNxYhrSSUXovo5ntpiLsvXCdVoeWxCPaeEBp15o&#10;S0XPUCsRBNt4/Q9Ur6UHhCaMJPTZgUhShFjk4wfa3HTCqcSFpEZ3Fh3/H6x8u732TNcVn004s6Kn&#10;if/89O3Xx893X37cff/K8rwookqDw5KCl/baR55yZ2/cFcgPyCwsO2Fblbq93TtCyGNG9ldKNNBR&#10;rfXwBmqKEZsASbJd4/sISWKwXZrM/jwZtQtM0mNezKbPJzQ0Sb4XxXRWpNFlojxlO4/htYKexUvF&#10;MXih2y4swVpaAvB5qiW2Vxhib6I8JcTSFi61MWkXjGVDxV9NiklKQDC6js4Yhr5dL41nWxG3KX2J&#10;KHnuh3nY2PpQxNijDpH6QcQ11Ptrf9KHxpq6Oa5g3Jv7dsr+89s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9Xxts1gAAAAcBAAAPAAAAAAAAAAEAIAAAACIAAABkcnMvZG93bnJldi54bWxQSwEC&#10;FAAUAAAACACHTuJAZRirrvYBAAC+AwAADgAAAAAAAAABACAAAAAl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cs="Times New Roman"/>
                <w:bCs/>
                <w:color w:val="auto"/>
                <w:kern w:val="0"/>
                <w:sz w:val="18"/>
                <w:szCs w:val="18"/>
              </w:rPr>
              <w:t xml:space="preserve">               </w:t>
            </w:r>
          </w:p>
          <w:p>
            <w:pPr>
              <w:widowControl/>
              <w:adjustRightInd w:val="0"/>
              <w:snapToGrid w:val="0"/>
              <w:jc w:val="center"/>
              <w:rPr>
                <w:rFonts w:hint="default" w:ascii="Times New Roman" w:hAnsi="Times New Roman" w:cs="Times New Roman"/>
                <w:bCs/>
                <w:color w:val="auto"/>
                <w:kern w:val="0"/>
                <w:sz w:val="18"/>
                <w:szCs w:val="18"/>
              </w:rPr>
            </w:pPr>
          </w:p>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 xml:space="preserve">               </w:t>
            </w:r>
          </w:p>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
                <w:bCs/>
                <w:color w:val="auto"/>
                <w:kern w:val="0"/>
                <w:szCs w:val="21"/>
              </w:rPr>
              <mc:AlternateContent>
                <mc:Choice Requires="wps">
                  <w:drawing>
                    <wp:anchor distT="0" distB="0" distL="114300" distR="114300" simplePos="0" relativeHeight="251688960" behindDoc="0" locked="0" layoutInCell="1" allowOverlap="1">
                      <wp:simplePos x="0" y="0"/>
                      <wp:positionH relativeFrom="column">
                        <wp:posOffset>882015</wp:posOffset>
                      </wp:positionH>
                      <wp:positionV relativeFrom="paragraph">
                        <wp:posOffset>8255</wp:posOffset>
                      </wp:positionV>
                      <wp:extent cx="482600" cy="396875"/>
                      <wp:effectExtent l="0" t="0" r="0" b="0"/>
                      <wp:wrapNone/>
                      <wp:docPr id="72"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样品</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9.45pt;margin-top:0.65pt;height:31.25pt;width:38pt;z-index:251688960;mso-width-relative:page;mso-height-relative:page;" filled="f" stroked="f" coordsize="21600,21600" o:gfxdata="UEsDBAoAAAAAAIdO4kAAAAAAAAAAAAAAAAAEAAAAZHJzL1BLAwQUAAAACACHTuJAiWRcZ9gAAAAI&#10;AQAADwAAAGRycy9kb3ducmV2LnhtbE2PQWvCQBCF70L/wzJCL1I30SJpmo0HoVRKQRpbz2t2mgSz&#10;szG7Jvbfdzy1t/l4jzfvZeurbcWAvW8cKYjnEQik0pmGKgWf+5eHBIQPmoxuHaGCH/Swzu8mmU6N&#10;G+kDhyJUgkPIp1pBHUKXSunLGq32c9chsfbteqsDY19J0+uRw20rF1G0klY3xB9q3eGmxvJUXKyC&#10;sdwNh/37q9zNDltH5+15U3y9KXU/jaNnEAGv4c8Mt/pcHXLudHQXMl60zMvkia23AwTri/iR+ahg&#10;tUxA5pn8PyD/BVBLAwQUAAAACACHTuJA4BmmXQ8CAAAKBAAADgAAAGRycy9lMm9Eb2MueG1srVPB&#10;bhMxEL0j8Q+W72SzIU3TVTZV1agIqUClwgc4Xm/WYu0xYye74WeQuPERfA7iNxh705CWSw9cLI9n&#10;/Pzem/Hisjct2yn0GmzJ89GYM2UlVNpuSv7p482rOWc+CFuJFqwq+V55frl8+WLRuUJNoIG2UsgI&#10;xPqicyVvQnBFlnnZKCP8CJyylKwBjQgU4iarUHSEbtpsMh7Psg6wcghSeU+nqyHJD4j4HECoay3V&#10;CuTWKBsGVFStCCTJN9p5vkxs61rJ8KGuvQqsLTkpDWmlR2i/jmu2XIhig8I1Wh4oiOdQeKLJCG3p&#10;0SPUSgTBtqj/gTJaIniow0iCyQYhyRFSkY+feHPfCKeSFrLau6Pp/v/Byve7O2S6Kvn5hDMrDHX8&#10;97cfv35+Z7P8LNrTOV9Q1b27wyjQu1uQnz2zcN0Iu1FXiNA1SlREKo/12aMLMfB0la27d1ARuNgG&#10;SE71NZoISB6wPjVkf2yI6gOTdDidT2ZjapWk1OuL2fw8McpE8XDZoQ9vFBgWNyVH6ncCF7tbHyIZ&#10;UTyUxLcs3Oi2TT1v7aMDKowniXzkO+gO/bo/WLCGak8yEIYRog9EmwbwK2cdjU/J/ZetQMVZ+9aS&#10;FRf5dBrnLQXTs/MJBXiaWZ9mhJUEVfLA2bC9DsOMbh3qTUMv5UmWhSuyr9ZJWrR2YHXgTSOSFB/G&#10;Oc7gaZyq/n7h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ZFxn2AAAAAgBAAAPAAAAAAAAAAEA&#10;IAAAACIAAABkcnMvZG93bnJldi54bWxQSwECFAAUAAAACACHTuJA4BmmXQ8CAAAKBAAADgAAAAAA&#10;AAABACAAAAAnAQAAZHJzL2Uyb0RvYy54bWxQSwUGAAAAAAYABgBZAQAAqAU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样品</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性状</w:t>
                            </w:r>
                          </w:p>
                        </w:txbxContent>
                      </v:textbox>
                    </v:rect>
                  </w:pict>
                </mc:Fallback>
              </mc:AlternateContent>
            </w:r>
            <w:r>
              <w:rPr>
                <w:rFonts w:hint="default" w:ascii="Times New Roman" w:hAnsi="Times New Roman" w:cs="Times New Roman"/>
                <w:bCs/>
                <w:color w:val="auto"/>
                <w:kern w:val="0"/>
                <w:sz w:val="18"/>
                <w:szCs w:val="18"/>
              </w:rPr>
              <w:t xml:space="preserve">       </w:t>
            </w:r>
          </w:p>
          <w:p>
            <w:pPr>
              <w:adjustRightInd w:val="0"/>
              <w:snapToGrid w:val="0"/>
              <w:ind w:firstLine="211" w:firstLineChars="100"/>
              <w:rPr>
                <w:rFonts w:hint="default" w:ascii="Times New Roman" w:hAnsi="Times New Roman" w:cs="Times New Roman"/>
                <w:bCs/>
                <w:color w:val="auto"/>
                <w:kern w:val="0"/>
                <w:sz w:val="18"/>
                <w:szCs w:val="18"/>
              </w:rPr>
            </w:pPr>
            <w:r>
              <w:rPr>
                <w:rFonts w:hint="default" w:ascii="Times New Roman" w:hAnsi="Times New Roman" w:cs="Times New Roman"/>
                <w:b/>
                <w:bCs/>
                <w:color w:val="auto"/>
                <w:kern w:val="0"/>
                <w:szCs w:val="21"/>
              </w:rPr>
              <mc:AlternateContent>
                <mc:Choice Requires="wps">
                  <w:drawing>
                    <wp:anchor distT="0" distB="0" distL="114300" distR="114300" simplePos="0" relativeHeight="251687936" behindDoc="0" locked="0" layoutInCell="1" allowOverlap="1">
                      <wp:simplePos x="0" y="0"/>
                      <wp:positionH relativeFrom="column">
                        <wp:posOffset>508000</wp:posOffset>
                      </wp:positionH>
                      <wp:positionV relativeFrom="paragraph">
                        <wp:posOffset>142240</wp:posOffset>
                      </wp:positionV>
                      <wp:extent cx="792480" cy="427990"/>
                      <wp:effectExtent l="0" t="0" r="0" b="0"/>
                      <wp:wrapNone/>
                      <wp:docPr id="73"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40pt;margin-top:11.2pt;height:33.7pt;width:62.4pt;z-index:251687936;mso-width-relative:page;mso-height-relative:page;" filled="f" stroked="f" coordsize="21600,21600" o:gfxdata="UEsDBAoAAAAAAIdO4kAAAAAAAAAAAAAAAAAEAAAAZHJzL1BLAwQUAAAACACHTuJAiIrDJNgAAAAI&#10;AQAADwAAAGRycy9kb3ducmV2LnhtbE2PQUvDQBCF74L/YRnBi7S7DUVimk0PBbGIUEy15212TILZ&#10;2TS7Teq/dzzV4/AN730vX19cJ0YcQutJw2KuQCBV3rZUa/jYP89SECEasqbzhBp+MMC6uL3JTWb9&#10;RO84lrEWHEIhMxqaGPtMylA16EyY+x6J2ZcfnIl8DrW0g5k43HUyUepROtMSNzSmx02D1Xd5dhqm&#10;ajce9m8vcvdw2Ho6bU+b8vNV6/u7hVqBiHiJ12f402d1KNjp6M9kg+g0pIqnRA1JsgTBPFFLnnJk&#10;8JSCLHL5f0DxC1BLAwQUAAAACACHTuJAbuFDYBACAAAKBAAADgAAAGRycy9lMm9Eb2MueG1srVNB&#10;btswELwX6B8I3mtZrhrHguUgiJGiQNoGSPsAmqIsohKXXdKW3M8U6C2P6HOKfqNLSnGd9JJDLwSX&#10;uxzOzC6XF33bsL1Cp8EUPJ1MOVNGQqnNtuCfP12/OufMeWFK0YBRBT8oxy9WL18sO5urGdTQlAoZ&#10;gRiXd7bgtfc2TxIna9UKNwGrDCUrwFZ4CnGblCg6Qm+bZDadniUdYGkRpHKOTtdDko+I+BxAqCot&#10;1RrkrlXGD6ioGuFJkqu1dXwV2VaVkv5jVTnlWVNwUurjSo/QfhPWZLUU+RaFrbUcKYjnUHiiqRXa&#10;0KNHqLXwgu1Q/wPVaongoPITCW0yCImOkIp0+sSbu1pYFbWQ1c4eTXf/D1Z+2N8i02XB5685M6Kl&#10;jv/+fv/r5w92lmbBns66nKru7C0Ggc7egPzimIGrWpitukSErlaiJFJpqE8eXQiBo6ts072HksDF&#10;zkN0qq+wDYDkAetjQw7HhqjeM0mH88UsO6dWSUpls/liERuWiPzhskXn3ypoWdgUHKnfEVzsb5wP&#10;ZET+UBLeMnCtmyb2vDGPDqgwnETyge+g2/ebfrRgA+WBZCAMI0QfiDY14DfOOhqfgruvO4GKs+ad&#10;ISsWaZaFeYtB9mY+owBPM5vTjDCSoAruORu2V36Y0Z1Fva3ppTTKMnBJ9lU6SgvWDqxG3jQiUfE4&#10;zmEGT+NY9fcLr/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IrDJNgAAAAIAQAADwAAAAAAAAAB&#10;ACAAAAAiAAAAZHJzL2Rvd25yZXYueG1sUEsBAhQAFAAAAAgAh07iQG7hQ2AQAgAACgQAAA4AAAAA&#10;AAAAAQAgAAAAJwEAAGRycy9lMm9Eb2MueG1sUEsFBgAAAAAGAAYAWQEAAKkFA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结果</w:t>
                            </w:r>
                          </w:p>
                        </w:txbxContent>
                      </v:textbox>
                    </v:rect>
                  </w:pict>
                </mc:Fallback>
              </mc:AlternateContent>
            </w:r>
            <w:r>
              <w:rPr>
                <w:rFonts w:hint="default" w:ascii="Times New Roman" w:hAnsi="Times New Roman" w:cs="Times New Roman"/>
                <w:b/>
                <w:bCs/>
                <w:color w:val="auto"/>
                <w:kern w:val="0"/>
                <w:szCs w:val="21"/>
              </w:rPr>
              <mc:AlternateContent>
                <mc:Choice Requires="wps">
                  <w:drawing>
                    <wp:anchor distT="0" distB="0" distL="114300" distR="114300" simplePos="0" relativeHeight="251686912" behindDoc="0" locked="0" layoutInCell="1" allowOverlap="1">
                      <wp:simplePos x="0" y="0"/>
                      <wp:positionH relativeFrom="column">
                        <wp:posOffset>-30480</wp:posOffset>
                      </wp:positionH>
                      <wp:positionV relativeFrom="paragraph">
                        <wp:posOffset>123190</wp:posOffset>
                      </wp:positionV>
                      <wp:extent cx="792480" cy="504190"/>
                      <wp:effectExtent l="0" t="0" r="0" b="0"/>
                      <wp:wrapNone/>
                      <wp:docPr id="74"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2.4pt;margin-top:9.7pt;height:39.7pt;width:62.4pt;z-index:251686912;mso-width-relative:page;mso-height-relative:page;" filled="f" stroked="f" coordsize="21600,21600" o:gfxdata="UEsDBAoAAAAAAIdO4kAAAAAAAAAAAAAAAAAEAAAAZHJzL1BLAwQUAAAACACHTuJAjyiS8NcAAAAI&#10;AQAADwAAAGRycy9kb3ducmV2LnhtbE2PQWvCQBCF7wX/wzJCL0U3FikxzcaDIEopSGPrec2OSTA7&#10;G7NrYv99x5M9vnnDe99LlzfbiB47XztSMJtGIJAKZ2oqFXzv15MYhA+ajG4coYJf9LDMRk+pTowb&#10;6Av7PJSCQ8gnWkEVQptI6YsKrfZT1yKxd3Kd1YFlV0rT6YHDbSNfo+hNWl0TN1S6xVWFxTm/WgVD&#10;sesP+8+N3L0cto4u28sq//lQ6nk8i95BBLyFxzPc8RkdMmY6uisZLxoFkzmTB74v5iDuPteBOCpY&#10;xDHILJX/B2R/UEsDBBQAAAAIAIdO4kCX0DeCDwIAAAoEAAAOAAAAZHJzL2Uyb0RvYy54bWytU0Fu&#10;2zAQvBfoHwjea0mGUseC5SCIkaJA2gZI+wCaoiyiEpdd0pbczxTorY/Ic4p+o0vKcZz0kkMvwi53&#10;OZyZXS0uhq5lO4VOgyl5Nkk5U0ZCpc2m5F8+X78558x5YSrRglEl3yvHL5avXy16W6gpNNBWChmB&#10;GFf0tuSN97ZIEicb1Qk3AasMFWvATnhKcZNUKHpC79pkmqZvkx6wsghSOUenq7HID4j4EkCoay3V&#10;CuS2U8aPqKha4UmSa7R1fBnZ1rWS/lNdO+VZW3JS6uOXHqF4Hb7JciGKDQrbaHmgIF5C4ZmmTmhD&#10;jx6hVsILtkX9D1SnJYKD2k8kdMkoJDpCKrL0mTd3jbAqaiGrnT2a7v4frPy4u0Wmq5LPcs6M6Gji&#10;f378+n3/k+VZtKe3rqCuO3uLQaCzNyC/OmbgqhFmoy4RoW+UqIhUFuxMnlwIiaOrbN1/gIrAxdZD&#10;dGqosQuA5AEb4kD2x4GowTNJh7P5ND+nUUkqnaV5No+MElE8XLbo/DsFHQtByZHmHcHF7sb5QEYU&#10;Dy3hLQPXum3jzFvz5IAaw0kkH/iGBXKFH9YDdYdwDdWeZCCMK0Q/EAUN4HfOelqfkrtvW4GKs/a9&#10;ISvmWZ6HfYtJfjabUoKnlfVpRRhJUCX3nI3hlR93dGtRbxp6KYuyDFySfbWO0h5ZHXjTikTFh3UO&#10;O3iax67HX3j5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8okvDXAAAACAEAAA8AAAAAAAAAAQAg&#10;AAAAIgAAAGRycy9kb3ducmV2LnhtbFBLAQIUABQAAAAIAIdO4kCX0DeCDwIAAAoEAAAOAAAAAAAA&#10;AAEAIAAAACYBAABkcnMvZTJvRG9jLnhtbFBLBQYAAAAABgAGAFkBAACn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v:textbox>
                    </v:rect>
                  </w:pict>
                </mc:Fallback>
              </mc:AlternateContent>
            </w:r>
          </w:p>
        </w:tc>
        <w:tc>
          <w:tcPr>
            <w:tcW w:w="5244" w:type="dxa"/>
            <w:gridSpan w:val="5"/>
            <w:vAlign w:val="center"/>
          </w:tcPr>
          <w:p>
            <w:pPr>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出口DW001-2（12月21日）</w:t>
            </w:r>
          </w:p>
        </w:tc>
        <w:tc>
          <w:tcPr>
            <w:tcW w:w="5245" w:type="dxa"/>
            <w:gridSpan w:val="5"/>
            <w:vAlign w:val="center"/>
          </w:tcPr>
          <w:p>
            <w:pPr>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出口DW001-2（12月22日）</w:t>
            </w:r>
          </w:p>
        </w:tc>
        <w:tc>
          <w:tcPr>
            <w:tcW w:w="1843" w:type="dxa"/>
            <w:vMerge w:val="restart"/>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《污水综合排放标准》</w:t>
            </w:r>
          </w:p>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（GB 8978-1996）</w:t>
            </w:r>
          </w:p>
          <w:p>
            <w:pPr>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表4 三级</w:t>
            </w:r>
          </w:p>
        </w:tc>
        <w:tc>
          <w:tcPr>
            <w:tcW w:w="567" w:type="dxa"/>
            <w:vMerge w:val="restart"/>
            <w:vAlign w:val="center"/>
          </w:tcPr>
          <w:p>
            <w:pPr>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jc w:val="center"/>
        </w:trPr>
        <w:tc>
          <w:tcPr>
            <w:tcW w:w="2013" w:type="dxa"/>
            <w:vMerge w:val="continue"/>
            <w:vAlign w:val="center"/>
          </w:tcPr>
          <w:p>
            <w:pPr>
              <w:widowControl/>
              <w:adjustRightInd w:val="0"/>
              <w:snapToGrid w:val="0"/>
              <w:ind w:firstLine="180" w:firstLineChars="100"/>
              <w:rPr>
                <w:rFonts w:hint="default" w:ascii="Times New Roman" w:hAnsi="Times New Roman" w:cs="Times New Roman"/>
                <w:bCs/>
                <w:color w:val="auto"/>
                <w:kern w:val="0"/>
                <w:sz w:val="18"/>
                <w:szCs w:val="18"/>
              </w:rPr>
            </w:pPr>
          </w:p>
        </w:tc>
        <w:tc>
          <w:tcPr>
            <w:tcW w:w="1048"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20231202aDW001-2-01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20231202aDW001-2-02</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20231202aDW001-2-03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20231202aDW001-2-04</w:t>
            </w:r>
          </w:p>
        </w:tc>
        <w:tc>
          <w:tcPr>
            <w:tcW w:w="1049" w:type="dxa"/>
            <w:vMerge w:val="restart"/>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平均值</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20231202bDW001-2-01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20231202bDW001-2-02</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20231202bDW001-2-03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20231202bDW001-2-04</w:t>
            </w:r>
          </w:p>
        </w:tc>
        <w:tc>
          <w:tcPr>
            <w:tcW w:w="1049" w:type="dxa"/>
            <w:vMerge w:val="restart"/>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平均值</w:t>
            </w:r>
          </w:p>
        </w:tc>
        <w:tc>
          <w:tcPr>
            <w:tcW w:w="1843" w:type="dxa"/>
            <w:vMerge w:val="continue"/>
            <w:vAlign w:val="center"/>
          </w:tcPr>
          <w:p>
            <w:pPr>
              <w:widowControl/>
              <w:adjustRightInd w:val="0"/>
              <w:snapToGrid w:val="0"/>
              <w:jc w:val="center"/>
              <w:rPr>
                <w:rFonts w:hint="default" w:ascii="Times New Roman" w:hAnsi="Times New Roman" w:cs="Times New Roman"/>
                <w:bCs/>
                <w:color w:val="auto"/>
                <w:kern w:val="0"/>
                <w:sz w:val="18"/>
                <w:szCs w:val="18"/>
              </w:rPr>
            </w:pPr>
          </w:p>
        </w:tc>
        <w:tc>
          <w:tcPr>
            <w:tcW w:w="567" w:type="dxa"/>
            <w:vMerge w:val="continue"/>
            <w:vAlign w:val="center"/>
          </w:tcPr>
          <w:p>
            <w:pPr>
              <w:widowControl/>
              <w:adjustRightInd w:val="0"/>
              <w:snapToGrid w:val="0"/>
              <w:jc w:val="center"/>
              <w:rPr>
                <w:rFonts w:hint="default" w:ascii="Times New Roman" w:hAnsi="Times New Roman" w:cs="Times New Roman"/>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jc w:val="center"/>
        </w:trPr>
        <w:tc>
          <w:tcPr>
            <w:tcW w:w="2013" w:type="dxa"/>
            <w:vMerge w:val="continue"/>
            <w:vAlign w:val="center"/>
          </w:tcPr>
          <w:p>
            <w:pPr>
              <w:widowControl/>
              <w:adjustRightInd w:val="0"/>
              <w:snapToGrid w:val="0"/>
              <w:jc w:val="center"/>
              <w:rPr>
                <w:rFonts w:hint="default" w:ascii="Times New Roman" w:hAnsi="Times New Roman" w:cs="Times New Roman"/>
                <w:color w:val="auto"/>
                <w:sz w:val="18"/>
              </w:rPr>
            </w:pPr>
          </w:p>
        </w:tc>
        <w:tc>
          <w:tcPr>
            <w:tcW w:w="1048"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浅黄、微浊</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浅黄、微浊</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浅黄、微浊</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浅黄、微浊</w:t>
            </w:r>
          </w:p>
        </w:tc>
        <w:tc>
          <w:tcPr>
            <w:tcW w:w="1049" w:type="dxa"/>
            <w:vMerge w:val="continue"/>
            <w:vAlign w:val="center"/>
          </w:tcPr>
          <w:p>
            <w:pPr>
              <w:widowControl/>
              <w:adjustRightInd w:val="0"/>
              <w:snapToGrid w:val="0"/>
              <w:jc w:val="center"/>
              <w:rPr>
                <w:rFonts w:hint="default" w:ascii="Times New Roman" w:hAnsi="Times New Roman" w:cs="Times New Roman"/>
                <w:bCs/>
                <w:color w:val="auto"/>
                <w:kern w:val="0"/>
                <w:sz w:val="18"/>
                <w:szCs w:val="18"/>
              </w:rPr>
            </w:pP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浅黄、微浊</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浅黄、微浊</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浅黄、微浊</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浅黄、微浊</w:t>
            </w:r>
          </w:p>
        </w:tc>
        <w:tc>
          <w:tcPr>
            <w:tcW w:w="1049" w:type="dxa"/>
            <w:vMerge w:val="continue"/>
            <w:vAlign w:val="center"/>
          </w:tcPr>
          <w:p>
            <w:pPr>
              <w:widowControl/>
              <w:adjustRightInd w:val="0"/>
              <w:snapToGrid w:val="0"/>
              <w:jc w:val="center"/>
              <w:rPr>
                <w:rFonts w:hint="default" w:ascii="Times New Roman" w:hAnsi="Times New Roman" w:cs="Times New Roman"/>
                <w:bCs/>
                <w:color w:val="auto"/>
                <w:kern w:val="0"/>
                <w:sz w:val="18"/>
                <w:szCs w:val="18"/>
              </w:rPr>
            </w:pPr>
          </w:p>
        </w:tc>
        <w:tc>
          <w:tcPr>
            <w:tcW w:w="1843" w:type="dxa"/>
            <w:vMerge w:val="continue"/>
            <w:vAlign w:val="center"/>
          </w:tcPr>
          <w:p>
            <w:pPr>
              <w:widowControl/>
              <w:adjustRightInd w:val="0"/>
              <w:snapToGrid w:val="0"/>
              <w:jc w:val="center"/>
              <w:rPr>
                <w:rFonts w:hint="default" w:ascii="Times New Roman" w:hAnsi="Times New Roman" w:cs="Times New Roman"/>
                <w:bCs/>
                <w:color w:val="auto"/>
                <w:kern w:val="0"/>
                <w:sz w:val="18"/>
                <w:szCs w:val="18"/>
              </w:rPr>
            </w:pPr>
          </w:p>
        </w:tc>
        <w:tc>
          <w:tcPr>
            <w:tcW w:w="567" w:type="dxa"/>
            <w:vMerge w:val="continue"/>
            <w:vAlign w:val="center"/>
          </w:tcPr>
          <w:p>
            <w:pPr>
              <w:widowControl/>
              <w:adjustRightInd w:val="0"/>
              <w:snapToGrid w:val="0"/>
              <w:jc w:val="center"/>
              <w:rPr>
                <w:rFonts w:hint="default" w:ascii="Times New Roman" w:hAnsi="Times New Roman" w:cs="Times New Roman"/>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pH（无量纲）</w:t>
            </w:r>
          </w:p>
        </w:tc>
        <w:tc>
          <w:tcPr>
            <w:tcW w:w="1048"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7.4（8.1℃）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7.4（8.3℃）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7.5（8.2℃）</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7.5（8.2℃）</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7.4-7.5</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7.5（9.4℃）</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7.5（9.6℃）</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7.5（9.6℃）</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7.5（9.0℃）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7.5</w:t>
            </w:r>
          </w:p>
        </w:tc>
        <w:tc>
          <w:tcPr>
            <w:tcW w:w="184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6-9</w:t>
            </w:r>
          </w:p>
        </w:tc>
        <w:tc>
          <w:tcPr>
            <w:tcW w:w="567"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悬浮物（mg/L）</w:t>
            </w:r>
          </w:p>
        </w:tc>
        <w:tc>
          <w:tcPr>
            <w:tcW w:w="1048"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38</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40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41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43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40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33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30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26</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36</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31.2</w:t>
            </w:r>
          </w:p>
        </w:tc>
        <w:tc>
          <w:tcPr>
            <w:tcW w:w="184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400</w:t>
            </w:r>
          </w:p>
        </w:tc>
        <w:tc>
          <w:tcPr>
            <w:tcW w:w="567"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五日生化需氧量（mg/L）</w:t>
            </w:r>
          </w:p>
        </w:tc>
        <w:tc>
          <w:tcPr>
            <w:tcW w:w="1048"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75.4</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73.8</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77.2</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77.6</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76.0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66.3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69.3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67.3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55.5</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64.6</w:t>
            </w:r>
          </w:p>
        </w:tc>
        <w:tc>
          <w:tcPr>
            <w:tcW w:w="184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300</w:t>
            </w:r>
          </w:p>
        </w:tc>
        <w:tc>
          <w:tcPr>
            <w:tcW w:w="567"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化学需氧量（mg/L）</w:t>
            </w:r>
          </w:p>
        </w:tc>
        <w:tc>
          <w:tcPr>
            <w:tcW w:w="1048"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563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273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268</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258</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340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240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260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243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266</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252</w:t>
            </w:r>
          </w:p>
        </w:tc>
        <w:tc>
          <w:tcPr>
            <w:tcW w:w="184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500</w:t>
            </w:r>
          </w:p>
        </w:tc>
        <w:tc>
          <w:tcPr>
            <w:tcW w:w="567"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石油类（mg/L）</w:t>
            </w:r>
          </w:p>
        </w:tc>
        <w:tc>
          <w:tcPr>
            <w:tcW w:w="1048"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0.43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0.61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0.38</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0.51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0.48</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0.41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0.34</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0.62</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0.58</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0.49</w:t>
            </w:r>
          </w:p>
        </w:tc>
        <w:tc>
          <w:tcPr>
            <w:tcW w:w="184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20</w:t>
            </w:r>
          </w:p>
        </w:tc>
        <w:tc>
          <w:tcPr>
            <w:tcW w:w="567"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动植物油类（mg/L）</w:t>
            </w:r>
          </w:p>
        </w:tc>
        <w:tc>
          <w:tcPr>
            <w:tcW w:w="1048"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0.79</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0.51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0.60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0.43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0.58</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0.41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0.69</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0.54</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0.71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0.59</w:t>
            </w:r>
          </w:p>
        </w:tc>
        <w:tc>
          <w:tcPr>
            <w:tcW w:w="184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100</w:t>
            </w:r>
          </w:p>
        </w:tc>
        <w:tc>
          <w:tcPr>
            <w:tcW w:w="567"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氨氮（mg/L）</w:t>
            </w:r>
          </w:p>
        </w:tc>
        <w:tc>
          <w:tcPr>
            <w:tcW w:w="1048"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7.08</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7.70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8.72</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8.49</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8.00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7.43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7.50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7.96</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8.72</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7.90</w:t>
            </w:r>
          </w:p>
        </w:tc>
        <w:tc>
          <w:tcPr>
            <w:tcW w:w="184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35*</w:t>
            </w:r>
            <w:r>
              <w:rPr>
                <w:rFonts w:hint="default" w:ascii="Times New Roman" w:hAnsi="Times New Roman" w:cs="Times New Roman"/>
                <w:bCs/>
                <w:color w:val="auto"/>
                <w:kern w:val="0"/>
                <w:sz w:val="18"/>
                <w:szCs w:val="18"/>
                <w:vertAlign w:val="superscript"/>
              </w:rPr>
              <w:t>1</w:t>
            </w:r>
          </w:p>
        </w:tc>
        <w:tc>
          <w:tcPr>
            <w:tcW w:w="567"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总磷（mg/L）</w:t>
            </w:r>
          </w:p>
        </w:tc>
        <w:tc>
          <w:tcPr>
            <w:tcW w:w="1048"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1.83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1.60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1.56</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1.70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1.67</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1.71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2.11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2.06</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1.93</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1.95</w:t>
            </w:r>
          </w:p>
        </w:tc>
        <w:tc>
          <w:tcPr>
            <w:tcW w:w="184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8*</w:t>
            </w:r>
            <w:r>
              <w:rPr>
                <w:rFonts w:hint="default" w:ascii="Times New Roman" w:hAnsi="Times New Roman" w:cs="Times New Roman"/>
                <w:bCs/>
                <w:color w:val="auto"/>
                <w:kern w:val="0"/>
                <w:sz w:val="18"/>
                <w:szCs w:val="18"/>
                <w:vertAlign w:val="superscript"/>
              </w:rPr>
              <w:t>1</w:t>
            </w:r>
          </w:p>
        </w:tc>
        <w:tc>
          <w:tcPr>
            <w:tcW w:w="567"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阴离子表面活性剂（mg/L）</w:t>
            </w:r>
          </w:p>
        </w:tc>
        <w:tc>
          <w:tcPr>
            <w:tcW w:w="1048"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highlight w:val="none"/>
                <w:lang w:val="en-US" w:eastAsia="zh-CN" w:bidi="ar-SA"/>
              </w:rPr>
            </w:pPr>
            <w:r>
              <w:rPr>
                <w:rFonts w:hint="default" w:ascii="Times New Roman" w:hAnsi="Times New Roman" w:cs="Times New Roman"/>
                <w:bCs/>
                <w:color w:val="auto"/>
                <w:kern w:val="0"/>
                <w:sz w:val="18"/>
                <w:szCs w:val="18"/>
                <w:highlight w:val="none"/>
              </w:rPr>
              <w:t>2.82</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highlight w:val="none"/>
                <w:lang w:val="en-US" w:eastAsia="zh-CN" w:bidi="ar-SA"/>
              </w:rPr>
            </w:pPr>
            <w:r>
              <w:rPr>
                <w:rFonts w:hint="default" w:ascii="Times New Roman" w:hAnsi="Times New Roman" w:cs="Times New Roman"/>
                <w:bCs/>
                <w:color w:val="auto"/>
                <w:kern w:val="0"/>
                <w:sz w:val="18"/>
                <w:szCs w:val="18"/>
                <w:highlight w:val="none"/>
              </w:rPr>
              <w:t>2.87</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highlight w:val="none"/>
                <w:lang w:val="en-US" w:eastAsia="zh-CN" w:bidi="ar-SA"/>
              </w:rPr>
            </w:pPr>
            <w:r>
              <w:rPr>
                <w:rFonts w:hint="default" w:ascii="Times New Roman" w:hAnsi="Times New Roman" w:cs="Times New Roman"/>
                <w:bCs/>
                <w:color w:val="auto"/>
                <w:kern w:val="0"/>
                <w:sz w:val="18"/>
                <w:szCs w:val="18"/>
                <w:highlight w:val="none"/>
              </w:rPr>
              <w:t>2.80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highlight w:val="none"/>
                <w:lang w:val="en-US" w:eastAsia="zh-CN" w:bidi="ar-SA"/>
              </w:rPr>
            </w:pPr>
            <w:r>
              <w:rPr>
                <w:rFonts w:hint="default" w:ascii="Times New Roman" w:hAnsi="Times New Roman" w:cs="Times New Roman"/>
                <w:bCs/>
                <w:color w:val="auto"/>
                <w:kern w:val="0"/>
                <w:sz w:val="18"/>
                <w:szCs w:val="18"/>
                <w:highlight w:val="none"/>
              </w:rPr>
              <w:t>2.74</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highlight w:val="none"/>
                <w:lang w:val="en-US" w:eastAsia="zh-CN" w:bidi="ar-SA"/>
              </w:rPr>
            </w:pPr>
            <w:r>
              <w:rPr>
                <w:rFonts w:hint="default" w:ascii="Times New Roman" w:hAnsi="Times New Roman" w:cs="Times New Roman"/>
                <w:bCs/>
                <w:color w:val="auto"/>
                <w:kern w:val="0"/>
                <w:sz w:val="18"/>
                <w:szCs w:val="18"/>
                <w:highlight w:val="none"/>
              </w:rPr>
              <w:t>2.81</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highlight w:val="none"/>
                <w:lang w:val="en-US" w:eastAsia="zh-CN" w:bidi="ar-SA"/>
              </w:rPr>
            </w:pPr>
            <w:r>
              <w:rPr>
                <w:rFonts w:hint="default" w:ascii="Times New Roman" w:hAnsi="Times New Roman" w:cs="Times New Roman"/>
                <w:bCs/>
                <w:color w:val="auto"/>
                <w:kern w:val="0"/>
                <w:sz w:val="18"/>
                <w:szCs w:val="18"/>
                <w:highlight w:val="none"/>
              </w:rPr>
              <w:t>2.64</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highlight w:val="none"/>
                <w:lang w:val="en-US" w:eastAsia="zh-CN" w:bidi="ar-SA"/>
              </w:rPr>
            </w:pPr>
            <w:r>
              <w:rPr>
                <w:rFonts w:hint="default" w:ascii="Times New Roman" w:hAnsi="Times New Roman" w:cs="Times New Roman"/>
                <w:bCs/>
                <w:color w:val="auto"/>
                <w:kern w:val="0"/>
                <w:sz w:val="18"/>
                <w:szCs w:val="18"/>
                <w:highlight w:val="none"/>
              </w:rPr>
              <w:t>2.70</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highlight w:val="none"/>
                <w:lang w:val="en-US" w:eastAsia="zh-CN" w:bidi="ar-SA"/>
              </w:rPr>
            </w:pPr>
            <w:r>
              <w:rPr>
                <w:rFonts w:hint="default" w:ascii="Times New Roman" w:hAnsi="Times New Roman" w:cs="Times New Roman"/>
                <w:bCs/>
                <w:color w:val="auto"/>
                <w:kern w:val="0"/>
                <w:sz w:val="18"/>
                <w:szCs w:val="18"/>
                <w:highlight w:val="none"/>
              </w:rPr>
              <w:t>2.66</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highlight w:val="none"/>
                <w:lang w:val="en-US" w:eastAsia="zh-CN" w:bidi="ar-SA"/>
              </w:rPr>
            </w:pPr>
            <w:r>
              <w:rPr>
                <w:rFonts w:hint="default" w:ascii="Times New Roman" w:hAnsi="Times New Roman" w:cs="Times New Roman"/>
                <w:bCs/>
                <w:color w:val="auto"/>
                <w:kern w:val="0"/>
                <w:sz w:val="18"/>
                <w:szCs w:val="18"/>
                <w:highlight w:val="none"/>
              </w:rPr>
              <w:t>2.77</w:t>
            </w:r>
          </w:p>
        </w:tc>
        <w:tc>
          <w:tcPr>
            <w:tcW w:w="1049"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highlight w:val="none"/>
                <w:lang w:val="en-US" w:eastAsia="zh-CN" w:bidi="ar-SA"/>
              </w:rPr>
            </w:pPr>
            <w:r>
              <w:rPr>
                <w:rFonts w:hint="default" w:ascii="Times New Roman" w:hAnsi="Times New Roman" w:cs="Times New Roman"/>
                <w:bCs/>
                <w:color w:val="auto"/>
                <w:kern w:val="0"/>
                <w:sz w:val="18"/>
                <w:szCs w:val="18"/>
                <w:highlight w:val="none"/>
              </w:rPr>
              <w:t>2.69</w:t>
            </w:r>
          </w:p>
        </w:tc>
        <w:tc>
          <w:tcPr>
            <w:tcW w:w="1843" w:type="dxa"/>
            <w:vAlign w:val="center"/>
          </w:tcPr>
          <w:p>
            <w:pPr>
              <w:widowControl/>
              <w:adjustRightInd w:val="0"/>
              <w:snapToGrid w:val="0"/>
              <w:jc w:val="center"/>
              <w:rPr>
                <w:rFonts w:hint="default" w:ascii="Times New Roman" w:hAnsi="Times New Roman" w:cs="Times New Roman" w:eastAsiaTheme="minorEastAsia"/>
                <w:bCs/>
                <w:color w:val="auto"/>
                <w:kern w:val="0"/>
                <w:sz w:val="18"/>
                <w:szCs w:val="18"/>
                <w:lang w:val="en-US" w:eastAsia="zh-CN" w:bidi="ar-SA"/>
              </w:rPr>
            </w:pPr>
            <w:r>
              <w:rPr>
                <w:rFonts w:hint="default" w:ascii="Times New Roman" w:hAnsi="Times New Roman" w:cs="Times New Roman"/>
                <w:bCs/>
                <w:color w:val="auto"/>
                <w:kern w:val="0"/>
                <w:sz w:val="18"/>
                <w:szCs w:val="18"/>
              </w:rPr>
              <w:t>20</w:t>
            </w:r>
          </w:p>
        </w:tc>
        <w:tc>
          <w:tcPr>
            <w:tcW w:w="567"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备注</w:t>
            </w:r>
          </w:p>
        </w:tc>
        <w:tc>
          <w:tcPr>
            <w:tcW w:w="12899" w:type="dxa"/>
            <w:gridSpan w:val="12"/>
            <w:vAlign w:val="center"/>
          </w:tcPr>
          <w:p>
            <w:pPr>
              <w:widowControl/>
              <w:adjustRightInd w:val="0"/>
              <w:snapToGrid w:val="0"/>
              <w:jc w:val="left"/>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1、“*</w:t>
            </w:r>
            <w:r>
              <w:rPr>
                <w:rFonts w:hint="default" w:ascii="Times New Roman" w:hAnsi="Times New Roman" w:cs="Times New Roman"/>
                <w:bCs/>
                <w:color w:val="auto"/>
                <w:kern w:val="0"/>
                <w:sz w:val="18"/>
                <w:szCs w:val="18"/>
                <w:vertAlign w:val="superscript"/>
              </w:rPr>
              <w:t>1</w:t>
            </w:r>
            <w:r>
              <w:rPr>
                <w:rFonts w:hint="default" w:ascii="Times New Roman" w:hAnsi="Times New Roman" w:cs="Times New Roman"/>
                <w:bCs/>
                <w:color w:val="auto"/>
                <w:kern w:val="0"/>
                <w:sz w:val="18"/>
                <w:szCs w:val="18"/>
              </w:rPr>
              <w:t>”表示氨氮、总磷纳管执行《工业企业废水氮、磷污染物间接排放限值》（DB33/ 887-2013）表 1 中其他企业的排放限值。</w:t>
            </w:r>
          </w:p>
        </w:tc>
      </w:tr>
    </w:tbl>
    <w:p>
      <w:pPr>
        <w:snapToGrid w:val="0"/>
        <w:spacing w:before="163" w:beforeLines="50"/>
        <w:jc w:val="center"/>
        <w:rPr>
          <w:rFonts w:ascii="Times New Roman" w:hAnsi="Times New Roman"/>
          <w:b/>
          <w:bCs/>
          <w:szCs w:val="21"/>
        </w:rPr>
      </w:pPr>
    </w:p>
    <w:p>
      <w:pPr>
        <w:snapToGrid w:val="0"/>
        <w:spacing w:before="163" w:beforeLines="50"/>
        <w:jc w:val="center"/>
        <w:rPr>
          <w:rFonts w:hint="eastAsia" w:ascii="Times New Roman" w:hAnsi="Times New Roman"/>
          <w:b/>
          <w:bCs/>
          <w:szCs w:val="21"/>
        </w:rPr>
      </w:pPr>
      <w:r>
        <w:rPr>
          <w:rFonts w:hint="default" w:ascii="Times New Roman" w:hAnsi="Times New Roman" w:cs="Times New Roman"/>
          <w:b/>
          <w:bCs/>
          <w:kern w:val="0"/>
          <w:szCs w:val="21"/>
        </w:rPr>
        <mc:AlternateContent>
          <mc:Choice Requires="wps">
            <w:drawing>
              <wp:anchor distT="0" distB="0" distL="114300" distR="114300" simplePos="0" relativeHeight="251723776" behindDoc="0" locked="0" layoutInCell="1" allowOverlap="1">
                <wp:simplePos x="0" y="0"/>
                <wp:positionH relativeFrom="column">
                  <wp:posOffset>614680</wp:posOffset>
                </wp:positionH>
                <wp:positionV relativeFrom="paragraph">
                  <wp:posOffset>1009650</wp:posOffset>
                </wp:positionV>
                <wp:extent cx="449580" cy="387350"/>
                <wp:effectExtent l="0" t="0" r="0" b="0"/>
                <wp:wrapNone/>
                <wp:docPr id="96"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样品</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48.4pt;margin-top:79.5pt;height:30.5pt;width:35.4pt;z-index:251723776;mso-width-relative:page;mso-height-relative:page;" filled="f" stroked="f" coordsize="21600,21600" o:gfxdata="UEsDBAoAAAAAAIdO4kAAAAAAAAAAAAAAAAAEAAAAZHJzL1BLAwQUAAAACACHTuJASGLKVtkAAAAK&#10;AQAADwAAAGRycy9kb3ducmV2LnhtbE2PQWvCQBCF7wX/wzKFXopuFBprmo0HQSqlIMbqec1Ok9Ds&#10;bMyuif33HU/1OG8e730vXV5tI3rsfO1IwXQSgUAqnKmpVPC1X49fQfigyejGESr4RQ/LbPSQ6sS4&#10;gXbY56EUHEI+0QqqENpESl9UaLWfuBaJf9+uszrw2ZXSdHrgcNvIWRTF0uqauKHSLa4qLH7yi1Uw&#10;FNv+uP98l9vn48bReXNe5YcPpZ4ep9EbiIDX8G+GGz6jQ8ZMJ3ch40WjYBEzeWD9ZcGbboZ4HoM4&#10;KZhxMcgslfcTsj9QSwMEFAAAAAgAh07iQBpEh78QAgAACgQAAA4AAABkcnMvZTJvRG9jLnhtbK1T&#10;S27bMBDdF+gdCO5rWf7FFiwHQYwUBdI2QNoD0BRlEZU47JC25F6mQHc5RI9T9BodUo7rpJssuiE4&#10;nOHje2+Gy8uuqdleodNgcp4OhpwpI6HQZpvzz59u3sw5c16YQtRgVM4PyvHL1etXy9ZmagQV1IVC&#10;RiDGZa3NeeW9zZLEyUo1wg3AKkPJErARnkLcJgWKltCbOhkNh7OkBSwsglTO0em6T/IjIr4EEMpS&#10;S7UGuWuU8T0qqlp4kuQqbR1fRbZlqaT/WJZOeVbnnJT6uNIjtN+ENVktRbZFYSstjxTESyg809QI&#10;bejRE9RaeMF2qP+BarREcFD6gYQm6YVER0hFOnzmzX0lrIpayGpnT6a7/wcrP+zvkOki54sZZ0Y0&#10;1PHf3x9+/fzBZuk42NNal1HVvb3DINDZW5BfHDNwXQmzVVeI0FZKFEQqDfXJkwshcHSVbdr3UBC4&#10;2HmITnUlNgGQPGBdbMjh1BDVeSbpcDJZTOfUKkmp8fxiPI0NS0T2eNmi828VNCxsco7U7wgu9rfO&#10;BzIieywJbxm40XUde16bJwdUGE4i+cC31+27TXe0YAPFgWQg9CNEH4g2FeA3zloan5y7rzuBirP6&#10;nSErFulkEuYtBpPpxYgCPM9szjPCSILKuees3177fkZ3FvW2opfSKMvAFdlX6igtWNuzOvKmEYmK&#10;j+McZvA8jlV/v/D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hiylbZAAAACgEAAA8AAAAAAAAA&#10;AQAgAAAAIgAAAGRycy9kb3ducmV2LnhtbFBLAQIUABQAAAAIAIdO4kAaRIe/EAIAAAoEAAAOAAAA&#10;AAAAAAEAIAAAACgBAABkcnMvZTJvRG9jLnhtbFBLBQYAAAAABgAGAFkBAACq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样品</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编号</w:t>
                      </w:r>
                    </w:p>
                  </w:txbxContent>
                </v:textbox>
              </v:rect>
            </w:pict>
          </mc:Fallback>
        </mc:AlternateContent>
      </w: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lang w:val="en-US" w:eastAsia="zh-CN"/>
        </w:rPr>
        <w:t>2</w:t>
      </w:r>
      <w:r>
        <w:rPr>
          <w:rFonts w:hint="eastAsia" w:ascii="Times New Roman" w:hAnsi="Times New Roman"/>
          <w:b/>
          <w:bCs/>
          <w:szCs w:val="21"/>
        </w:rPr>
        <w:t>废水监测结果（</w:t>
      </w:r>
      <w:r>
        <w:rPr>
          <w:rFonts w:hint="eastAsia" w:ascii="Times New Roman" w:hAnsi="Times New Roman"/>
          <w:b/>
          <w:bCs/>
          <w:szCs w:val="21"/>
          <w:lang w:val="en-US" w:eastAsia="zh-CN"/>
        </w:rPr>
        <w:t>2</w:t>
      </w:r>
      <w:r>
        <w:rPr>
          <w:rFonts w:hint="eastAsia" w:ascii="Times New Roman" w:hAnsi="Times New Roman"/>
          <w:b/>
          <w:bCs/>
          <w:szCs w:val="21"/>
        </w:rPr>
        <w:t>）</w:t>
      </w:r>
    </w:p>
    <w:tbl>
      <w:tblPr>
        <w:tblStyle w:val="31"/>
        <w:tblW w:w="14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899" w:type="dxa"/>
            <w:gridSpan w:val="12"/>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899" w:type="dxa"/>
            <w:gridSpan w:val="12"/>
            <w:vAlign w:val="center"/>
          </w:tcPr>
          <w:p>
            <w:pPr>
              <w:widowControl/>
              <w:adjustRightInd w:val="0"/>
              <w:snapToGrid w:val="0"/>
              <w:rPr>
                <w:rFonts w:hint="default" w:ascii="Times New Roman" w:hAnsi="Times New Roman" w:cs="Times New Roman" w:eastAsiaTheme="minorEastAsia"/>
                <w:bCs/>
                <w:kern w:val="0"/>
                <w:sz w:val="18"/>
                <w:szCs w:val="18"/>
                <w:highlight w:val="yellow"/>
                <w:lang w:val="en-US" w:eastAsia="zh-CN" w:bidi="ar-SA"/>
              </w:rPr>
            </w:pPr>
            <w:r>
              <w:rPr>
                <w:rFonts w:hint="default" w:ascii="Times New Roman" w:hAnsi="Times New Roman" w:cs="Times New Roman"/>
                <w:bCs/>
                <w:kern w:val="0"/>
                <w:sz w:val="18"/>
                <w:szCs w:val="18"/>
              </w:rPr>
              <w:t>2023年12月21日-28日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899" w:type="dxa"/>
            <w:gridSpan w:val="12"/>
            <w:vAlign w:val="center"/>
          </w:tcPr>
          <w:p>
            <w:pP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废水处理设施DW002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Merge w:val="restart"/>
            <w:vAlign w:val="center"/>
          </w:tcPr>
          <w:p>
            <w:pPr>
              <w:widowControl/>
              <w:adjustRightInd w:val="0"/>
              <w:snapToGrid w:val="0"/>
              <w:jc w:val="center"/>
              <w:rPr>
                <w:rFonts w:hint="default" w:ascii="Times New Roman" w:hAnsi="Times New Roman" w:cs="Times New Roman"/>
                <w:sz w:val="18"/>
              </w:rPr>
            </w:pPr>
            <w:r>
              <w:rPr>
                <w:rFonts w:hint="default" w:ascii="Times New Roman" w:hAnsi="Times New Roman" w:cs="Times New Roman"/>
                <w:b/>
                <w:bCs/>
                <w:kern w:val="0"/>
                <w:szCs w:val="21"/>
              </w:rPr>
              <mc:AlternateContent>
                <mc:Choice Requires="wps">
                  <w:drawing>
                    <wp:anchor distT="0" distB="0" distL="114300" distR="114300" simplePos="0" relativeHeight="251698176" behindDoc="0" locked="0" layoutInCell="1" allowOverlap="1">
                      <wp:simplePos x="0" y="0"/>
                      <wp:positionH relativeFrom="column">
                        <wp:posOffset>-5715</wp:posOffset>
                      </wp:positionH>
                      <wp:positionV relativeFrom="paragraph">
                        <wp:posOffset>20320</wp:posOffset>
                      </wp:positionV>
                      <wp:extent cx="571500" cy="1047750"/>
                      <wp:effectExtent l="4445" t="2540" r="14605" b="16510"/>
                      <wp:wrapNone/>
                      <wp:docPr id="23"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0.45pt;margin-top:1.6pt;height:82.5pt;width:45pt;z-index:251698176;mso-width-relative:page;mso-height-relative:page;" filled="f" stroked="t" coordsize="21600,21600" o:gfxdata="UEsDBAoAAAAAAIdO4kAAAAAAAAAAAAAAAAAEAAAAZHJzL1BLAwQUAAAACACHTuJAy56JSdUAAAAG&#10;AQAADwAAAGRycy9kb3ducmV2LnhtbE2OwU7DMBBE70j8g7WVekGtnSCqJMSpEBIHjrSVuLrxkoTG&#10;6yh2mrZfz3KC42ieZl65vbhenHEMnScNyVqBQKq97ajRcNi/rTIQIRqypveEGq4YYFvd35WmsH6m&#10;DzzvYiN4hEJhNLQxDoWUoW7RmbD2AxJ3X350JnIcG2lHM/O462Wq1EY60xE/tGbA1xbr025yGjBM&#10;T4l6yV1zeL/ND5/p7Xse9lovF4l6BhHxEv9g+NVndajY6egnskH0GlY5gxoeUxDcZnkC4sjUJktB&#10;VqX8r1/9AFBLAwQUAAAACACHTuJATl4NcfYBAAC+AwAADgAAAGRycy9lMm9Eb2MueG1srVPNjtMw&#10;EL4j8Q6W7zRJ2VKImu6h1XJZoNIuD+A6TmLheKyx27Q3bohn4MaRd4C3WQnegrH7w7Jc9kAOlscz&#10;881830xml7vesK1Cr8FWvBjlnCkroda2rfj726tnLznzQdhaGLCq4nvl+eX86ZPZ4Eo1hg5MrZAR&#10;iPXl4CreheDKLPOyU73wI3DKkrMB7EUgE9usRjEQem+ycZ6/yAbA2iFI5T29Lg9OfkTExwBC02ip&#10;liA3vbLhgIrKiECUfKed5/PUbdMoGd41jVeBmYoT05BOKkL3dTyz+UyULQrXaXlsQTymhQeceqEt&#10;FT1DLUUQbIP6H6heSwQPTRhJ6LMDkaQIsSjyB9rcdMKpxIWk9u4suv9/sPLtdoVM1xUfP+fMip4m&#10;/vPTt18fP999+XH3/SsrivFFVGlwvqTghV1h5Cl39sZdg/zgmYVFJ2yrUre3e0cIRczI/kqJhndU&#10;az28gZpixCZAkmzXYB8hSQy2S5PZnyejdoFJepxMi0lOM5PkKvKL6XSSRpeJ8pTt0IfXCnoWLxX3&#10;AYVuu7AAa2kJAItUS2yvfYi9ifKUEEtbuNLGpF0wlg0VfzUZT1KCB6Pr6IxhHtv1wiDbirhN6UtE&#10;yXM/DGFj60MRY486ROoHEddQ71d40ofGmro5rmDcm/t2yv7z28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ueiUnVAAAABgEAAA8AAAAAAAAAAQAgAAAAIgAAAGRycy9kb3ducmV2LnhtbFBLAQIU&#10;ABQAAAAIAIdO4kBOXg1x9gEAAL4DAAAOAAAAAAAAAAEAIAAAACQBAABkcnMvZTJvRG9jLnhtbFBL&#10;BQYAAAAABgAGAFkBAACMBQ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97152" behindDoc="0" locked="0" layoutInCell="1" allowOverlap="1">
                      <wp:simplePos x="0" y="0"/>
                      <wp:positionH relativeFrom="column">
                        <wp:posOffset>-11430</wp:posOffset>
                      </wp:positionH>
                      <wp:positionV relativeFrom="paragraph">
                        <wp:posOffset>8890</wp:posOffset>
                      </wp:positionV>
                      <wp:extent cx="1285875" cy="1064895"/>
                      <wp:effectExtent l="3175" t="3810" r="6350" b="17145"/>
                      <wp:wrapNone/>
                      <wp:docPr id="24"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0.9pt;margin-top:0.7pt;height:83.85pt;width:101.25pt;z-index:251697152;mso-width-relative:page;mso-height-relative:page;" filled="f" stroked="t" coordsize="21600,21600" o:gfxdata="UEsDBAoAAAAAAIdO4kAAAAAAAAAAAAAAAAAEAAAAZHJzL1BLAwQUAAAACACHTuJACg66iNYAAAAI&#10;AQAADwAAAGRycy9kb3ducmV2LnhtbE2PwW7CMBBE75X4B2uReqnANmppCXEQQuqhxwJSryZekrTx&#10;OoodQvn6bk/tcXZWM2/yzdW34oJ9bAIZ0HMFAqkMrqHKwPHwOnsBEZMlZ9tAaOAbI2yKyV1uMxdG&#10;esfLPlWCQyhm1kCdUpdJGcsavY3z0CGxdw69t4llX0nX25HDfSsXSi2ltw1xQ2073NVYfu0HbwDj&#10;8KTVduWr49ttfPhY3D7H7mDM/VSrNYiE1/T3DL/4jA4FM53CQC6K1sBMM3ni+yMItrnsGcSJ9XKl&#10;QRa5/D+g+AFQSwMEFAAAAAgAh07iQMYu6m/3AQAAvwMAAA4AAABkcnMvZTJvRG9jLnhtbK1TzY7T&#10;MBC+I/EOlu80Tdgu3ajpHlotlwVW2uUBXMdJLByPNeM27Y0b4hm4ceQd4G1WgrfAdn9gl8seyMHy&#10;eGa+me+byexy2xu2UUgabMXz0ZgzZSXU2rYVf3939WLKGXlha2HAqorvFPHL+fNns8GVqoAOTK2Q&#10;BRBL5eAq3nnvyiwj2ale0AicssHZAPbCBxPbrEYxBPTeZMV4fJ4NgLVDkIoovC73Tn5AxKcAQtNo&#10;qZYg172yfo+KyggfKFGnHfF56rZplPTvmoaUZ6bigalPZygS7qt4ZvOZKFsUrtPy0IJ4SguPOPVC&#10;21D0BLUUXrA16n+gei0RCBo/ktBneyJJkcAiHz/S5rYTTiUuQWpyJ9Hp/8HKt5sbZLqueHHGmRV9&#10;mPjPT99+ffx8/+XH/fevLM+Ll1GlwVEZghf2BiNPubW37hrkB2IWFp2wrUrd3u1cQMhjRvYgJRrk&#10;Qq3V8AbqECPWHpJk2wb7CBnEYNs0md1pMmrrmQyPeTGdTF9NOJPBl4/Pz6YXk1RDlMd0h+RfK+hZ&#10;vFScPArddn4B1oYtAMxTMbG5Jh+bE+UxIda2cKWNSctgLBsqfjEpJimBwOg6OmMYYbtaGGQbEdcp&#10;fYcuHoQhrG29L2LsQYjIfa/iCurdDR4FCnNN3Rx2MC7O33bK/vPfz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g66iNYAAAAIAQAADwAAAAAAAAABACAAAAAiAAAAZHJzL2Rvd25yZXYueG1sUEsB&#10;AhQAFAAAAAgAh07iQMYu6m/3AQAAvwMAAA4AAAAAAAAAAQAgAAAAJQEAAGRycy9lMm9Eb2MueG1s&#10;UEsFBgAAAAAGAAYAWQEAAI4FA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96128" behindDoc="0" locked="0" layoutInCell="1" allowOverlap="1">
                      <wp:simplePos x="0" y="0"/>
                      <wp:positionH relativeFrom="column">
                        <wp:posOffset>-19050</wp:posOffset>
                      </wp:positionH>
                      <wp:positionV relativeFrom="paragraph">
                        <wp:posOffset>7620</wp:posOffset>
                      </wp:positionV>
                      <wp:extent cx="1276350" cy="426720"/>
                      <wp:effectExtent l="1270" t="4445" r="17780" b="6985"/>
                      <wp:wrapNone/>
                      <wp:docPr id="26"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1.5pt;margin-top:0.6pt;height:33.6pt;width:100.5pt;z-index:251696128;mso-width-relative:page;mso-height-relative:page;" filled="f" stroked="t" coordsize="21600,21600" o:gfxdata="UEsDBAoAAAAAAIdO4kAAAAAAAAAAAAAAAAAEAAAAZHJzL1BLAwQUAAAACACHTuJAPV8bbNYAAAAH&#10;AQAADwAAAGRycy9kb3ducmV2LnhtbE2PzU7DMBCE70i8g7WVuKDWToAqDXEqhMSBY38krm68JKHx&#10;OoqdpvTpuz3BcXZWM98U67PrxAmH0HrSkCwUCKTK25ZqDfvdxzwDEaIhazpPqOEXA6zL+7vC5NZP&#10;tMHTNtaCQyjkRkMTY59LGaoGnQkL3yOx9+0HZyLLoZZ2MBOHu06mSi2lMy1xQ2N6fG+wOm5HpwHD&#10;+JKot5Wr95+X6fErvfxM/U7rh1miXkFEPMe/Z7jhMzqUzHTwI9kgOg3zJ54S+Z6CuNmrjPVBwzJ7&#10;BlkW8j9/eQVQSwMEFAAAAAgAh07iQEsAnGL1AQAAvgMAAA4AAABkcnMvZTJvRG9jLnhtbK1TzY7T&#10;MBC+I/EOlu80TaBdiJruodVyWaDSLg/gOk5i4Xgsj9u0N26IZ+DGkXeAt1kJ3oKx+8OyXPZADpbH&#10;M/PNfN9MZpe73rCt8qjBVjwfjTlTVkKtbVvx97dXz15yhkHYWhiwquJ7hfxy/vTJbHClKqADUyvP&#10;CMRiObiKdyG4MstQdqoXOAKnLDkb8L0IZPo2q70YCL03WTEeT7MBfO08SIVIr8uDkx8R/WMAoWm0&#10;VEuQm17ZcED1yohAlLDTDvk8dds0SoZ3TYMqMFNxYhrSSUXovo5nNp+JsvXCdVoeWxCPaeEBp15o&#10;S0XPUEsRBNt4/Q9Ur6UHhCaMJPTZgUhShFjk4wfa3HTCqcSFpEZ3Fh3/H6x8u115puuKF1POrOhp&#10;4j8/ffv18fPdlx9337+yPC+KqNLgsKTghV35yFPu7I27BvkBmYVFJ2yrUre3e0cIeczI/kqJBjqq&#10;tR7eQE0xYhMgSbZrfB8hSQy2S5PZnyejdoFJesyLi+nzCQ1Nku9FMb0o0ugyUZ6yncfwWkHP4qXi&#10;GLzQbRcWYC0tAfg81RLbawyxN1GeEmJpC1famLQLxrKh4q8mxSQlIBhdR2cMQ9+uF8azrYjblL5E&#10;lDz3wzxsbH0oYuxRh0j9IOIa6v3Kn/ShsaZujisY9+a+nbL//H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1fG2zWAAAABwEAAA8AAAAAAAAAAQAgAAAAIgAAAGRycy9kb3ducmV2LnhtbFBLAQIU&#10;ABQAAAAIAIdO4kBLAJxi9QEAAL4DAAAOAAAAAAAAAAEAIAAAACUBAABkcnMvZTJvRG9jLnhtbFBL&#10;BQYAAAAABgAGAFkBAACM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pPr>
              <w:widowControl/>
              <w:adjustRightInd w:val="0"/>
              <w:snapToGrid w:val="0"/>
              <w:jc w:val="center"/>
              <w:rPr>
                <w:rFonts w:hint="default" w:ascii="Times New Roman" w:hAnsi="Times New Roman" w:cs="Times New Roman"/>
                <w:bCs/>
                <w:kern w:val="0"/>
                <w:sz w:val="18"/>
                <w:szCs w:val="18"/>
              </w:rPr>
            </w:pP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               </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95104" behindDoc="0" locked="0" layoutInCell="1" allowOverlap="1">
                      <wp:simplePos x="0" y="0"/>
                      <wp:positionH relativeFrom="column">
                        <wp:posOffset>882015</wp:posOffset>
                      </wp:positionH>
                      <wp:positionV relativeFrom="paragraph">
                        <wp:posOffset>8255</wp:posOffset>
                      </wp:positionV>
                      <wp:extent cx="482600" cy="396875"/>
                      <wp:effectExtent l="0" t="0" r="0" b="0"/>
                      <wp:wrapNone/>
                      <wp:docPr id="27"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样品</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9.45pt;margin-top:0.65pt;height:31.25pt;width:38pt;z-index:251695104;mso-width-relative:page;mso-height-relative:page;" filled="f" stroked="f" coordsize="21600,21600" o:gfxdata="UEsDBAoAAAAAAIdO4kAAAAAAAAAAAAAAAAAEAAAAZHJzL1BLAwQUAAAACACHTuJAiWRcZ9gAAAAI&#10;AQAADwAAAGRycy9kb3ducmV2LnhtbE2PQWvCQBCF70L/wzJCL1I30SJpmo0HoVRKQRpbz2t2mgSz&#10;szG7Jvbfdzy1t/l4jzfvZeurbcWAvW8cKYjnEQik0pmGKgWf+5eHBIQPmoxuHaGCH/Swzu8mmU6N&#10;G+kDhyJUgkPIp1pBHUKXSunLGq32c9chsfbteqsDY19J0+uRw20rF1G0klY3xB9q3eGmxvJUXKyC&#10;sdwNh/37q9zNDltH5+15U3y9KXU/jaNnEAGv4c8Mt/pcHXLudHQXMl60zMvkia23AwTri/iR+ahg&#10;tUxA5pn8PyD/BVBLAwQUAAAACACHTuJA+ObDRA8CAAAKBAAADgAAAGRycy9lMm9Eb2MueG1srVPB&#10;bhMxEL0j8Q+W72SzIU3TVTZV1agIqUClwgc4Xm/WYu0xYye74WeQuPERfA7iNxh705CWSw9cLI9n&#10;/Pzem/Hisjct2yn0GmzJ89GYM2UlVNpuSv7p482rOWc+CFuJFqwq+V55frl8+WLRuUJNoIG2UsgI&#10;xPqicyVvQnBFlnnZKCP8CJyylKwBjQgU4iarUHSEbtpsMh7Psg6wcghSeU+nqyHJD4j4HECoay3V&#10;CuTWKBsGVFStCCTJN9p5vkxs61rJ8KGuvQqsLTkpDWmlR2i/jmu2XIhig8I1Wh4oiOdQeKLJCG3p&#10;0SPUSgTBtqj/gTJaIniow0iCyQYhyRFSkY+feHPfCKeSFrLau6Pp/v/Byve7O2S6KvnknDMrDHX8&#10;97cfv35+Z7P8LNrTOV9Q1b27wyjQu1uQnz2zcN0Iu1FXiNA1SlREKo/12aMLMfB0la27d1ARuNgG&#10;SE71NZoISB6wPjVkf2yI6gOTdDidT2ZjapWk1OuL2fw8McpE8XDZoQ9vFBgWNyVH6ncCF7tbHyIZ&#10;UTyUxLcs3Oi2TT1v7aMDKowniXzkO+gO/bo/WLCGak8yEIYRog9EmwbwK2cdjU/J/ZetQMVZ+9aS&#10;FRf5dBrnLQXTs/MJBXiaWZ9mhJUEVfLA2bC9DsOMbh3qTUMv5UmWhSuyr9ZJWrR2YHXgTSOSFB/G&#10;Oc7gaZyq/n7h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ZFxn2AAAAAgBAAAPAAAAAAAAAAEA&#10;IAAAACIAAABkcnMvZG93bnJldi54bWxQSwECFAAUAAAACACHTuJA+ObDRA8CAAAKBAAADgAAAAAA&#10;AAABACAAAAAnAQAAZHJzL2Uyb0RvYy54bWxQSwUGAAAAAAYABgBZAQAAqAU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样品</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性状</w:t>
                            </w:r>
                          </w:p>
                        </w:txbxContent>
                      </v:textbox>
                    </v:rect>
                  </w:pict>
                </mc:Fallback>
              </mc:AlternateContent>
            </w:r>
            <w:r>
              <w:rPr>
                <w:rFonts w:hint="default" w:ascii="Times New Roman" w:hAnsi="Times New Roman" w:cs="Times New Roman"/>
                <w:bCs/>
                <w:kern w:val="0"/>
                <w:sz w:val="18"/>
                <w:szCs w:val="18"/>
              </w:rPr>
              <w:t xml:space="preserve">       </w:t>
            </w:r>
          </w:p>
          <w:p>
            <w:pPr>
              <w:adjustRightInd w:val="0"/>
              <w:snapToGrid w:val="0"/>
              <w:ind w:firstLine="211" w:firstLineChars="100"/>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94080" behindDoc="0" locked="0" layoutInCell="1" allowOverlap="1">
                      <wp:simplePos x="0" y="0"/>
                      <wp:positionH relativeFrom="column">
                        <wp:posOffset>508000</wp:posOffset>
                      </wp:positionH>
                      <wp:positionV relativeFrom="paragraph">
                        <wp:posOffset>142240</wp:posOffset>
                      </wp:positionV>
                      <wp:extent cx="792480" cy="427990"/>
                      <wp:effectExtent l="0" t="0" r="0" b="0"/>
                      <wp:wrapNone/>
                      <wp:docPr id="29"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40pt;margin-top:11.2pt;height:33.7pt;width:62.4pt;z-index:251694080;mso-width-relative:page;mso-height-relative:page;" filled="f" stroked="f" coordsize="21600,21600" o:gfxdata="UEsDBAoAAAAAAIdO4kAAAAAAAAAAAAAAAAAEAAAAZHJzL1BLAwQUAAAACACHTuJAiIrDJNgAAAAI&#10;AQAADwAAAGRycy9kb3ducmV2LnhtbE2PQUvDQBCF74L/YRnBi7S7DUVimk0PBbGIUEy15212TILZ&#10;2TS7Teq/dzzV4/AN730vX19cJ0YcQutJw2KuQCBV3rZUa/jYP89SECEasqbzhBp+MMC6uL3JTWb9&#10;RO84lrEWHEIhMxqaGPtMylA16EyY+x6J2ZcfnIl8DrW0g5k43HUyUepROtMSNzSmx02D1Xd5dhqm&#10;ajce9m8vcvdw2Ho6bU+b8vNV6/u7hVqBiHiJ12f402d1KNjp6M9kg+g0pIqnRA1JsgTBPFFLnnJk&#10;8JSCLHL5f0DxC1BLAwQUAAAACACHTuJAeaiMwg8CAAAKBAAADgAAAGRycy9lMm9Eb2MueG1srVNB&#10;btswELwX6B8I3mtZghrHguUgiJGiQNoGSPsAmqIsohKXXdKW3M8U6K2P6HOKfqNLynGc5JJDLwSX&#10;uxzOzC4XF0PXsp1Cp8GUPJ1MOVNGQqXNpuRfPl+/OefMeWEq0YJRJd8rxy+Wr18teluoDBpoK4WM&#10;QIwrelvyxntbJImTjeqEm4BVhpI1YCc8hbhJKhQ9oXdtkk2nZ0kPWFkEqZyj09WY5AdEfAkg1LWW&#10;agVy2ynjR1RUrfAkyTXaOr6MbOtaSf+prp3yrC05KfVxpUdovw5rslyIYoPCNloeKIiXUHiiqRPa&#10;0KNHqJXwgm1RP4PqtERwUPuJhC4ZhURHSEU6feLNXSOsilrIamePprv/Bys/7m6R6ark2ZwzIzrq&#10;+N8fv/78/snO0jzY01tXUNWdvcUg0NkbkF8dM3DVCLNRl4jQN0pURCoN9cmjCyFwdJWt+w9QEbjY&#10;eohODTV2AZA8YENsyP7YEDV4JulwNs/yc2qVpFSezebz2LBEFPeXLTr/TkHHwqbkSP2O4GJ343wg&#10;I4r7kvCWgWvdtrHnrXl0QIXhJJIPfEfdflgPBwvWUO1JBsI4QvSBaNMAfuesp/Epufu2Fag4a98b&#10;smKe5nmYtxjkb2cZBXiaWZ9mhJEEVXLP2bi98uOMbi3qTUMvpVGWgUuyr9ZRWrB2ZHXgTSMSFR/G&#10;OczgaRyrHr7w8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IisMk2AAAAAgBAAAPAAAAAAAAAAEA&#10;IAAAACIAAABkcnMvZG93bnJldi54bWxQSwECFAAUAAAACACHTuJAeaiMwg8CAAAKBAAADgAAAAAA&#10;AAABACAAAAAnAQAAZHJzL2Uyb0RvYy54bWxQSwUGAAAAAAYABgBZAQAAqAU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93056" behindDoc="0" locked="0" layoutInCell="1" allowOverlap="1">
                      <wp:simplePos x="0" y="0"/>
                      <wp:positionH relativeFrom="column">
                        <wp:posOffset>-30480</wp:posOffset>
                      </wp:positionH>
                      <wp:positionV relativeFrom="paragraph">
                        <wp:posOffset>123190</wp:posOffset>
                      </wp:positionV>
                      <wp:extent cx="792480" cy="504190"/>
                      <wp:effectExtent l="0" t="0" r="0" b="0"/>
                      <wp:wrapNone/>
                      <wp:docPr id="30"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2.4pt;margin-top:9.7pt;height:39.7pt;width:62.4pt;z-index:251693056;mso-width-relative:page;mso-height-relative:page;" filled="f" stroked="f" coordsize="21600,21600" o:gfxdata="UEsDBAoAAAAAAIdO4kAAAAAAAAAAAAAAAAAEAAAAZHJzL1BLAwQUAAAACACHTuJAjyiS8NcAAAAI&#10;AQAADwAAAGRycy9kb3ducmV2LnhtbE2PQWvCQBCF7wX/wzJCL0U3FikxzcaDIEopSGPrec2OSTA7&#10;G7NrYv99x5M9vnnDe99LlzfbiB47XztSMJtGIJAKZ2oqFXzv15MYhA+ajG4coYJf9LDMRk+pTowb&#10;6Av7PJSCQ8gnWkEVQptI6YsKrfZT1yKxd3Kd1YFlV0rT6YHDbSNfo+hNWl0TN1S6xVWFxTm/WgVD&#10;sesP+8+N3L0cto4u28sq//lQ6nk8i95BBLyFxzPc8RkdMmY6uisZLxoFkzmTB74v5iDuPteBOCpY&#10;xDHILJX/B2R/UEsDBBQAAAAIAIdO4kBiHVbxDwIAAAoEAAAOAAAAZHJzL2Uyb0RvYy54bWytU0Fu&#10;2zAQvBfoHwjea1mu0sSC5SCIkaJA2gZI+wCaoiyiIpdd0pbSzxTorY/oc4p+o0vKcZz0kkMvwi53&#10;OZyZXS3OB9OxnUKvwVY8n0w5U1ZCre2m4p8/Xb0648wHYWvRgVUVv1Oeny9fvlj0rlQzaKGrFTIC&#10;sb7sXcXbEFyZZV62ygg/AacsFRtAIwKluMlqFD2hmy6bTadvsh6wdghSeU+nq7HI94j4HEBoGi3V&#10;CuTWKBtGVFSdCCTJt9p5vkxsm0bJ8LFpvAqsqzgpDelLj1C8jt9suRDlBoVrtdxTEM+h8ESTEdrS&#10;oweolQiCbVH/A2W0RPDQhIkEk41CkiOkIp8+8ea2FU4lLWS1dwfT/f+DlR92N8h0XfHXZIkVhib+&#10;5/vP379+sCJP9vTOl9R1624wCvTuGuQXzyxctsJu1AUi9K0SNZHKo53Zowsx8XSVrfv3UBO42AZI&#10;Tg0NmghIHrAhDeTuMBA1BCbp8HQ+K86Il6TSybTI54lRJsr7yw59eKvAsBhUHGneCVzsrn2IZER5&#10;3xLfsnCluy7NvLOPDqgxniTykW9cIF+GYT1QdwzXUN+RDIRxhegHoqAF/MZZT+tTcf91K1Bx1r2z&#10;ZMU8L4q4bykpTk5nlOBxZX1cEVYSVMUDZ2N4GcYd3TrUm5ZeypMsCxdkX6OTtAdWe960Iknxfp3j&#10;Dh7nqevhF1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8okvDXAAAACAEAAA8AAAAAAAAAAQAg&#10;AAAAIgAAAGRycy9kb3ducmV2LnhtbFBLAQIUABQAAAAIAIdO4kBiHVbxDwIAAAoEAAAOAAAAAAAA&#10;AAEAIAAAACYBAABkcnMvZTJvRG9jLnhtbFBLBQYAAAAABgAGAFkBAACn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v:textbox>
                    </v:rect>
                  </w:pict>
                </mc:Fallback>
              </mc:AlternateContent>
            </w:r>
          </w:p>
        </w:tc>
        <w:tc>
          <w:tcPr>
            <w:tcW w:w="5244" w:type="dxa"/>
            <w:gridSpan w:val="5"/>
            <w:vAlign w:val="center"/>
          </w:tcPr>
          <w:p>
            <w:pPr>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进口（DW002-1）</w:t>
            </w:r>
          </w:p>
        </w:tc>
        <w:tc>
          <w:tcPr>
            <w:tcW w:w="5245" w:type="dxa"/>
            <w:gridSpan w:val="5"/>
            <w:vAlign w:val="center"/>
          </w:tcPr>
          <w:p>
            <w:pPr>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出口（DW002-2）</w:t>
            </w:r>
          </w:p>
        </w:tc>
        <w:tc>
          <w:tcPr>
            <w:tcW w:w="1843"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《污水综合排放标准》</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8978-1996）</w:t>
            </w:r>
          </w:p>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表4 三级</w:t>
            </w:r>
          </w:p>
        </w:tc>
        <w:tc>
          <w:tcPr>
            <w:tcW w:w="567" w:type="dxa"/>
            <w:vMerge w:val="restart"/>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jc w:val="center"/>
        </w:trPr>
        <w:tc>
          <w:tcPr>
            <w:tcW w:w="2013" w:type="dxa"/>
            <w:vMerge w:val="continue"/>
            <w:vAlign w:val="center"/>
          </w:tcPr>
          <w:p>
            <w:pPr>
              <w:widowControl/>
              <w:adjustRightInd w:val="0"/>
              <w:snapToGrid w:val="0"/>
              <w:ind w:firstLine="180" w:firstLineChars="100"/>
              <w:rPr>
                <w:rFonts w:hint="default" w:ascii="Times New Roman" w:hAnsi="Times New Roman" w:cs="Times New Roman"/>
                <w:bCs/>
                <w:kern w:val="0"/>
                <w:sz w:val="18"/>
                <w:szCs w:val="18"/>
              </w:rPr>
            </w:pP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20231202aDW002-1-01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20231202aDW002-1-02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20231202aDW002-1-03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20231202aDW002-1-04</w:t>
            </w:r>
          </w:p>
        </w:tc>
        <w:tc>
          <w:tcPr>
            <w:tcW w:w="1049"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20231202aDW002-2-01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20231202aDW002-2-02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20231202aDW002-2-03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20231202aDW002-20-04</w:t>
            </w:r>
          </w:p>
        </w:tc>
        <w:tc>
          <w:tcPr>
            <w:tcW w:w="1049"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567"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jc w:val="center"/>
        </w:trPr>
        <w:tc>
          <w:tcPr>
            <w:tcW w:w="2013" w:type="dxa"/>
            <w:vMerge w:val="continue"/>
            <w:vAlign w:val="center"/>
          </w:tcPr>
          <w:p>
            <w:pPr>
              <w:widowControl/>
              <w:adjustRightInd w:val="0"/>
              <w:snapToGrid w:val="0"/>
              <w:jc w:val="center"/>
              <w:rPr>
                <w:rFonts w:hint="default" w:ascii="Times New Roman" w:hAnsi="Times New Roman" w:cs="Times New Roman"/>
                <w:sz w:val="18"/>
              </w:rPr>
            </w:pP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浅黑、浑浊</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浅黑、浑浊</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浅黑、浑浊</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浅黑、浑浊</w:t>
            </w:r>
          </w:p>
        </w:tc>
        <w:tc>
          <w:tcPr>
            <w:tcW w:w="1049"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无色、微浊</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无色、微浊</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无色、微浊</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无色、微浊</w:t>
            </w:r>
          </w:p>
        </w:tc>
        <w:tc>
          <w:tcPr>
            <w:tcW w:w="1049"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84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567"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pH（无量纲）</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7.8（3.2℃）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7.8（3.0℃）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7.8（2.8℃）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7.9（2.6℃）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7.8-7.9</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7.0（1.2℃）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7.0（1.1℃）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7.0（1.3℃）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7.0（1.4℃）</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7.0</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6-9</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悬浮物（mg/L）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69</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64</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14</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400</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五日生化需氧量（mg/L）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98.0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82.6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88.4</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90.8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90.0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56.0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58.0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58.0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55.2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56.8</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300</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化学需氧量（mg/L）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328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337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316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346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332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213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222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211</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500</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石油类（mg/L）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3.75</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3.67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3.61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3.89</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3.73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0.29</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0.40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0.18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0.312</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氨氮（mg/L）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9.41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10.4</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6.78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7.62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8.13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7.97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7.62</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35*</w:t>
            </w:r>
            <w:r>
              <w:rPr>
                <w:rFonts w:hint="default" w:ascii="Times New Roman" w:hAnsi="Times New Roman" w:cs="Times New Roman"/>
                <w:bCs/>
                <w:kern w:val="0"/>
                <w:sz w:val="18"/>
                <w:szCs w:val="18"/>
                <w:vertAlign w:val="superscript"/>
              </w:rPr>
              <w:t>1</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总磷（mg/L）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1.04</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0.95</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0.92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1.05</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0.34</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0.32</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w:t>
            </w:r>
            <w:r>
              <w:rPr>
                <w:rFonts w:hint="default" w:ascii="Times New Roman" w:hAnsi="Times New Roman" w:cs="Times New Roman"/>
                <w:bCs/>
                <w:kern w:val="0"/>
                <w:sz w:val="18"/>
                <w:szCs w:val="18"/>
                <w:vertAlign w:val="superscript"/>
              </w:rPr>
              <w:t>1</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阴离子表面活性剂（mg/L）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5.67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5.52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5.68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5.56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5.61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2.29</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2.21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2.27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2.22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2.25</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899" w:type="dxa"/>
            <w:gridSpan w:val="12"/>
            <w:vAlign w:val="center"/>
          </w:tcPr>
          <w:p>
            <w:pPr>
              <w:widowControl/>
              <w:adjustRightInd w:val="0"/>
              <w:snapToGrid w:val="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w:t>
            </w:r>
            <w:r>
              <w:rPr>
                <w:rFonts w:hint="default" w:ascii="Times New Roman" w:hAnsi="Times New Roman" w:cs="Times New Roman"/>
                <w:bCs/>
                <w:kern w:val="0"/>
                <w:sz w:val="18"/>
                <w:szCs w:val="18"/>
                <w:vertAlign w:val="superscript"/>
              </w:rPr>
              <w:t>1</w:t>
            </w:r>
            <w:r>
              <w:rPr>
                <w:rFonts w:hint="default" w:ascii="Times New Roman" w:hAnsi="Times New Roman" w:cs="Times New Roman"/>
                <w:bCs/>
                <w:kern w:val="0"/>
                <w:sz w:val="18"/>
                <w:szCs w:val="18"/>
              </w:rPr>
              <w:t>”表示氨氮、总磷纳管执行《工业企业废水氮、磷污染物间接排放限值》（DB33/ 887-2013）表 1 中其他企业的排放限值。</w:t>
            </w:r>
          </w:p>
        </w:tc>
      </w:tr>
    </w:tbl>
    <w:p>
      <w:pPr>
        <w:spacing w:line="240" w:lineRule="auto"/>
        <w:ind w:firstLine="480" w:firstLineChars="200"/>
        <w:jc w:val="left"/>
        <w:rPr>
          <w:rFonts w:hint="eastAsia" w:ascii="Times New Roman" w:hAnsi="Times New Roman"/>
          <w:sz w:val="24"/>
          <w:szCs w:val="24"/>
          <w:lang w:val="en-US" w:eastAsia="zh-CN"/>
        </w:rPr>
      </w:pPr>
    </w:p>
    <w:p>
      <w:pPr>
        <w:snapToGrid w:val="0"/>
        <w:spacing w:before="163" w:beforeLines="50"/>
        <w:jc w:val="center"/>
        <w:rPr>
          <w:rFonts w:ascii="Times New Roman" w:hAnsi="Times New Roman"/>
          <w:b/>
          <w:bCs/>
          <w:szCs w:val="21"/>
        </w:rPr>
      </w:pPr>
    </w:p>
    <w:p>
      <w:pPr>
        <w:snapToGrid w:val="0"/>
        <w:spacing w:before="163" w:beforeLines="50"/>
        <w:jc w:val="center"/>
        <w:rPr>
          <w:rFonts w:hint="eastAsia" w:ascii="Times New Roman" w:hAnsi="Times New Roman"/>
          <w:b/>
          <w:bCs/>
          <w:szCs w:val="21"/>
        </w:rPr>
      </w:pPr>
      <w:r>
        <w:rPr>
          <w:rFonts w:ascii="Times New Roman" w:hAnsi="Times New Roman"/>
          <w:b/>
          <w:bCs/>
          <w:szCs w:val="21"/>
        </w:rPr>
        <w:t>表</w:t>
      </w:r>
      <w:r>
        <w:rPr>
          <w:rFonts w:hint="eastAsia" w:ascii="Times New Roman" w:hAnsi="Times New Roman"/>
          <w:b/>
          <w:bCs/>
          <w:szCs w:val="21"/>
        </w:rPr>
        <w:t>9.2</w:t>
      </w:r>
      <w:r>
        <w:rPr>
          <w:rFonts w:ascii="Times New Roman" w:hAnsi="Times New Roman"/>
          <w:b/>
          <w:bCs/>
          <w:szCs w:val="21"/>
        </w:rPr>
        <w:t>.1-</w:t>
      </w:r>
      <w:r>
        <w:rPr>
          <w:rFonts w:hint="eastAsia" w:ascii="Times New Roman" w:hAnsi="Times New Roman"/>
          <w:b/>
          <w:bCs/>
          <w:szCs w:val="21"/>
          <w:lang w:val="en-US" w:eastAsia="zh-CN"/>
        </w:rPr>
        <w:t>3</w:t>
      </w:r>
      <w:r>
        <w:rPr>
          <w:rFonts w:hint="eastAsia" w:ascii="Times New Roman" w:hAnsi="Times New Roman"/>
          <w:b/>
          <w:bCs/>
          <w:szCs w:val="21"/>
        </w:rPr>
        <w:t>废水监测结果（</w:t>
      </w:r>
      <w:r>
        <w:rPr>
          <w:rFonts w:hint="eastAsia" w:ascii="Times New Roman" w:hAnsi="Times New Roman"/>
          <w:b/>
          <w:bCs/>
          <w:szCs w:val="21"/>
          <w:lang w:val="en-US" w:eastAsia="zh-CN"/>
        </w:rPr>
        <w:t>3</w:t>
      </w:r>
      <w:r>
        <w:rPr>
          <w:rFonts w:hint="eastAsia" w:ascii="Times New Roman" w:hAnsi="Times New Roman"/>
          <w:b/>
          <w:bCs/>
          <w:szCs w:val="21"/>
        </w:rPr>
        <w:t>）</w:t>
      </w:r>
    </w:p>
    <w:tbl>
      <w:tblPr>
        <w:tblStyle w:val="31"/>
        <w:tblW w:w="14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899" w:type="dxa"/>
            <w:gridSpan w:val="12"/>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899" w:type="dxa"/>
            <w:gridSpan w:val="12"/>
            <w:vAlign w:val="center"/>
          </w:tcPr>
          <w:p>
            <w:pPr>
              <w:widowControl/>
              <w:adjustRightInd w:val="0"/>
              <w:snapToGrid w:val="0"/>
              <w:rPr>
                <w:rFonts w:hint="default" w:ascii="Times New Roman" w:hAnsi="Times New Roman" w:cs="Times New Roman" w:eastAsiaTheme="minorEastAsia"/>
                <w:bCs/>
                <w:kern w:val="0"/>
                <w:sz w:val="18"/>
                <w:szCs w:val="18"/>
                <w:highlight w:val="yellow"/>
                <w:lang w:val="en-US" w:eastAsia="zh-CN" w:bidi="ar-SA"/>
              </w:rPr>
            </w:pPr>
            <w:r>
              <w:rPr>
                <w:rFonts w:hint="default" w:ascii="Times New Roman" w:hAnsi="Times New Roman" w:cs="Times New Roman"/>
                <w:bCs/>
                <w:kern w:val="0"/>
                <w:sz w:val="18"/>
                <w:szCs w:val="18"/>
              </w:rPr>
              <w:t>2023年12月22日-28日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899" w:type="dxa"/>
            <w:gridSpan w:val="12"/>
            <w:vAlign w:val="center"/>
          </w:tcPr>
          <w:p>
            <w:pP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废水处理设施DW002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Merge w:val="restart"/>
            <w:vAlign w:val="center"/>
          </w:tcPr>
          <w:p>
            <w:pPr>
              <w:widowControl/>
              <w:adjustRightInd w:val="0"/>
              <w:snapToGrid w:val="0"/>
              <w:jc w:val="center"/>
              <w:rPr>
                <w:rFonts w:hint="default" w:ascii="Times New Roman" w:hAnsi="Times New Roman" w:cs="Times New Roman"/>
                <w:sz w:val="18"/>
              </w:rPr>
            </w:pPr>
            <w:r>
              <w:rPr>
                <w:rFonts w:hint="default" w:ascii="Times New Roman" w:hAnsi="Times New Roman" w:cs="Times New Roman"/>
                <w:b/>
                <w:bCs/>
                <w:kern w:val="0"/>
                <w:szCs w:val="21"/>
              </w:rPr>
              <mc:AlternateContent>
                <mc:Choice Requires="wps">
                  <w:drawing>
                    <wp:anchor distT="0" distB="0" distL="114300" distR="114300" simplePos="0" relativeHeight="251700224" behindDoc="0" locked="0" layoutInCell="1" allowOverlap="1">
                      <wp:simplePos x="0" y="0"/>
                      <wp:positionH relativeFrom="column">
                        <wp:posOffset>899795</wp:posOffset>
                      </wp:positionH>
                      <wp:positionV relativeFrom="paragraph">
                        <wp:posOffset>1905</wp:posOffset>
                      </wp:positionV>
                      <wp:extent cx="449580" cy="387350"/>
                      <wp:effectExtent l="0" t="0" r="0" b="0"/>
                      <wp:wrapNone/>
                      <wp:docPr id="31"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样品</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70.85pt;margin-top:0.15pt;height:30.5pt;width:35.4pt;z-index:251700224;mso-width-relative:page;mso-height-relative:page;" filled="f" stroked="f" coordsize="21600,21600" o:gfxdata="UEsDBAoAAAAAAIdO4kAAAAAAAAAAAAAAAAAEAAAAZHJzL1BLAwQUAAAACACHTuJAbQp0ZdcAAAAH&#10;AQAADwAAAGRycy9kb3ducmV2LnhtbE2OwU7DMBBE70j8g7VIXBB1nEJBIU4PlRAVQqpIoWc3XpKI&#10;eJ3GblL+nu0JjqMZvXn58uQ6MeIQWk8a1CwBgVR521Kt4WP7fPsIIkRD1nSeUMMPBlgWlxe5yayf&#10;6B3HMtaCIRQyo6GJsc+kDFWDzoSZ75G4+/KDM5HjUEs7mInhrpNpkiykMy3xQ2N6XDVYfZdHp2Gq&#10;NuNu+/YiNze7tafD+rAqP1+1vr5SyROIiKf4N4azPqtDwU57fyQbRMf5Tj3wVMMcBNepSu9B7DUs&#10;1Bxkkcv//sUvUEsDBBQAAAAIAIdO4kDBU/pFEAIAAAoEAAAOAAAAZHJzL2Uyb0RvYy54bWytU0tu&#10;2zAQ3RfoHQjua1n+JI5gOQhipCiQtgHSHoCmKIuoxGGHtCX3MgW6yyF6nKLX6JBSXCfdZNENweEM&#10;H997M1xedk3N9gqdBpPzdDTmTBkJhTbbnH/+dPNmwZnzwhSiBqNyflCOX65ev1q2NlMTqKAuFDIC&#10;MS5rbc4r722WJE5WqhFuBFYZSpaAjfAU4jYpULSE3tTJZDw+S1rAwiJI5RydrvskHxDxJYBQllqq&#10;Nchdo4zvUVHVwpMkV2nr+CqyLUsl/ceydMqzOuek1MeVHqH9JqzJaimyLQpbaTlQEC+h8ExTI7Sh&#10;R49Qa+EF26H+B6rREsFB6UcSmqQXEh0hFen4mTf3lbAqaiGrnT2a7v4frPywv0Omi5xPU86MaKjj&#10;v78//Pr5g52l02BPa11GVff2DoNAZ29BfnHMwHUlzFZdIUJbKVEQqTTUJ08uhMDRVbZp30NB4GLn&#10;ITrVldgEQPKAdbEhh2NDVOeZpMPZ7GK+oFZJSk0X59N5bFgissfLFp1/q6BhYZNzpH5HcLG/dT6Q&#10;EdljSXjLwI2u69jz2jw5oMJwEskHvr1u3226wYINFAeSgdCPEH0g2lSA3zhraXxy7r7uBCrO6neG&#10;rLhIZ7MwbzGYzc8nFOBpZnOaEUYSVM49Z/322vczurOotxW9lEZZBq7IvlJHacHantXAm0YkKh7G&#10;OczgaRyr/n7h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CnRl1wAAAAcBAAAPAAAAAAAAAAEA&#10;IAAAACIAAABkcnMvZG93bnJldi54bWxQSwECFAAUAAAACACHTuJAwVP6RRACAAAKBAAADgAAAAAA&#10;AAABACAAAAAmAQAAZHJzL2Uyb0RvYy54bWxQSwUGAAAAAAYABgBZAQAAqAU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样品</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编号</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05344" behindDoc="0" locked="0" layoutInCell="1" allowOverlap="1">
                      <wp:simplePos x="0" y="0"/>
                      <wp:positionH relativeFrom="column">
                        <wp:posOffset>-5715</wp:posOffset>
                      </wp:positionH>
                      <wp:positionV relativeFrom="paragraph">
                        <wp:posOffset>20320</wp:posOffset>
                      </wp:positionV>
                      <wp:extent cx="571500" cy="1047750"/>
                      <wp:effectExtent l="4445" t="2540" r="14605" b="16510"/>
                      <wp:wrapNone/>
                      <wp:docPr id="33"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0.45pt;margin-top:1.6pt;height:82.5pt;width:45pt;z-index:251705344;mso-width-relative:page;mso-height-relative:page;" filled="f" stroked="t" coordsize="21600,21600" o:gfxdata="UEsDBAoAAAAAAIdO4kAAAAAAAAAAAAAAAAAEAAAAZHJzL1BLAwQUAAAACACHTuJAy56JSdUAAAAG&#10;AQAADwAAAGRycy9kb3ducmV2LnhtbE2OwU7DMBBE70j8g7WVekGtnSCqJMSpEBIHjrSVuLrxkoTG&#10;6yh2mrZfz3KC42ieZl65vbhenHEMnScNyVqBQKq97ajRcNi/rTIQIRqypveEGq4YYFvd35WmsH6m&#10;DzzvYiN4hEJhNLQxDoWUoW7RmbD2AxJ3X350JnIcG2lHM/O462Wq1EY60xE/tGbA1xbr025yGjBM&#10;T4l6yV1zeL/ND5/p7Xse9lovF4l6BhHxEv9g+NVndajY6egnskH0GlY5gxoeUxDcZnkC4sjUJktB&#10;VqX8r1/9AFBLAwQUAAAACACHTuJA45SbGfcBAAC+AwAADgAAAGRycy9lMm9Eb2MueG1srVPNjtMw&#10;EL4j8Q6W7zRJd0sharqHVstlgZV2eQDXcRILx2N53Ka9cUM8AzeOvMPyNivBWzB2f1iWyx7IwfJ4&#10;Zr6Z75vJ7GLbG7ZRHjXYihejnDNlJdTathX/cHv54hVnGISthQGrKr5TyC/mz5/NBleqMXRgauUZ&#10;gVgsB1fxLgRXZhnKTvUCR+CUJWcDvheBTN9mtRcDofcmG+f5y2wAXzsPUiHS63Lv5AdE/xRAaBot&#10;1RLkulc27FG9MiIQJey0Qz5P3TaNkuF906AKzFScmIZ0UhG6r+KZzWeibL1wnZaHFsRTWnjEqRfa&#10;UtET1FIEwdZe/wPVa+kBoQkjCX22J5IUIRZF/kibm044lbiQ1OhOouP/g5XvNtee6briZ2ecWdHT&#10;xH9+/v7r05f7rz/u776xohifR5UGhyUFL+y1jzzl1t64K5AfkVlYdMK2KnV7u3OEUMSM7K+UaKCj&#10;WqvhLdQUI9YBkmTbxvcRksRg2zSZ3WkyahuYpMfJtJjkNDNJriI/n04naXSZKI/ZzmN4o6Bn8VJx&#10;DF7otgsLsJaWAHyRaonNFYbYmyiPCbG0hUttTNoFY9lQ8deT8SQlIBhdR2cMQ9+uFsazjYjblL5E&#10;lDwPwzysbb0vYuxBh0h9L+IK6t21P+pDY03dHFYw7s1DO2X/+e3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nolJ1QAAAAYBAAAPAAAAAAAAAAEAIAAAACIAAABkcnMvZG93bnJldi54bWxQSwEC&#10;FAAUAAAACACHTuJA45SbGfcBAAC+AwAADgAAAAAAAAABACAAAAAk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04320" behindDoc="0" locked="0" layoutInCell="1" allowOverlap="1">
                      <wp:simplePos x="0" y="0"/>
                      <wp:positionH relativeFrom="column">
                        <wp:posOffset>-11430</wp:posOffset>
                      </wp:positionH>
                      <wp:positionV relativeFrom="paragraph">
                        <wp:posOffset>8890</wp:posOffset>
                      </wp:positionV>
                      <wp:extent cx="1285875" cy="1064895"/>
                      <wp:effectExtent l="3175" t="3810" r="6350" b="17145"/>
                      <wp:wrapNone/>
                      <wp:docPr id="34"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0.9pt;margin-top:0.7pt;height:83.85pt;width:101.25pt;z-index:251704320;mso-width-relative:page;mso-height-relative:page;" filled="f" stroked="t" coordsize="21600,21600" o:gfxdata="UEsDBAoAAAAAAIdO4kAAAAAAAAAAAAAAAAAEAAAAZHJzL1BLAwQUAAAACACHTuJACg66iNYAAAAI&#10;AQAADwAAAGRycy9kb3ducmV2LnhtbE2PwW7CMBBE75X4B2uReqnANmppCXEQQuqhxwJSryZekrTx&#10;OoodQvn6bk/tcXZWM2/yzdW34oJ9bAIZ0HMFAqkMrqHKwPHwOnsBEZMlZ9tAaOAbI2yKyV1uMxdG&#10;esfLPlWCQyhm1kCdUpdJGcsavY3z0CGxdw69t4llX0nX25HDfSsXSi2ltw1xQ2073NVYfu0HbwDj&#10;8KTVduWr49ttfPhY3D7H7mDM/VSrNYiE1/T3DL/4jA4FM53CQC6K1sBMM3ni+yMItrnsGcSJ9XKl&#10;QRa5/D+g+AFQSwMEFAAAAAgAh07iQFln5cf3AQAAvwMAAA4AAABkcnMvZTJvRG9jLnhtbK1TzW4T&#10;MRC+I/EOlu9ks2lT0lU2PSQqlwKRWh7A8Xp3Lbwea+xkkxs3xDNw48g7lLepBG/B2PmBlksP7MHy&#10;eGa+me+b2enVtjNso9BrsCXPB0POlJVQaduU/MPd9asJZz4IWwkDVpV8pzy/mr18Me1doUbQgqkU&#10;MgKxvuhdydsQXJFlXraqE34ATlly1oCdCGRik1UoekLvTDYaDi+yHrByCFJ5T6+LvZMfEPE5gFDX&#10;WqoFyHWnbNijojIiECXfauf5LHVb10qG93XtVWCm5MQ0pJOK0H0Vz2w2FUWDwrVaHloQz2nhCadO&#10;aEtFT1ALEQRbo/4HqtMSwUMdBhK6bE8kKUIs8uETbW5b4VTiQlJ7dxLd/z9Y+W6zRKarkp+dc2ZF&#10;RxP/+fn7r09fHr7+eLj/xvJ8dBZV6p0vKHhulxh5yq29dTcgP3pmYd4K26jU7d3OEUIeM7JHKdHw&#10;jmqt+rdQUYxYB0iSbWvsIiSJwbZpMrvTZNQ2MEmP+WgynrwecybJlw8vzieX41RDFMd0hz68UdCx&#10;eCm5Dyh004Y5WEtbAJinYmJz40NsThTHhFjbwrU2Ji2Dsawv+eV4NE4JHoyuojOGeWxWc4NsI+I6&#10;pe/QxaMwhLWt9kWMPQgRue9VXEG1W+JRIJpr6uawg3Fx/rZT9p//bv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g66iNYAAAAIAQAADwAAAAAAAAABACAAAAAiAAAAZHJzL2Rvd25yZXYueG1sUEsB&#10;AhQAFAAAAAgAh07iQFln5cf3AQAAvwMAAA4AAAAAAAAAAQAgAAAAJQEAAGRycy9lMm9Eb2MueG1s&#10;UEsFBgAAAAAGAAYAWQEAAI4FA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03296" behindDoc="0" locked="0" layoutInCell="1" allowOverlap="1">
                      <wp:simplePos x="0" y="0"/>
                      <wp:positionH relativeFrom="column">
                        <wp:posOffset>-19050</wp:posOffset>
                      </wp:positionH>
                      <wp:positionV relativeFrom="paragraph">
                        <wp:posOffset>7620</wp:posOffset>
                      </wp:positionV>
                      <wp:extent cx="1276350" cy="426720"/>
                      <wp:effectExtent l="1270" t="4445" r="17780" b="6985"/>
                      <wp:wrapNone/>
                      <wp:docPr id="35"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1.5pt;margin-top:0.6pt;height:33.6pt;width:100.5pt;z-index:251703296;mso-width-relative:page;mso-height-relative:page;" filled="f" stroked="t" coordsize="21600,21600" o:gfxdata="UEsDBAoAAAAAAIdO4kAAAAAAAAAAAAAAAAAEAAAAZHJzL1BLAwQUAAAACACHTuJAPV8bbNYAAAAH&#10;AQAADwAAAGRycy9kb3ducmV2LnhtbE2PzU7DMBCE70i8g7WVuKDWToAqDXEqhMSBY38krm68JKHx&#10;OoqdpvTpuz3BcXZWM98U67PrxAmH0HrSkCwUCKTK25ZqDfvdxzwDEaIhazpPqOEXA6zL+7vC5NZP&#10;tMHTNtaCQyjkRkMTY59LGaoGnQkL3yOx9+0HZyLLoZZ2MBOHu06mSi2lMy1xQ2N6fG+wOm5HpwHD&#10;+JKot5Wr95+X6fErvfxM/U7rh1miXkFEPMe/Z7jhMzqUzHTwI9kgOg3zJ54S+Z6CuNmrjPVBwzJ7&#10;BlkW8j9/eQVQSwMEFAAAAAgAh07iQJA0gdf2AQAAvgMAAA4AAABkcnMvZTJvRG9jLnhtbK1TzY7T&#10;MBC+I/EOlu80TZZ2IWq6h1bLZYGVdnkA13ESC8djedymvXFDPAM3jrzD8jYrwVswdn9YlsseyMHy&#10;eGa+me+byexi2xu2UR412IrnozFnykqotW0r/uH28sUrzjAIWwsDVlV8p5BfzJ8/mw2uVAV0YGrl&#10;GYFYLAdX8S4EV2YZyk71AkfglCVnA74XgUzfZrUXA6H3JivG42k2gK+dB6kQ6XW5d/IDon8KIDSN&#10;lmoJct0rG/aoXhkRiBJ22iGfp26bRsnwvmlQBWYqTkxDOqkI3VfxzOYzUbZeuE7LQwviKS084tQL&#10;banoCWopgmBrr/+B6rX0gNCEkYQ+2xNJihCLfPxIm5tOOJW4kNToTqLj/4OV7zbXnum64mcTzqzo&#10;aeI/P3//9enL/dcf93ffWJ4XRVRpcFhS8MJe+8hTbu2NuwL5EZmFRSdsq1K3tztHCHnMyP5KiQY6&#10;qrUa3kJNMWIdIEm2bXwfIUkMtk2T2Z0mo7aBSXrMi/Pp2YSGJsn3spieF2l0mSiP2c5jeKOgZ/FS&#10;cQxe6LYLC7CWlgB8nmqJzRWG2JsojwmxtIVLbUzaBWPZUPHXk2KSEhCMrqMzhqFvVwvj2UbEbUpf&#10;Ikqeh2Ee1rbeFzH2oEOkvhdxBfXu2h/1obGmbg4rGPfmoZ2y//x28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9Xxts1gAAAAcBAAAPAAAAAAAAAAEAIAAAACIAAABkcnMvZG93bnJldi54bWxQSwEC&#10;FAAUAAAACACHTuJAkDSB1/YBAAC+AwAADgAAAAAAAAABACAAAAAl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pPr>
              <w:widowControl/>
              <w:adjustRightInd w:val="0"/>
              <w:snapToGrid w:val="0"/>
              <w:jc w:val="center"/>
              <w:rPr>
                <w:rFonts w:hint="default" w:ascii="Times New Roman" w:hAnsi="Times New Roman" w:cs="Times New Roman"/>
                <w:bCs/>
                <w:kern w:val="0"/>
                <w:sz w:val="18"/>
                <w:szCs w:val="18"/>
              </w:rPr>
            </w:pP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               </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02272" behindDoc="0" locked="0" layoutInCell="1" allowOverlap="1">
                      <wp:simplePos x="0" y="0"/>
                      <wp:positionH relativeFrom="column">
                        <wp:posOffset>882015</wp:posOffset>
                      </wp:positionH>
                      <wp:positionV relativeFrom="paragraph">
                        <wp:posOffset>8255</wp:posOffset>
                      </wp:positionV>
                      <wp:extent cx="482600" cy="396875"/>
                      <wp:effectExtent l="0" t="0" r="0" b="0"/>
                      <wp:wrapNone/>
                      <wp:docPr id="36"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样品</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9.45pt;margin-top:0.65pt;height:31.25pt;width:38pt;z-index:251702272;mso-width-relative:page;mso-height-relative:page;" filled="f" stroked="f" coordsize="21600,21600" o:gfxdata="UEsDBAoAAAAAAIdO4kAAAAAAAAAAAAAAAAAEAAAAZHJzL1BLAwQUAAAACACHTuJAiWRcZ9gAAAAI&#10;AQAADwAAAGRycy9kb3ducmV2LnhtbE2PQWvCQBCF70L/wzJCL1I30SJpmo0HoVRKQRpbz2t2mgSz&#10;szG7Jvbfdzy1t/l4jzfvZeurbcWAvW8cKYjnEQik0pmGKgWf+5eHBIQPmoxuHaGCH/Swzu8mmU6N&#10;G+kDhyJUgkPIp1pBHUKXSunLGq32c9chsfbteqsDY19J0+uRw20rF1G0klY3xB9q3eGmxvJUXKyC&#10;sdwNh/37q9zNDltH5+15U3y9KXU/jaNnEAGv4c8Mt/pcHXLudHQXMl60zMvkia23AwTri/iR+ahg&#10;tUxA5pn8PyD/BVBLAwQUAAAACACHTuJAFdTHLhACAAAKBAAADgAAAGRycy9lMm9Eb2MueG1srVPB&#10;bhMxEL0j8Q+W72SzaZqmq2yqqlERUoFKhQ9wvN6sxdpjxk52y88gcetH8DmI32DsTUNaLj1wsTye&#10;8fN7b8aLi960bKfQa7Alz0djzpSVUGm7KfnnT9dv5pz5IGwlWrCq5PfK84vl61eLzhVqAg20lUJG&#10;INYXnSt5E4IrsszLRhnhR+CUpWQNaESgEDdZhaIjdNNmk/F4lnWAlUOQyns6XQ1JvkfElwBCXWup&#10;ViC3RtkwoKJqRSBJvtHO82ViW9dKho917VVgbclJaUgrPUL7dVyz5UIUGxSu0XJPQbyEwjNNRmhL&#10;jx6gViIItkX9D5TREsFDHUYSTDYISY6Qinz8zJu7RjiVtJDV3h1M9/8PVn7Y3SLTVclPZpxZYajj&#10;v78//Pr5g83y02hP53xBVXfuFqNA725AfvHMwlUj7EZdIkLXKFERqTzWZ08uxMDTVbbu3kNF4GIb&#10;IDnV12giIHnA+tSQ+0NDVB+YpMPpfDIbU6skpU7OZ/OzxCgTxeNlhz68VWBY3JQcqd8JXOxufIhk&#10;RPFYEt+ycK3bNvW8tU8OqDCeJPKR76A79Ot+b8EaqnuSgTCMEH0g2jSA3zjraHxK7r9uBSrO2neW&#10;rDjPp9M4bymYnp5NKMDjzPo4I6wkqJIHzobtVRhmdOtQbxp6KU+yLFySfbVO0qK1A6s9bxqRpHg/&#10;znEGj+NU9fcL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WRcZ9gAAAAIAQAADwAAAAAAAAAB&#10;ACAAAAAiAAAAZHJzL2Rvd25yZXYueG1sUEsBAhQAFAAAAAgAh07iQBXUxy4QAgAACgQAAA4AAAAA&#10;AAAAAQAgAAAAJwEAAGRycy9lMm9Eb2MueG1sUEsFBgAAAAAGAAYAWQEAAKkFA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样品</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性状</w:t>
                            </w:r>
                          </w:p>
                        </w:txbxContent>
                      </v:textbox>
                    </v:rect>
                  </w:pict>
                </mc:Fallback>
              </mc:AlternateContent>
            </w:r>
            <w:r>
              <w:rPr>
                <w:rFonts w:hint="default" w:ascii="Times New Roman" w:hAnsi="Times New Roman" w:cs="Times New Roman"/>
                <w:bCs/>
                <w:kern w:val="0"/>
                <w:sz w:val="18"/>
                <w:szCs w:val="18"/>
              </w:rPr>
              <w:t xml:space="preserve">       </w:t>
            </w:r>
          </w:p>
          <w:p>
            <w:pPr>
              <w:adjustRightInd w:val="0"/>
              <w:snapToGrid w:val="0"/>
              <w:ind w:firstLine="211" w:firstLineChars="100"/>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01248" behindDoc="0" locked="0" layoutInCell="1" allowOverlap="1">
                      <wp:simplePos x="0" y="0"/>
                      <wp:positionH relativeFrom="column">
                        <wp:posOffset>508000</wp:posOffset>
                      </wp:positionH>
                      <wp:positionV relativeFrom="paragraph">
                        <wp:posOffset>142240</wp:posOffset>
                      </wp:positionV>
                      <wp:extent cx="792480" cy="427990"/>
                      <wp:effectExtent l="0" t="0" r="0" b="0"/>
                      <wp:wrapNone/>
                      <wp:docPr id="37"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40pt;margin-top:11.2pt;height:33.7pt;width:62.4pt;z-index:251701248;mso-width-relative:page;mso-height-relative:page;" filled="f" stroked="f" coordsize="21600,21600" o:gfxdata="UEsDBAoAAAAAAIdO4kAAAAAAAAAAAAAAAAAEAAAAZHJzL1BLAwQUAAAACACHTuJAiIrDJNgAAAAI&#10;AQAADwAAAGRycy9kb3ducmV2LnhtbE2PQUvDQBCF74L/YRnBi7S7DUVimk0PBbGIUEy15212TILZ&#10;2TS7Teq/dzzV4/AN730vX19cJ0YcQutJw2KuQCBV3rZUa/jYP89SECEasqbzhBp+MMC6uL3JTWb9&#10;RO84lrEWHEIhMxqaGPtMylA16EyY+x6J2ZcfnIl8DrW0g5k43HUyUepROtMSNzSmx02D1Xd5dhqm&#10;ajce9m8vcvdw2Ho6bU+b8vNV6/u7hVqBiHiJ12f402d1KNjp6M9kg+g0pIqnRA1JsgTBPFFLnnJk&#10;8JSCLHL5f0DxC1BLAwQUAAAACACHTuJAmywiExACAAAKBAAADgAAAGRycy9lMm9Eb2MueG1srVNB&#10;btswELwX6B8I3mtZrhrHguUgiJGiQNoGSPsAmqIsohKXXdKW3M8U6C2P6HOKfqNLSnGd9JJDLwSX&#10;uxzOzC6XF33bsL1Cp8EUPJ1MOVNGQqnNtuCfP12/OufMeWFK0YBRBT8oxy9WL18sO5urGdTQlAoZ&#10;gRiXd7bgtfc2TxIna9UKNwGrDCUrwFZ4CnGblCg6Qm+bZDadniUdYGkRpHKOTtdDko+I+BxAqCot&#10;1RrkrlXGD6ioGuFJkqu1dXwV2VaVkv5jVTnlWVNwUurjSo/QfhPWZLUU+RaFrbUcKYjnUHiiqRXa&#10;0KNHqLXwgu1Q/wPVaongoPITCW0yCImOkIp0+sSbu1pYFbWQ1c4eTXf/D1Z+2N8i02XBX885M6Kl&#10;jv/+fv/r5w92lmbBns66nKru7C0Ggc7egPzimIGrWpitukSErlaiJFJpqE8eXQiBo6ts072HksDF&#10;zkN0qq+wDYDkAetjQw7HhqjeM0mH88UsO6dWSUpls/liERuWiPzhskXn3ypoWdgUHKnfEVzsb5wP&#10;ZET+UBLeMnCtmyb2vDGPDqgwnETyge+g2/ebfrRgA+WBZCAMI0QfiDY14DfOOhqfgruvO4GKs+ad&#10;ISsWaZaFeYtB9mY+owBPM5vTjDCSoAruORu2V36Y0Z1Fva3ppTTKMnBJ9lU6SgvWDqxG3jQiUfE4&#10;zmEGT+NY9fcLr/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IrDJNgAAAAIAQAADwAAAAAAAAAB&#10;ACAAAAAiAAAAZHJzL2Rvd25yZXYueG1sUEsBAhQAFAAAAAgAh07iQJssIhMQAgAACgQAAA4AAAAA&#10;AAAAAQAgAAAAJwEAAGRycy9lMm9Eb2MueG1sUEsFBgAAAAAGAAYAWQEAAKkFA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99200" behindDoc="0" locked="0" layoutInCell="1" allowOverlap="1">
                      <wp:simplePos x="0" y="0"/>
                      <wp:positionH relativeFrom="column">
                        <wp:posOffset>-30480</wp:posOffset>
                      </wp:positionH>
                      <wp:positionV relativeFrom="paragraph">
                        <wp:posOffset>123190</wp:posOffset>
                      </wp:positionV>
                      <wp:extent cx="792480" cy="504190"/>
                      <wp:effectExtent l="0" t="0" r="0" b="0"/>
                      <wp:wrapNone/>
                      <wp:docPr id="38"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2.4pt;margin-top:9.7pt;height:39.7pt;width:62.4pt;z-index:251699200;mso-width-relative:page;mso-height-relative:page;" filled="f" stroked="f" coordsize="21600,21600" o:gfxdata="UEsDBAoAAAAAAIdO4kAAAAAAAAAAAAAAAAAEAAAAZHJzL1BLAwQUAAAACACHTuJAjyiS8NcAAAAI&#10;AQAADwAAAGRycy9kb3ducmV2LnhtbE2PQWvCQBCF7wX/wzJCL0U3FikxzcaDIEopSGPrec2OSTA7&#10;G7NrYv99x5M9vnnDe99LlzfbiB47XztSMJtGIJAKZ2oqFXzv15MYhA+ajG4coYJf9LDMRk+pTowb&#10;6Av7PJSCQ8gnWkEVQptI6YsKrfZT1yKxd3Kd1YFlV0rT6YHDbSNfo+hNWl0TN1S6xVWFxTm/WgVD&#10;sesP+8+N3L0cto4u28sq//lQ6nk8i95BBLyFxzPc8RkdMmY6uisZLxoFkzmTB74v5iDuPteBOCpY&#10;xDHILJX/B2R/UEsDBBQAAAAIAIdO4kCzZFbmDwIAAAoEAAAOAAAAZHJzL2Uyb0RvYy54bWytU0Fu&#10;2zAQvBfoHwjea1mu0sSC5SCIkaJA2gZI+wCaoiyiIpdd0pbSzxTorY/oc4p+o0vKcZz0kkMvwi53&#10;OZyZXS3OB9OxnUKvwVY8n0w5U1ZCre2m4p8/Xb0648wHYWvRgVUVv1Oeny9fvlj0rlQzaKGrFTIC&#10;sb7sXcXbEFyZZV62ygg/AacsFRtAIwKluMlqFD2hmy6bTadvsh6wdghSeU+nq7HI94j4HEBoGi3V&#10;CuTWKBtGVFSdCCTJt9p5vkxsm0bJ8LFpvAqsqzgpDelLj1C8jt9suRDlBoVrtdxTEM+h8ESTEdrS&#10;oweolQiCbVH/A2W0RPDQhIkEk41CkiOkIp8+8ea2FU4lLWS1dwfT/f+DlR92N8h0XfHXNHcrDE38&#10;z/efv3/9YEWe7OmdL6nr1t1gFOjdNcgvnlm4bIXdqAtE6FslaiKVRzuzRxdi4ukqW/fvoSZwsQ2Q&#10;nBoaNBGQPGBDGsjdYSBqCEzS4el8VpzRqCSVTqZFPk+MMlHeX3bow1sFhsWg4kjzTuBid+1DJCPK&#10;+5b4loUr3XVp5p19dECN8SSRj3zjAvkyDOuBumO4hvqOZCCMK0Q/EAUt4DfOelqfivuvW4GKs+6d&#10;JSvmeVHEfUtJcXI6owSPK+vjirCSoCoeOBvDyzDu6Nah3rT0Up5kWbgg+xqdpD2w2vOmFUmK9+sc&#10;d/A4T10Pv/Dy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8okvDXAAAACAEAAA8AAAAAAAAAAQAg&#10;AAAAIgAAAGRycy9kb3ducmV2LnhtbFBLAQIUABQAAAAIAIdO4kCzZFbmDwIAAAoEAAAOAAAAAAAA&#10;AAEAIAAAACYBAABkcnMvZTJvRG9jLnhtbFBLBQYAAAAABgAGAFkBAACn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v:textbox>
                    </v:rect>
                  </w:pict>
                </mc:Fallback>
              </mc:AlternateContent>
            </w:r>
          </w:p>
        </w:tc>
        <w:tc>
          <w:tcPr>
            <w:tcW w:w="5244" w:type="dxa"/>
            <w:gridSpan w:val="5"/>
            <w:vAlign w:val="center"/>
          </w:tcPr>
          <w:p>
            <w:pPr>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进口（DW002-1）</w:t>
            </w:r>
          </w:p>
        </w:tc>
        <w:tc>
          <w:tcPr>
            <w:tcW w:w="5245" w:type="dxa"/>
            <w:gridSpan w:val="5"/>
            <w:vAlign w:val="center"/>
          </w:tcPr>
          <w:p>
            <w:pPr>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出口（DW002-2）</w:t>
            </w:r>
          </w:p>
        </w:tc>
        <w:tc>
          <w:tcPr>
            <w:tcW w:w="1843"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《污水综合排放标准》</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（GB 8978-1996）</w:t>
            </w:r>
          </w:p>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表4 三级</w:t>
            </w:r>
          </w:p>
        </w:tc>
        <w:tc>
          <w:tcPr>
            <w:tcW w:w="567" w:type="dxa"/>
            <w:vMerge w:val="restart"/>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jc w:val="center"/>
        </w:trPr>
        <w:tc>
          <w:tcPr>
            <w:tcW w:w="2013" w:type="dxa"/>
            <w:vMerge w:val="continue"/>
            <w:vAlign w:val="center"/>
          </w:tcPr>
          <w:p>
            <w:pPr>
              <w:widowControl/>
              <w:adjustRightInd w:val="0"/>
              <w:snapToGrid w:val="0"/>
              <w:ind w:firstLine="180" w:firstLineChars="100"/>
              <w:rPr>
                <w:rFonts w:hint="default" w:ascii="Times New Roman" w:hAnsi="Times New Roman" w:cs="Times New Roman"/>
                <w:bCs/>
                <w:kern w:val="0"/>
                <w:sz w:val="18"/>
                <w:szCs w:val="18"/>
              </w:rPr>
            </w:pP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20231202bDW002-1-01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20231202bDW002-1-02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20231202bDW002-1-03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20231202bDW002-1-04</w:t>
            </w:r>
          </w:p>
        </w:tc>
        <w:tc>
          <w:tcPr>
            <w:tcW w:w="1049"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20231202bDW002-2-01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20231202bDW002-2-02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20231202bDW002-2-03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20231202bDW002-20-04</w:t>
            </w:r>
          </w:p>
        </w:tc>
        <w:tc>
          <w:tcPr>
            <w:tcW w:w="1049"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567"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6" w:hRule="atLeast"/>
          <w:jc w:val="center"/>
        </w:trPr>
        <w:tc>
          <w:tcPr>
            <w:tcW w:w="2013" w:type="dxa"/>
            <w:vMerge w:val="continue"/>
            <w:vAlign w:val="center"/>
          </w:tcPr>
          <w:p>
            <w:pPr>
              <w:widowControl/>
              <w:adjustRightInd w:val="0"/>
              <w:snapToGrid w:val="0"/>
              <w:jc w:val="center"/>
              <w:rPr>
                <w:rFonts w:hint="default" w:ascii="Times New Roman" w:hAnsi="Times New Roman" w:cs="Times New Roman"/>
                <w:sz w:val="18"/>
              </w:rPr>
            </w:pP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浅黑、浑浊</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浅黑、浑浊</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浅黑、浑浊</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浅黑、浑浊</w:t>
            </w:r>
          </w:p>
        </w:tc>
        <w:tc>
          <w:tcPr>
            <w:tcW w:w="1049"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无色、微浊</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无色、微浊</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无色、微浊</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无色、微浊</w:t>
            </w:r>
          </w:p>
        </w:tc>
        <w:tc>
          <w:tcPr>
            <w:tcW w:w="1049"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84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567"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pH（无量纲）</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7.8（8.5℃）</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7.9（8.7℃）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7.8（8.5℃）</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7.8（8.3℃）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7.8-7.9</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7.1（7.5℃）</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7.1（7.6℃）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7.0（7.8℃）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7.1（7.7℃）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7.0-7.1</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6-9</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悬浮物（mg/L）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14</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14</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400</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五日生化需氧量（mg/L）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82.7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95.1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81.7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89.7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87.3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54.6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53.3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56.3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56.9</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55.3</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300</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化学需氧量（mg/L）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290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279</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308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299</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294</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182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197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177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189</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500</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石油类（mg/L）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3.98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3.79</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3.87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3.81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3.86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0.17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0.42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0.30</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氨氮（mg/L）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9.83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10.9</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7.04</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7.67</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8.39</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8.22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7.83</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35*</w:t>
            </w:r>
            <w:r>
              <w:rPr>
                <w:rFonts w:hint="default" w:ascii="Times New Roman" w:hAnsi="Times New Roman" w:cs="Times New Roman"/>
                <w:bCs/>
                <w:kern w:val="0"/>
                <w:sz w:val="18"/>
                <w:szCs w:val="18"/>
                <w:vertAlign w:val="superscript"/>
              </w:rPr>
              <w:t>1</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总磷（mg/L）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1.02</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1.11</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0.24</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0.30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0.24</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0.26</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w:t>
            </w:r>
            <w:r>
              <w:rPr>
                <w:rFonts w:hint="default" w:ascii="Times New Roman" w:hAnsi="Times New Roman" w:cs="Times New Roman"/>
                <w:bCs/>
                <w:kern w:val="0"/>
                <w:sz w:val="18"/>
                <w:szCs w:val="18"/>
                <w:vertAlign w:val="superscript"/>
              </w:rPr>
              <w:t>1</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阴离子表面活性剂（mg/L）</w:t>
            </w:r>
          </w:p>
        </w:tc>
        <w:tc>
          <w:tcPr>
            <w:tcW w:w="1048"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5.13</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5.10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4.88</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4.90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5.00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2.10</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2.04</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1.95</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1.96</w:t>
            </w:r>
          </w:p>
        </w:tc>
        <w:tc>
          <w:tcPr>
            <w:tcW w:w="1049" w:type="dxa"/>
            <w:vAlign w:val="center"/>
          </w:tcPr>
          <w:p>
            <w:pPr>
              <w:widowControl/>
              <w:adjustRightInd w:val="0"/>
              <w:snapToGrid w:val="0"/>
              <w:jc w:val="center"/>
              <w:rPr>
                <w:rFonts w:hint="default" w:ascii="Times New Roman" w:hAnsi="Times New Roman" w:cs="Times New Roman" w:eastAsiaTheme="minorEastAsia"/>
                <w:bCs/>
                <w:kern w:val="0"/>
                <w:sz w:val="18"/>
                <w:szCs w:val="18"/>
                <w:highlight w:val="none"/>
                <w:lang w:val="en-US" w:eastAsia="zh-CN" w:bidi="ar-SA"/>
              </w:rPr>
            </w:pPr>
            <w:r>
              <w:rPr>
                <w:rFonts w:hint="default" w:ascii="Times New Roman" w:hAnsi="Times New Roman" w:cs="Times New Roman"/>
                <w:bCs/>
                <w:kern w:val="0"/>
                <w:sz w:val="18"/>
                <w:szCs w:val="18"/>
                <w:highlight w:val="none"/>
              </w:rPr>
              <w:t>2.01</w:t>
            </w:r>
          </w:p>
        </w:tc>
        <w:tc>
          <w:tcPr>
            <w:tcW w:w="1843"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w:t>
            </w:r>
          </w:p>
        </w:tc>
        <w:tc>
          <w:tcPr>
            <w:tcW w:w="56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01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899" w:type="dxa"/>
            <w:gridSpan w:val="12"/>
            <w:vAlign w:val="center"/>
          </w:tcPr>
          <w:p>
            <w:pPr>
              <w:widowControl/>
              <w:adjustRightInd w:val="0"/>
              <w:snapToGrid w:val="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w:t>
            </w:r>
            <w:r>
              <w:rPr>
                <w:rFonts w:hint="default" w:ascii="Times New Roman" w:hAnsi="Times New Roman" w:cs="Times New Roman"/>
                <w:bCs/>
                <w:kern w:val="0"/>
                <w:sz w:val="18"/>
                <w:szCs w:val="18"/>
                <w:vertAlign w:val="superscript"/>
              </w:rPr>
              <w:t>1</w:t>
            </w:r>
            <w:r>
              <w:rPr>
                <w:rFonts w:hint="default" w:ascii="Times New Roman" w:hAnsi="Times New Roman" w:cs="Times New Roman"/>
                <w:bCs/>
                <w:kern w:val="0"/>
                <w:sz w:val="18"/>
                <w:szCs w:val="18"/>
              </w:rPr>
              <w:t>”表示氨氮、总磷纳管执行《工业企业废水氮、磷污染物间接排放限值》（DB33/ 887-2013）表 1 中其他企业的排放限值。</w:t>
            </w:r>
          </w:p>
        </w:tc>
      </w:tr>
    </w:tbl>
    <w:p>
      <w:pPr>
        <w:keepNext w:val="0"/>
        <w:keepLines w:val="0"/>
        <w:pageBreakBefore w:val="0"/>
        <w:widowControl w:val="0"/>
        <w:kinsoku/>
        <w:wordWrap/>
        <w:overflowPunct/>
        <w:topLinePunct w:val="0"/>
        <w:autoSpaceDE/>
        <w:autoSpaceDN/>
        <w:bidi w:val="0"/>
        <w:adjustRightInd/>
        <w:snapToGrid/>
        <w:spacing w:line="100" w:lineRule="exact"/>
        <w:ind w:firstLine="200" w:firstLineChars="200"/>
        <w:jc w:val="left"/>
        <w:textAlignment w:val="auto"/>
        <w:rPr>
          <w:rFonts w:hint="eastAsia" w:ascii="Times New Roman" w:hAnsi="Times New Roman"/>
          <w:sz w:val="10"/>
          <w:szCs w:val="10"/>
          <w:lang w:val="en-US" w:eastAsia="zh-CN"/>
        </w:rPr>
      </w:pPr>
    </w:p>
    <w:p>
      <w:pPr>
        <w:spacing w:line="360" w:lineRule="auto"/>
        <w:ind w:firstLine="482" w:firstLineChars="200"/>
        <w:jc w:val="left"/>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监测结果分析与评价：</w:t>
      </w:r>
    </w:p>
    <w:p>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验收监测期间，废水总排放口（DW001-2）的废水pH范围为7.4-7.5，其他污染物最大日均浓度分别为：悬浮物40mg/L、五日生化需氧量76.0mg/L、化学需氧量340mg/L、氨氮8.00mg/L、总磷1.95mg/L、石油类0.49mg/L、动植物油类0.59mg/L、阴离子表面活性剂2.81mg/L；其中pH、悬浮物、五日生化需氧量、化学需氧量、石油类、动植物油类、阴离子表面活性剂均符合《污水综合排放标准》（GB 8978-1996）表4中的三级排放标准要求，氨氮、总磷符合浙江省地方标准《工业企业废水氮、磷污染物间接排放限值》（DB33/887-2013）表1中其他企业的排放限值要求。</w:t>
      </w:r>
    </w:p>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sectPr>
          <w:footerReference r:id="rId13" w:type="default"/>
          <w:pgSz w:w="16838" w:h="11906" w:orient="landscape"/>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生产废水处理设施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出口（DW002-2）的废水pH范围为7.0-7.1，其他污染物最大日均浓度分别为：悬浮物14mg/L、五日生化需氧量56.8mg/L、化学需氧量211mg/L、氨氮7.83mg/L、总磷0.32mg/L、石油类0.312mg/L、阴离子表面活性剂2.25mg/L；其中pH、悬浮物、石油类、动植物油类、化学需氧量、五日生化需氧量、阴离子表面活性剂均符合《污水综合排放标准》（GB 8978-1996）表4中的三级排放标准要求，氨氮、总磷符合浙江省地方标准《工业企业废水氮、磷污染物间接排放限值》（DB33/887-2013）表1中其他企业的排放限值要求。</w:t>
      </w:r>
    </w:p>
    <w:p>
      <w:pPr>
        <w:pStyle w:val="6"/>
        <w:rPr>
          <w:rFonts w:hint="eastAsia" w:ascii="Times New Roman" w:hAnsi="Times New Roman"/>
          <w:kern w:val="22"/>
        </w:rPr>
      </w:pPr>
      <w:bookmarkStart w:id="94" w:name="_Toc29376"/>
      <w:r>
        <w:rPr>
          <w:rFonts w:hint="eastAsia" w:ascii="Times New Roman" w:hAnsi="Times New Roman"/>
          <w:kern w:val="22"/>
        </w:rPr>
        <w:t>9.2.2固定污染源废气检测结果及评价</w:t>
      </w:r>
      <w:bookmarkEnd w:id="94"/>
    </w:p>
    <w:p>
      <w:pPr>
        <w:spacing w:line="360" w:lineRule="auto"/>
        <w:ind w:firstLine="240" w:firstLineChars="100"/>
        <w:rPr>
          <w:rFonts w:hint="eastAsia" w:ascii="Times New Roman" w:hAnsi="Times New Roman" w:cs="Times New Roman"/>
          <w:sz w:val="24"/>
        </w:rPr>
      </w:pPr>
      <w:bookmarkStart w:id="95" w:name="_Toc497058869"/>
      <w:bookmarkStart w:id="96" w:name="_Toc448492431"/>
      <w:bookmarkStart w:id="97" w:name="_Toc448493502"/>
      <w:bookmarkStart w:id="98" w:name="_Toc448491840"/>
      <w:bookmarkStart w:id="99" w:name="_Toc448491763"/>
      <w:bookmarkStart w:id="100" w:name="_Toc21605"/>
      <w:bookmarkStart w:id="101" w:name="_Toc62"/>
      <w:bookmarkStart w:id="102" w:name="_Toc30342"/>
      <w:r>
        <w:rPr>
          <w:rFonts w:hint="eastAsia" w:ascii="Times New Roman" w:hAnsi="Times New Roman" w:cs="Times New Roman"/>
          <w:sz w:val="24"/>
        </w:rPr>
        <w:t>有组织废气检测结果见表9.2.</w:t>
      </w:r>
      <w:r>
        <w:rPr>
          <w:rFonts w:ascii="Times New Roman" w:hAnsi="Times New Roman" w:cs="Times New Roman"/>
          <w:sz w:val="24"/>
        </w:rPr>
        <w:t>2-1~9.2.2</w:t>
      </w:r>
      <w:r>
        <w:rPr>
          <w:rFonts w:hint="eastAsia" w:ascii="Times New Roman" w:hAnsi="Times New Roman" w:cs="Times New Roman"/>
          <w:sz w:val="24"/>
        </w:rPr>
        <w:t>-</w:t>
      </w:r>
      <w:r>
        <w:rPr>
          <w:rFonts w:hint="eastAsia" w:ascii="Times New Roman" w:hAnsi="Times New Roman" w:cs="Times New Roman"/>
          <w:sz w:val="24"/>
          <w:lang w:val="en-US" w:eastAsia="zh-CN"/>
        </w:rPr>
        <w:t>5</w:t>
      </w:r>
      <w:r>
        <w:rPr>
          <w:rFonts w:hint="eastAsia" w:ascii="Times New Roman" w:hAnsi="Times New Roman" w:cs="Times New Roman"/>
          <w:sz w:val="24"/>
        </w:rPr>
        <w:t>。</w:t>
      </w:r>
    </w:p>
    <w:p>
      <w:pPr>
        <w:spacing w:line="360" w:lineRule="auto"/>
        <w:ind w:firstLine="211" w:firstLineChars="100"/>
        <w:jc w:val="center"/>
        <w:rPr>
          <w:rFonts w:ascii="Times New Roman" w:hAnsi="Times New Roman"/>
          <w:b/>
          <w:bCs/>
          <w:szCs w:val="21"/>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ascii="Times New Roman" w:hAnsi="Times New Roman"/>
          <w:b/>
          <w:bCs/>
          <w:szCs w:val="21"/>
        </w:rPr>
        <w:t>1</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ascii="Times New Roman" w:hAnsi="Times New Roman"/>
          <w:b/>
          <w:bCs/>
          <w:szCs w:val="21"/>
        </w:rPr>
        <w:t>1</w:t>
      </w:r>
      <w:r>
        <w:rPr>
          <w:rFonts w:hint="eastAsia" w:ascii="Times New Roman" w:hAnsi="Times New Roman"/>
          <w:b/>
          <w:bCs/>
          <w:szCs w:val="21"/>
        </w:rPr>
        <w:t>）</w:t>
      </w: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6"/>
        <w:gridCol w:w="992"/>
        <w:gridCol w:w="909"/>
        <w:gridCol w:w="910"/>
        <w:gridCol w:w="909"/>
        <w:gridCol w:w="910"/>
        <w:gridCol w:w="909"/>
        <w:gridCol w:w="910"/>
        <w:gridCol w:w="910"/>
        <w:gridCol w:w="909"/>
        <w:gridCol w:w="910"/>
        <w:gridCol w:w="909"/>
        <w:gridCol w:w="910"/>
        <w:gridCol w:w="910"/>
        <w:gridCol w:w="1701"/>
        <w:gridCol w:w="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989" w:type="dxa"/>
            <w:gridSpan w:val="14"/>
            <w:tcMar>
              <w:left w:w="113" w:type="dxa"/>
              <w:right w:w="113" w:type="dxa"/>
            </w:tcMar>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2023年12月21日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989" w:type="dxa"/>
            <w:gridSpan w:val="14"/>
            <w:tcMar>
              <w:left w:w="113" w:type="dxa"/>
              <w:right w:w="113" w:type="dxa"/>
            </w:tcMar>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2023年12月22日-24日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989" w:type="dxa"/>
            <w:gridSpan w:val="14"/>
            <w:tcMar>
              <w:left w:w="113" w:type="dxa"/>
              <w:right w:w="113" w:type="dxa"/>
            </w:tcMar>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调漆、喷漆、烘干、固化废气处理设施DA001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12989" w:type="dxa"/>
            <w:gridSpan w:val="14"/>
            <w:tcMar>
              <w:left w:w="113" w:type="dxa"/>
              <w:right w:w="113" w:type="dxa"/>
            </w:tcMar>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538" w:type="dxa"/>
            <w:gridSpan w:val="2"/>
            <w:vMerge w:val="restart"/>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27872" behindDoc="0" locked="0" layoutInCell="1" allowOverlap="1">
                      <wp:simplePos x="0" y="0"/>
                      <wp:positionH relativeFrom="column">
                        <wp:posOffset>13335</wp:posOffset>
                      </wp:positionH>
                      <wp:positionV relativeFrom="paragraph">
                        <wp:posOffset>21590</wp:posOffset>
                      </wp:positionV>
                      <wp:extent cx="969010" cy="457200"/>
                      <wp:effectExtent l="1905" t="4445" r="19685" b="14605"/>
                      <wp:wrapNone/>
                      <wp:docPr id="145" name="直接箭头连接符 145"/>
                      <wp:cNvGraphicFramePr/>
                      <a:graphic xmlns:a="http://schemas.openxmlformats.org/drawingml/2006/main">
                        <a:graphicData uri="http://schemas.microsoft.com/office/word/2010/wordprocessingShape">
                          <wps:wsp>
                            <wps:cNvCnPr>
                              <a:cxnSpLocks noChangeShapeType="1"/>
                            </wps:cNvCnPr>
                            <wps:spPr bwMode="auto">
                              <a:xfrm>
                                <a:off x="0" y="0"/>
                                <a:ext cx="969010" cy="4572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5pt;margin-top:1.7pt;height:36pt;width:76.3pt;z-index:251727872;mso-width-relative:page;mso-height-relative:page;" filled="f" stroked="t" coordsize="21600,21600" o:gfxdata="UEsDBAoAAAAAAIdO4kAAAAAAAAAAAAAAAAAEAAAAZHJzL1BLAwQUAAAACACHTuJAnfDLOtUAAAAG&#10;AQAADwAAAGRycy9kb3ducmV2LnhtbE2OwU7DMBBE70j8g7VIXFBrJyS0hGwqhMSBI20lrm68JIF4&#10;HcVOU/r1uCc4jmb05pWbk+3FkUbfOUZIlgoEce1Mxw3Cfve6WIPwQbPRvWNC+CEPm+r6qtSFcTO/&#10;03EbGhEh7AuN0IYwFFL6uiWr/dINxLH7dKPVIcaxkWbUc4TbXqZKPUirO44PrR7opaX6eztZBPJT&#10;nqjnR9vs387z3Ud6/pqHHeLtTaKeQAQ6hb8xXPSjOlTR6eAmNl70CGkShwj3GYhLm2crEAeEVZ6B&#10;rEr5X7/6BVBLAwQUAAAACACHTuJA+uJ2u/4BAADUAwAADgAAAGRycy9lMm9Eb2MueG1srVPBbhMx&#10;EL0j8Q+W72STqCl0lU0PicqlQKSWD3C83l0Lr8caO9nkJ/gBJE7AiXLqna+B8hmMnU2g5dIDe7Bs&#10;z8x7M89vp+fb1rCNQq/BFnw0GHKmrIRS27rgb68vnr3gzAdhS2HAqoLvlOfns6dPpp3L1RgaMKVC&#10;RiDW550reBOCy7PMy0a1wg/AKUvBCrAVgY5YZyWKjtBbk42Hw9OsAywdglTe0+1iH+Q9Ij4GEKpK&#10;S7UAuW6VDXtUVEYEGsk32nk+S91WlZLhTVV5FZgpOE0a0koktF/FNZtNRV6jcI2WfQviMS08mKkV&#10;2hLpEWohgmBr1P9AtVoieKjCQEKb7QdJitAUo+EDba4a4VSahaT27ii6/3+w8vVmiUyX5ISTCWdW&#10;tPTkdx9uf77/fPft5sen21/fP8b91y8sJpBcnfM5Vc3tEuPAcmuv3CXId55ZmDfC1iq1fb1zhDSK&#10;Fdm9knjwjkhX3SsoKUesAyTtthW2EZJUYdv0RLvjE6ltYJIuz07PSCfOJIVOJs/JUIlB5Idihz68&#10;VNCyuCm4Dyh03YQ5WEtmABwlKrG59CG2JvJDQWS2cKGNSZ4wlnVENxlPUoEHo8sYjGke69XcINuI&#10;6Kr09V3cS0NY23JPYmysU8mQPfNBh72iKyh3SzyIRY+deuuNGd309zlJ+udnn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DLOtUAAAAGAQAADwAAAAAAAAABACAAAAAiAAAAZHJzL2Rvd25yZXYu&#10;eG1sUEsBAhQAFAAAAAgAh07iQPridrv+AQAA1AMAAA4AAAAAAAAAAQAgAAAAJAEAAGRycy9lMm9E&#10;b2MueG1sUEsFBgAAAAAGAAYAWQEAAJQFA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28896" behindDoc="0" locked="0" layoutInCell="1" allowOverlap="1">
                      <wp:simplePos x="0" y="0"/>
                      <wp:positionH relativeFrom="column">
                        <wp:posOffset>13335</wp:posOffset>
                      </wp:positionH>
                      <wp:positionV relativeFrom="paragraph">
                        <wp:posOffset>29845</wp:posOffset>
                      </wp:positionV>
                      <wp:extent cx="457200" cy="640080"/>
                      <wp:effectExtent l="3810" t="2540" r="15240" b="5080"/>
                      <wp:wrapNone/>
                      <wp:docPr id="144" name="直接箭头连接符 144"/>
                      <wp:cNvGraphicFramePr/>
                      <a:graphic xmlns:a="http://schemas.openxmlformats.org/drawingml/2006/main">
                        <a:graphicData uri="http://schemas.microsoft.com/office/word/2010/wordprocessingShape">
                          <wps:wsp>
                            <wps:cNvCnPr>
                              <a:cxnSpLocks noChangeShapeType="1"/>
                            </wps:cNvCnPr>
                            <wps:spPr bwMode="auto">
                              <a:xfrm>
                                <a:off x="0" y="0"/>
                                <a:ext cx="457200" cy="6400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5pt;margin-top:2.35pt;height:50.4pt;width:36pt;z-index:251728896;mso-width-relative:page;mso-height-relative:page;" filled="f" stroked="t" coordsize="21600,21600" o:gfxdata="UEsDBAoAAAAAAIdO4kAAAAAAAAAAAAAAAAAEAAAAZHJzL1BLAwQUAAAACACHTuJA32fcC9QAAAAG&#10;AQAADwAAAGRycy9kb3ducmV2LnhtbE2OwU7DMBBE70j9B2srcUHUTtTQNsSpqkocONJW4urGSxKI&#10;11HsNKVfz3KC42ieZl6xvbpOXHAIrScNyUKBQKq8banWcDq+PK5BhGjIms4TavjGANtydleY3PqJ&#10;3vByiLXgEQq50dDE2OdShqpBZ8LC90jcffjBmchxqKUdzMTjrpOpUk/SmZb4oTE97husvg6j04Bh&#10;zBK127j69HqbHt7T2+fUH7W+nyfqGUTEa/yD4Vef1aFkp7MfyQbRaUgTBjUsVyC4XS05nplSWQay&#10;LOR//fIHUEsDBBQAAAAIAIdO4kBrXE3aAQIAANQDAAAOAAAAZHJzL2Uyb0RvYy54bWytU81uEzEQ&#10;viPxDpbvZDdVUsoqmx4SlUuBSC0P4Hi9uxZejzV2sslL8AJInIAT5dQ7TwPlMRg7P5Ry6YE9WLbH&#10;881833w7Od90hq0Veg225MNBzpmyEiptm5K/vb54dsaZD8JWwoBVJd8qz8+nT59MeleoE2jBVAoZ&#10;gVhf9K7kbQiuyDIvW9UJPwCnLAVrwE4EOmKTVSh6Qu9MdpLnp1kPWDkEqbyn2/kuyPeI+BhAqGst&#10;1RzkqlM27FBRGRGIkm+183yauq1rJcObuvYqMFNyYhrSSkVov4xrNp2IokHhWi33LYjHtPCAUye0&#10;paJHqLkIgq1Q/wPVaYngoQ4DCV22I5IUIRbD/IE2V61wKnEhqb07iu7/H6x8vV4g0xU5YTTizIqO&#10;Rn734fbn+893325+fLr99f1j3H/9wuIDkqt3vqCsmV1gJCw39spdgnznmYVZK2yjUtvXW0dIw5iR&#10;/ZUSD95R0WX/Cip6I1YBknabGrsISaqwTRrR9jgitQlM0uVo/JxMxJmk0Okoz8/SCDNRHJId+vBS&#10;QcfipuQ+oNBNG2ZgLZkBcJhKifWlD7E1URwSYmULF9qY5AljWV/yF+OTcUrwYHQVg/GZx2Y5M8jW&#10;IroqfYknRe4/Q1jZalfE2JinkiH3lQ867BRdQrVd4EEsGnbqbW/M6Kb75yTpn59x+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Z9wL1AAAAAYBAAAPAAAAAAAAAAEAIAAAACIAAABkcnMvZG93bnJl&#10;di54bWxQSwECFAAUAAAACACHTuJAa1xN2gECAADUAwAADgAAAAAAAAABACAAAAAjAQAAZHJzL2Uy&#10;b0RvYy54bWxQSwUGAAAAAAYABgBZAQAAlg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29920" behindDoc="0" locked="0" layoutInCell="1" allowOverlap="1">
                      <wp:simplePos x="0" y="0"/>
                      <wp:positionH relativeFrom="column">
                        <wp:posOffset>622300</wp:posOffset>
                      </wp:positionH>
                      <wp:positionV relativeFrom="paragraph">
                        <wp:posOffset>-12700</wp:posOffset>
                      </wp:positionV>
                      <wp:extent cx="478155" cy="398780"/>
                      <wp:effectExtent l="0" t="0" r="0" b="0"/>
                      <wp:wrapNone/>
                      <wp:docPr id="143" name="矩形 143"/>
                      <wp:cNvGraphicFramePr/>
                      <a:graphic xmlns:a="http://schemas.openxmlformats.org/drawingml/2006/main">
                        <a:graphicData uri="http://schemas.microsoft.com/office/word/2010/wordprocessingShape">
                          <wps:wsp>
                            <wps:cNvSpPr>
                              <a:spLocks noChangeArrowheads="1"/>
                            </wps:cNvSpPr>
                            <wps:spPr bwMode="auto">
                              <a:xfrm>
                                <a:off x="0" y="0"/>
                                <a:ext cx="478155" cy="398780"/>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采样</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pt;margin-top:-1pt;height:31.4pt;width:37.65pt;z-index:251729920;mso-width-relative:page;mso-height-relative:page;" filled="f" stroked="f" coordsize="21600,21600" o:gfxdata="UEsDBAoAAAAAAIdO4kAAAAAAAAAAAAAAAAAEAAAAZHJzL1BLAwQUAAAACACHTuJABymcg9kAAAAI&#10;AQAADwAAAGRycy9kb3ducmV2LnhtbE2PQUvDQBCF74L/YRnBi7S7baHGmEkPBbGIUJpqz9vsmASz&#10;s2l2m9R/7/akp8fwhve+l60uthUD9b5xjDCbKhDEpTMNVwgf+5dJAsIHzUa3jgnhhzys8tubTKfG&#10;jbyjoQiViCHsU41Qh9ClUvqyJqv91HXE0ftyvdUhnn0lTa/HGG5bOVdqKa1uODbUuqN1TeV3cbYI&#10;Y7kdDvv3V7l9OGwcnzandfH5hnh/N1PPIAJdwt8zXPEjOuSR6ejObLxoEZ6SOCUgTOZRr/7jYgHi&#10;iLBUCcg8k/8H5L9QSwMEFAAAAAgAh07iQIb7Vo0TAgAAGQQAAA4AAABkcnMvZTJvRG9jLnhtbK1T&#10;TY7TMBTeI3EHy3uaptPSTtR0NJpqENIAIw0cwHWcxiLxM89uk3IZJHYcguMgrsGzk5bOsJkFm8jv&#10;x5/f970vy6uuqdleodNgcp6OxpwpI6HQZpvzTx9vXy04c16YQtRgVM4PyvGr1csXy9ZmagIV1IVC&#10;RiDGZa3NeeW9zZLEyUo1wo3AKkPFErARnkLcJgWKltCbOpmMx6+TFrCwCFI5R9l1X+QDIj4HEMpS&#10;S7UGuWuU8T0qqlp4ouQqbR1fxWnLUkn/oSyd8qzOOTH18UuP0HkTvslqKbItCltpOYwgnjPCE06N&#10;0IYePUGthRdsh/ofqEZLBAelH0lokp5IVIRYpOMn2jxUwqrIhaR29iS6+3+w8v3+HpkuyAnTC86M&#10;aGjlv7/9+PXzOwsZ0qe1LqO2B3uPgaGzdyA/O2bgphJmq64Roa2UKGiqNPQnjy6EwNFVtmnfQUHg&#10;YuchStWV2ARAEoF1cSOH00ZU55mk5HS+SGczziSVLi4X80XcWCKy42WLzr9R0LBwyDnSwiO42N85&#10;H4YR2bElvGXgVtd1XHptHiWosc+o6Jrh9nH6XgXfbbpBkA0UByKF0DuK/ic6VIBfOWvJTTl3X3YC&#10;FWf1W0PCXKbTabBfDKaz+YQCPK9szivCSILKueesP9743rI7i3pb0UtpJGngmsQsdSQaRu2nGlZA&#10;jon8B3cHS57HsevvH73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cpnIPZAAAACAEAAA8AAAAA&#10;AAAAAQAgAAAAIgAAAGRycy9kb3ducmV2LnhtbFBLAQIUABQAAAAIAIdO4kCG+1aNEwIAABkEAAAO&#10;AAAAAAAAAAEAIAAAACgBAABkcnMvZTJvRG9jLnhtbFBLBQYAAAAABgAGAFkBAACt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采样</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频次</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25824" behindDoc="0" locked="0" layoutInCell="1" allowOverlap="1">
                      <wp:simplePos x="0" y="0"/>
                      <wp:positionH relativeFrom="column">
                        <wp:posOffset>379095</wp:posOffset>
                      </wp:positionH>
                      <wp:positionV relativeFrom="paragraph">
                        <wp:posOffset>267970</wp:posOffset>
                      </wp:positionV>
                      <wp:extent cx="503555" cy="374015"/>
                      <wp:effectExtent l="0" t="0" r="0" b="0"/>
                      <wp:wrapNone/>
                      <wp:docPr id="142" name="矩形 142"/>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85pt;margin-top:21.1pt;height:29.45pt;width:39.65pt;z-index:251725824;mso-width-relative:page;mso-height-relative:page;" filled="f" stroked="f" coordsize="21600,21600" o:gfxdata="UEsDBAoAAAAAAIdO4kAAAAAAAAAAAAAAAAAEAAAAZHJzL1BLAwQUAAAACACHTuJAyL2yydkAAAAJ&#10;AQAADwAAAGRycy9kb3ducmV2LnhtbE2PzU7DMBCE70i8g7VIXBC1E34b4vRQCVEhpIoUenbjJYmI&#10;12nsJuXt2Z7gtqMZzX6TL46uEyMOofWkIZkpEEiVty3VGj42z9ePIEI0ZE3nCTX8YIBFcX6Wm8z6&#10;id5xLGMtuIRCZjQ0MfaZlKFq0Jkw8z0Se19+cCayHGppBzNxuetkqtS9dKYl/tCYHpcNVt/lwWmY&#10;qvW43by9yPXVduVpv9ovy89XrS8vEvUEIuIx/oXhhM/oUDDTzh/IBtFpuJs/cFLDbZqCOPk3c962&#10;40MlCcgil/8XFL9QSwMEFAAAAAgAh07iQBeZkZUPAgAACwQAAA4AAABkcnMvZTJvRG9jLnhtbK1T&#10;zY7TMBC+I/EOlu80SbdhIWq6Wm21CGmBlRYewHWcxiLxmLHbpLwMEjcegsdBvAZjJ1u6y2UPXCzP&#10;j7+Z75vx8mLoWrZX6DSYkmezlDNlJFTabEv+6eP1i1ecOS9MJVowquQH5fjF6vmzZW8LNYcG2koh&#10;IxDjit6WvPHeFkniZKM64WZglaFgDdgJTyZukwpFT+hdm8zT9GXSA1YWQSrnyLseg3xCxKcAQl1r&#10;qdYgd50yfkRF1QpPlFyjreOr2G1dK+k/1LVTnrUlJ6Y+nlSE7ptwJqulKLYobKPl1IJ4SguPOHVC&#10;Gyp6hFoLL9gO9T9QnZYIDmo/k9AlI5GoCLHI0kfa3DXCqsiFpHb2KLr7f7Dy/f4Wma5oExZzzozo&#10;aOS/v/349fM7Cx7Sp7euoLQ7e4uBobM3ID87ZuCqEWarLhGhb5SoqKss5CcPHgTD0VO26d9BReBi&#10;5yFKNdTYBUASgQ1xIofjRNTgmSRnnp7lec6ZpNDZ+SLN8lhBFPePLTr/RkHHwqXkSAOP4GJ/43xo&#10;RhT3KaGWgWvdtnHorXngoMTgic2HfkfeftgMkwQbqA5EA2HcIfpBdGkAv3LW0/6U3H3ZCVSctW8N&#10;SfE6WyzCwkVjkZ/PycDTyOY0IowkqJJ7zsbrlR+XdGdRbxuqlEVaBi5JvlpHakHasaupb9qRyHja&#10;57CEp3bM+vuHV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L2yydkAAAAJAQAADwAAAAAAAAAB&#10;ACAAAAAiAAAAZHJzL2Rvd25yZXYueG1sUEsBAhQAFAAAAAgAh07iQBeZkZUPAgAACwQAAA4AAAAA&#10;AAAAAQAgAAAAKAEAAGRycy9lMm9Eb2MueG1sUEsFBgAAAAAGAAYAWQEAAKkFA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结果</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26848" behindDoc="0" locked="0" layoutInCell="1" allowOverlap="1">
                      <wp:simplePos x="0" y="0"/>
                      <wp:positionH relativeFrom="column">
                        <wp:posOffset>-71120</wp:posOffset>
                      </wp:positionH>
                      <wp:positionV relativeFrom="paragraph">
                        <wp:posOffset>325120</wp:posOffset>
                      </wp:positionV>
                      <wp:extent cx="489585" cy="408305"/>
                      <wp:effectExtent l="0" t="0" r="0" b="0"/>
                      <wp:wrapNone/>
                      <wp:docPr id="141" name="矩形 141"/>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6pt;margin-top:25.6pt;height:32.15pt;width:38.55pt;z-index:251726848;mso-width-relative:page;mso-height-relative:page;" filled="f" stroked="f" coordsize="21600,21600" o:gfxdata="UEsDBAoAAAAAAIdO4kAAAAAAAAAAAAAAAAAEAAAAZHJzL1BLAwQUAAAACACHTuJAjLCZDtkAAAAJ&#10;AQAADwAAAGRycy9kb3ducmV2LnhtbE2PwUrDQBCG74LvsIzgRdrNFlI0ZtNDQSwiFFPteZsdk2B2&#10;Ns1uk/r2Tk/2NAzz8c/356uz68SIQ2g9aVDzBARS5W1LtYbP3cvsEUSIhqzpPKGGXwywKm5vcpNZ&#10;P9EHjmWsBYdQyIyGJsY+kzJUDToT5r5H4tu3H5yJvA61tIOZONx1cpEkS+lMS/yhMT2uG6x+ypPT&#10;MFXbcb97f5Xbh/3G03FzXJdfb1rf36nkGUTEc/yH4aLP6lCw08GfyAbRaZgptWBUQ3qZDCzTJxAH&#10;BlWagixyed2g+ANQSwMEFAAAAAgAh07iQCpMWCQNAgAACwQAAA4AAABkcnMvZTJvRG9jLnhtbK1T&#10;3W7TMBS+R+IdLN/TpCOFLmo6TauGkAZMGjyA6ziNRexjjt0m5WWQuOMheBzEa3DsdKUbN7vgJvL5&#10;8efv+87J4mIwHdsp9BpsxaeTnDNlJdTabir+6eP1izlnPghbiw6sqvheeX6xfP5s0btSnUELXa2Q&#10;EYj1Ze8q3obgyizzslVG+Ak4ZanYABoRKMRNVqPoCd102Vmev8p6wNohSOU9ZVdjkR8Q8SmA0DRa&#10;qhXIrVE2jKioOhFIkm+183yZ2DaNkuFD03gVWFdxUhrSlx6h8zp+s+VClBsUrtXyQEE8hcIjTUZo&#10;S48eoVYiCLZF/Q+U0RLBQxMmEkw2CkmOkIpp/sibu1Y4lbSQ1d4dTff/D1a+390i0zVtQjHlzApD&#10;I//97cevn99ZzJA/vfMltd25W4wKvbsB+dkzC1etsBt1iQh9q0RNrFJ/9uBCDDxdZev+HdQELrYB&#10;klVDgyYCkglsSBPZHyeihsAkJYv5+Ww+40xSqcjnL/NZZJSJ8v6yQx/eKDAsHiqONPAELnY3Poyt&#10;9y3xLQvXuuvS0Dv7IEGYMZPIR76j7jCsh4MFa6j3JANh3CH6g+jQAn7lrKf9qbj/shWoOOveWrLi&#10;fFoUceFSUMxen1GAp5X1aUVYSVAVD5yNx6swLunWod609NI0ybJwSfY1OkmL1o6sDrxpR5I5h32O&#10;S3gap66///D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ywmQ7ZAAAACQEAAA8AAAAAAAAAAQAg&#10;AAAAIgAAAGRycy9kb3ducmV2LnhtbFBLAQIUABQAAAAIAIdO4kAqTFgkDQIAAAsEAAAOAAAAAAAA&#10;AAEAIAAAACgBAABkcnMvZTJvRG9jLnhtbFBLBQYAAAAABgAGAFkBAACn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v:textbox>
                    </v:rect>
                  </w:pict>
                </mc:Fallback>
              </mc:AlternateContent>
            </w:r>
          </w:p>
        </w:tc>
        <w:tc>
          <w:tcPr>
            <w:tcW w:w="3638" w:type="dxa"/>
            <w:gridSpan w:val="4"/>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调漆、喷漆废气处理设施进口DA0011-1</w:t>
            </w:r>
          </w:p>
        </w:tc>
        <w:tc>
          <w:tcPr>
            <w:tcW w:w="3638" w:type="dxa"/>
            <w:gridSpan w:val="4"/>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烘干、固化废气处理设施进口DA0012-1</w:t>
            </w:r>
          </w:p>
        </w:tc>
        <w:tc>
          <w:tcPr>
            <w:tcW w:w="3639" w:type="dxa"/>
            <w:gridSpan w:val="4"/>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调漆、喷漆、烘干、固化废气处理设施出口DA001-2</w:t>
            </w:r>
          </w:p>
        </w:tc>
        <w:tc>
          <w:tcPr>
            <w:tcW w:w="1701"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《工业涂装工序大气污染物排放标准》</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（DB33/ 2146-2018）</w:t>
            </w:r>
          </w:p>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表1</w:t>
            </w:r>
          </w:p>
        </w:tc>
        <w:tc>
          <w:tcPr>
            <w:tcW w:w="373" w:type="dxa"/>
            <w:vMerge w:val="restart"/>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538" w:type="dxa"/>
            <w:gridSpan w:val="2"/>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701"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37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二甲苯</w:t>
            </w:r>
          </w:p>
        </w:tc>
        <w:tc>
          <w:tcPr>
            <w:tcW w:w="992"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0.463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0.510</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0.445</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0.473</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0.081</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0.097</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0.090</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0.089</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＜0.013</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＜0.013</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992"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1.85×10</w:t>
            </w:r>
            <w:r>
              <w:rPr>
                <w:rFonts w:hint="default" w:ascii="Times New Roman" w:hAnsi="Times New Roman" w:cs="Times New Roman"/>
                <w:bCs/>
                <w:kern w:val="0"/>
                <w:sz w:val="18"/>
                <w:szCs w:val="18"/>
                <w:vertAlign w:val="superscript"/>
              </w:rPr>
              <w:t>-2</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1.99×10</w:t>
            </w:r>
            <w:r>
              <w:rPr>
                <w:rFonts w:hint="default" w:ascii="Times New Roman" w:hAnsi="Times New Roman" w:cs="Times New Roman"/>
                <w:bCs/>
                <w:kern w:val="0"/>
                <w:sz w:val="18"/>
                <w:szCs w:val="18"/>
                <w:vertAlign w:val="superscript"/>
              </w:rPr>
              <w:t>-2</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1.83×10</w:t>
            </w:r>
            <w:r>
              <w:rPr>
                <w:rFonts w:hint="default" w:ascii="Times New Roman" w:hAnsi="Times New Roman" w:cs="Times New Roman"/>
                <w:bCs/>
                <w:kern w:val="0"/>
                <w:sz w:val="18"/>
                <w:szCs w:val="18"/>
                <w:vertAlign w:val="superscript"/>
              </w:rPr>
              <w:t>-2</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1.89×10</w:t>
            </w:r>
            <w:r>
              <w:rPr>
                <w:rFonts w:hint="default" w:ascii="Times New Roman" w:hAnsi="Times New Roman" w:cs="Times New Roman"/>
                <w:bCs/>
                <w:kern w:val="0"/>
                <w:sz w:val="18"/>
                <w:szCs w:val="18"/>
                <w:vertAlign w:val="superscript"/>
              </w:rPr>
              <w:t>-2</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5.85×10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6.88×10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6.42×10</w:t>
            </w:r>
            <w:r>
              <w:rPr>
                <w:rFonts w:hint="default" w:ascii="Times New Roman" w:hAnsi="Times New Roman" w:cs="Times New Roman"/>
                <w:bCs/>
                <w:kern w:val="0"/>
                <w:sz w:val="18"/>
                <w:szCs w:val="18"/>
                <w:vertAlign w:val="superscript"/>
              </w:rPr>
              <w:t>-4</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6.38×10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6.77×10</w:t>
            </w:r>
            <w:r>
              <w:rPr>
                <w:rFonts w:hint="default" w:ascii="Times New Roman" w:hAnsi="Times New Roman" w:cs="Times New Roman"/>
                <w:bCs/>
                <w:kern w:val="0"/>
                <w:sz w:val="18"/>
                <w:szCs w:val="18"/>
                <w:vertAlign w:val="superscript"/>
              </w:rPr>
              <w:t>-4</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6.72×10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6.81×10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6.77×10</w:t>
            </w:r>
            <w:r>
              <w:rPr>
                <w:rFonts w:hint="default" w:ascii="Times New Roman" w:hAnsi="Times New Roman" w:cs="Times New Roman"/>
                <w:bCs/>
                <w:kern w:val="0"/>
                <w:sz w:val="18"/>
                <w:szCs w:val="18"/>
                <w:vertAlign w:val="superscript"/>
              </w:rPr>
              <w:t>-4</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乙酸丁酯</w:t>
            </w:r>
          </w:p>
        </w:tc>
        <w:tc>
          <w:tcPr>
            <w:tcW w:w="992"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0.940</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1.09</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1.02</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0.189</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0.224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0.211</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0.208</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＜0.005</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＜0.005</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＜0.005</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＜0.005</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60</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992"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3.76×10</w:t>
            </w:r>
            <w:r>
              <w:rPr>
                <w:rFonts w:hint="default" w:ascii="Times New Roman" w:hAnsi="Times New Roman" w:cs="Times New Roman"/>
                <w:bCs/>
                <w:kern w:val="0"/>
                <w:sz w:val="18"/>
                <w:szCs w:val="18"/>
                <w:vertAlign w:val="superscript"/>
              </w:rPr>
              <w:t>-2</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4.26×10</w:t>
            </w:r>
            <w:r>
              <w:rPr>
                <w:rFonts w:hint="default" w:ascii="Times New Roman" w:hAnsi="Times New Roman" w:cs="Times New Roman"/>
                <w:bCs/>
                <w:kern w:val="0"/>
                <w:sz w:val="18"/>
                <w:szCs w:val="18"/>
                <w:vertAlign w:val="superscript"/>
              </w:rPr>
              <w:t>-2</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4.23×10</w:t>
            </w:r>
            <w:r>
              <w:rPr>
                <w:rFonts w:hint="default" w:ascii="Times New Roman" w:hAnsi="Times New Roman" w:cs="Times New Roman"/>
                <w:bCs/>
                <w:kern w:val="0"/>
                <w:sz w:val="18"/>
                <w:szCs w:val="18"/>
                <w:vertAlign w:val="superscript"/>
              </w:rPr>
              <w:t>-2</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4.08×10</w:t>
            </w:r>
            <w:r>
              <w:rPr>
                <w:rFonts w:hint="default" w:ascii="Times New Roman" w:hAnsi="Times New Roman" w:cs="Times New Roman"/>
                <w:bCs/>
                <w:kern w:val="0"/>
                <w:sz w:val="18"/>
                <w:szCs w:val="18"/>
                <w:vertAlign w:val="superscript"/>
              </w:rPr>
              <w:t>-2</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1.36×10</w:t>
            </w:r>
            <w:r>
              <w:rPr>
                <w:rFonts w:hint="default" w:ascii="Times New Roman" w:hAnsi="Times New Roman" w:cs="Times New Roman"/>
                <w:bCs/>
                <w:kern w:val="0"/>
                <w:sz w:val="18"/>
                <w:szCs w:val="18"/>
                <w:vertAlign w:val="superscript"/>
              </w:rPr>
              <w:t>-3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1.59×10</w:t>
            </w:r>
            <w:r>
              <w:rPr>
                <w:rFonts w:hint="default" w:ascii="Times New Roman" w:hAnsi="Times New Roman" w:cs="Times New Roman"/>
                <w:bCs/>
                <w:kern w:val="0"/>
                <w:sz w:val="18"/>
                <w:szCs w:val="18"/>
                <w:vertAlign w:val="superscript"/>
              </w:rPr>
              <w:t>-3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1.51×10</w:t>
            </w:r>
            <w:r>
              <w:rPr>
                <w:rFonts w:hint="default" w:ascii="Times New Roman" w:hAnsi="Times New Roman" w:cs="Times New Roman"/>
                <w:bCs/>
                <w:kern w:val="0"/>
                <w:sz w:val="18"/>
                <w:szCs w:val="18"/>
                <w:vertAlign w:val="superscript"/>
              </w:rPr>
              <w:t>-3</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1.49×10</w:t>
            </w:r>
            <w:r>
              <w:rPr>
                <w:rFonts w:hint="default" w:ascii="Times New Roman" w:hAnsi="Times New Roman" w:cs="Times New Roman"/>
                <w:bCs/>
                <w:kern w:val="0"/>
                <w:sz w:val="18"/>
                <w:szCs w:val="18"/>
                <w:vertAlign w:val="superscript"/>
              </w:rPr>
              <w:t>-3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2.60×10</w:t>
            </w:r>
            <w:r>
              <w:rPr>
                <w:rFonts w:hint="default" w:ascii="Times New Roman" w:hAnsi="Times New Roman" w:cs="Times New Roman"/>
                <w:bCs/>
                <w:kern w:val="0"/>
                <w:sz w:val="18"/>
                <w:szCs w:val="18"/>
                <w:vertAlign w:val="superscript"/>
              </w:rPr>
              <w:t>-4</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2.59×10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2.62×10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2.60×10</w:t>
            </w:r>
            <w:r>
              <w:rPr>
                <w:rFonts w:hint="default" w:ascii="Times New Roman" w:hAnsi="Times New Roman" w:cs="Times New Roman"/>
                <w:bCs/>
                <w:kern w:val="0"/>
                <w:sz w:val="18"/>
                <w:szCs w:val="18"/>
                <w:vertAlign w:val="superscript"/>
              </w:rPr>
              <w:t>-4</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非甲烷总烃</w:t>
            </w:r>
          </w:p>
        </w:tc>
        <w:tc>
          <w:tcPr>
            <w:tcW w:w="992"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76.8</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82.9</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75.8</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78.5</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16.6</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15.8</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14.4</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15.6</w:t>
            </w:r>
          </w:p>
        </w:tc>
        <w:tc>
          <w:tcPr>
            <w:tcW w:w="910"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2.85</w:t>
            </w:r>
          </w:p>
        </w:tc>
        <w:tc>
          <w:tcPr>
            <w:tcW w:w="909"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3.01</w:t>
            </w:r>
          </w:p>
        </w:tc>
        <w:tc>
          <w:tcPr>
            <w:tcW w:w="910"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2.95</w:t>
            </w:r>
          </w:p>
        </w:tc>
        <w:tc>
          <w:tcPr>
            <w:tcW w:w="910"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2.94</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80</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992"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3.07</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3.24</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3.12</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3.14</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0.120</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0.112</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0.103</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0.112</w:t>
            </w:r>
          </w:p>
        </w:tc>
        <w:tc>
          <w:tcPr>
            <w:tcW w:w="910"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0.148</w:t>
            </w:r>
          </w:p>
        </w:tc>
        <w:tc>
          <w:tcPr>
            <w:tcW w:w="909"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0.156</w:t>
            </w:r>
          </w:p>
        </w:tc>
        <w:tc>
          <w:tcPr>
            <w:tcW w:w="910"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0.155</w:t>
            </w:r>
          </w:p>
        </w:tc>
        <w:tc>
          <w:tcPr>
            <w:tcW w:w="910"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0.153</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40021</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39052</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41106</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7219</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7094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7138</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52072</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51723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52397</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8" w:type="dxa"/>
            <w:gridSpan w:val="2"/>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备注</w:t>
            </w:r>
          </w:p>
        </w:tc>
        <w:tc>
          <w:tcPr>
            <w:tcW w:w="12989" w:type="dxa"/>
            <w:gridSpan w:val="14"/>
            <w:tcMar>
              <w:left w:w="0" w:type="dxa"/>
              <w:right w:w="0" w:type="dxa"/>
            </w:tcMar>
            <w:vAlign w:val="center"/>
          </w:tcPr>
          <w:p>
            <w:pPr>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1、“/”表示不需计算。</w:t>
            </w:r>
          </w:p>
          <w:p>
            <w:pPr>
              <w:widowControl/>
              <w:adjustRightInd w:val="0"/>
              <w:snapToGrid w:val="0"/>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2、“---”表示</w:t>
            </w:r>
            <w:r>
              <w:rPr>
                <w:rFonts w:hint="default" w:ascii="Times New Roman" w:hAnsi="Times New Roman" w:cs="Times New Roman"/>
                <w:bCs/>
                <w:kern w:val="0"/>
                <w:sz w:val="18"/>
                <w:szCs w:val="18"/>
              </w:rPr>
              <w:t>《工业涂装工序大气污染物排放标准》（DB 33/2146-2018）表1</w:t>
            </w:r>
            <w:r>
              <w:rPr>
                <w:rFonts w:hint="default" w:ascii="Times New Roman" w:hAnsi="Times New Roman" w:cs="Times New Roman"/>
                <w:kern w:val="0"/>
                <w:sz w:val="18"/>
                <w:szCs w:val="18"/>
                <w:lang w:bidi="ar"/>
              </w:rPr>
              <w:t>对该项目未做限制。</w:t>
            </w:r>
          </w:p>
          <w:p>
            <w:pPr>
              <w:widowControl/>
              <w:adjustRightInd w:val="0"/>
              <w:snapToGrid w:val="0"/>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3、当实测浓度为未检出时，排放速率用检出限计算。</w:t>
            </w:r>
          </w:p>
        </w:tc>
      </w:tr>
    </w:tbl>
    <w:p>
      <w:pPr>
        <w:keepNext w:val="0"/>
        <w:keepLines w:val="0"/>
        <w:pageBreakBefore w:val="0"/>
        <w:widowControl w:val="0"/>
        <w:kinsoku/>
        <w:wordWrap/>
        <w:overflowPunct/>
        <w:topLinePunct w:val="0"/>
        <w:autoSpaceDE/>
        <w:autoSpaceDN/>
        <w:bidi w:val="0"/>
        <w:adjustRightInd/>
        <w:snapToGrid/>
        <w:spacing w:line="120" w:lineRule="exact"/>
        <w:ind w:firstLine="100" w:firstLineChars="100"/>
        <w:jc w:val="center"/>
        <w:textAlignment w:val="auto"/>
        <w:rPr>
          <w:rFonts w:ascii="Times New Roman" w:hAnsi="Times New Roman"/>
          <w:b/>
          <w:bCs/>
          <w:sz w:val="10"/>
          <w:szCs w:val="10"/>
        </w:rPr>
      </w:pPr>
    </w:p>
    <w:p>
      <w:pPr>
        <w:spacing w:line="360" w:lineRule="auto"/>
        <w:ind w:firstLine="211" w:firstLineChars="100"/>
        <w:jc w:val="center"/>
        <w:rPr>
          <w:rFonts w:ascii="Times New Roman" w:hAnsi="Times New Roman"/>
          <w:b/>
          <w:bCs/>
          <w:szCs w:val="21"/>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2</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2</w:t>
      </w:r>
      <w:r>
        <w:rPr>
          <w:rFonts w:hint="eastAsia" w:ascii="Times New Roman" w:hAnsi="Times New Roman"/>
          <w:b/>
          <w:bCs/>
          <w:szCs w:val="21"/>
        </w:rPr>
        <w:t>）</w:t>
      </w: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6"/>
        <w:gridCol w:w="992"/>
        <w:gridCol w:w="909"/>
        <w:gridCol w:w="910"/>
        <w:gridCol w:w="909"/>
        <w:gridCol w:w="910"/>
        <w:gridCol w:w="909"/>
        <w:gridCol w:w="910"/>
        <w:gridCol w:w="910"/>
        <w:gridCol w:w="909"/>
        <w:gridCol w:w="910"/>
        <w:gridCol w:w="909"/>
        <w:gridCol w:w="910"/>
        <w:gridCol w:w="910"/>
        <w:gridCol w:w="1701"/>
        <w:gridCol w:w="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989" w:type="dxa"/>
            <w:gridSpan w:val="14"/>
            <w:tcMar>
              <w:left w:w="113" w:type="dxa"/>
              <w:right w:w="113" w:type="dxa"/>
            </w:tcMar>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2023年12月22日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989" w:type="dxa"/>
            <w:gridSpan w:val="14"/>
            <w:tcMar>
              <w:left w:w="113" w:type="dxa"/>
              <w:right w:w="113" w:type="dxa"/>
            </w:tcMar>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2023年12月23日-24日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989" w:type="dxa"/>
            <w:gridSpan w:val="14"/>
            <w:tcMar>
              <w:left w:w="113" w:type="dxa"/>
              <w:right w:w="113" w:type="dxa"/>
            </w:tcMar>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调漆、喷漆、烘干、固化废气处理设施DA001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12989" w:type="dxa"/>
            <w:gridSpan w:val="14"/>
            <w:tcMar>
              <w:left w:w="113" w:type="dxa"/>
              <w:right w:w="113" w:type="dxa"/>
            </w:tcMar>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538" w:type="dxa"/>
            <w:gridSpan w:val="2"/>
            <w:vMerge w:val="restart"/>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32992" behindDoc="0" locked="0" layoutInCell="1" allowOverlap="1">
                      <wp:simplePos x="0" y="0"/>
                      <wp:positionH relativeFrom="column">
                        <wp:posOffset>13335</wp:posOffset>
                      </wp:positionH>
                      <wp:positionV relativeFrom="paragraph">
                        <wp:posOffset>21590</wp:posOffset>
                      </wp:positionV>
                      <wp:extent cx="969010" cy="457200"/>
                      <wp:effectExtent l="1905" t="4445" r="19685" b="14605"/>
                      <wp:wrapNone/>
                      <wp:docPr id="5" name="直接箭头连接符 5"/>
                      <wp:cNvGraphicFramePr/>
                      <a:graphic xmlns:a="http://schemas.openxmlformats.org/drawingml/2006/main">
                        <a:graphicData uri="http://schemas.microsoft.com/office/word/2010/wordprocessingShape">
                          <wps:wsp>
                            <wps:cNvCnPr>
                              <a:cxnSpLocks noChangeShapeType="1"/>
                            </wps:cNvCnPr>
                            <wps:spPr bwMode="auto">
                              <a:xfrm>
                                <a:off x="0" y="0"/>
                                <a:ext cx="969010" cy="4572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5pt;margin-top:1.7pt;height:36pt;width:76.3pt;z-index:251732992;mso-width-relative:page;mso-height-relative:page;" filled="f" stroked="t" coordsize="21600,21600" o:gfxdata="UEsDBAoAAAAAAIdO4kAAAAAAAAAAAAAAAAAEAAAAZHJzL1BLAwQUAAAACACHTuJAnfDLOtUAAAAG&#10;AQAADwAAAGRycy9kb3ducmV2LnhtbE2OwU7DMBBE70j8g7VIXFBrJyS0hGwqhMSBI20lrm68JIF4&#10;HcVOU/r1uCc4jmb05pWbk+3FkUbfOUZIlgoEce1Mxw3Cfve6WIPwQbPRvWNC+CEPm+r6qtSFcTO/&#10;03EbGhEh7AuN0IYwFFL6uiWr/dINxLH7dKPVIcaxkWbUc4TbXqZKPUirO44PrR7opaX6eztZBPJT&#10;nqjnR9vs387z3Ud6/pqHHeLtTaKeQAQ6hb8xXPSjOlTR6eAmNl70CGkShwj3GYhLm2crEAeEVZ6B&#10;rEr5X7/6BVBLAwQUAAAACACHTuJAzrlah/sBAADQAwAADgAAAGRycy9lMm9Eb2MueG1srVPNbhMx&#10;EL4j8Q6W72STiBS6yqaHROVSoFLLAzhe766F7bE8TjZ5CV4AiRNwAk698zRQHoOx8wMtlx7Yg2V7&#10;PN83882307ONNWytAmpwFR8NhpwpJ6HWrq34m+vzJ885wyhcLQw4VfGtQn42e/xo2vtSjaEDU6vA&#10;CMRh2fuKdzH6sihQdsoKHIBXjoINBCsiHUNb1EH0hG5NMR4OT4oeQu0DSIVIt4tdkO8Rw0MAoWm0&#10;VAuQK6tc3KEGZUSklrDTHvksV9s0SsbXTYMqMlNx6jTmlUhov0xrMZuKsg3Cd1ruSxAPKeFeT1Zo&#10;R6RHqIWIgq2C/gfKahkAoYkDCbbYNZIVoS5Gw3vaXHXCq9wLSY3+KDr+P1j5an0ZmK4rPuHMCUsD&#10;v31/8/Pdp9tvX398vPn1/UPaf/nMJkmq3mNJGXN3GVKzcuOu/AXIt8gczDvhWpVLvt56whmljOJO&#10;SjqgJ8Jl/xJqeiNWEbJumybYBEmKsE0ez/Y4HrWJTNLl6ckpacSZpNDTyTMyU2YQ5SHZB4wvFFiW&#10;NhXHGIRuuzgH58gIEEaZSqwvMKbSRHlISMwOzrUx2Q/GsZ7oJuNJTkAwuk7B9AxDu5ybwNYiOSp/&#10;+yruPAuwcvWOxLiUp7IZ98wHHXaKLqHeXoaDWDToXNvelMlJf5+zpH9+xN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fDLOtUAAAAGAQAADwAAAAAAAAABACAAAAAiAAAAZHJzL2Rvd25yZXYueG1s&#10;UEsBAhQAFAAAAAgAh07iQM65Wof7AQAA0AMAAA4AAAAAAAAAAQAgAAAAJAEAAGRycy9lMm9Eb2Mu&#10;eG1sUEsFBgAAAAAGAAYAWQEAAJEFA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34016" behindDoc="0" locked="0" layoutInCell="1" allowOverlap="1">
                      <wp:simplePos x="0" y="0"/>
                      <wp:positionH relativeFrom="column">
                        <wp:posOffset>13335</wp:posOffset>
                      </wp:positionH>
                      <wp:positionV relativeFrom="paragraph">
                        <wp:posOffset>29845</wp:posOffset>
                      </wp:positionV>
                      <wp:extent cx="457200" cy="640080"/>
                      <wp:effectExtent l="3810" t="2540" r="15240" b="5080"/>
                      <wp:wrapNone/>
                      <wp:docPr id="6"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457200" cy="6400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5pt;margin-top:2.35pt;height:50.4pt;width:36pt;z-index:251734016;mso-width-relative:page;mso-height-relative:page;" filled="f" stroked="t" coordsize="21600,21600" o:gfxdata="UEsDBAoAAAAAAIdO4kAAAAAAAAAAAAAAAAAEAAAAZHJzL1BLAwQUAAAACACHTuJA32fcC9QAAAAG&#10;AQAADwAAAGRycy9kb3ducmV2LnhtbE2OwU7DMBBE70j9B2srcUHUTtTQNsSpqkocONJW4urGSxKI&#10;11HsNKVfz3KC42ieZl6xvbpOXHAIrScNyUKBQKq8banWcDq+PK5BhGjIms4TavjGANtydleY3PqJ&#10;3vByiLXgEQq50dDE2OdShqpBZ8LC90jcffjBmchxqKUdzMTjrpOpUk/SmZb4oTE97husvg6j04Bh&#10;zBK127j69HqbHt7T2+fUH7W+nyfqGUTEa/yD4Vef1aFkp7MfyQbRaUgTBjUsVyC4XS05nplSWQay&#10;LOR//fIHUEsDBBQAAAAIAIdO4kDCf5Kf/wEAANADAAAOAAAAZHJzL2Uyb0RvYy54bWytU81uEzEQ&#10;viPxDpbvZDdVE8oqmx4SlUuBSC0P4Hi9uxZej+VxsslL8AJInIAT5dQ7TwPlMRg7P5Ry6YE9WLbH&#10;881833w7Od90hq2VRw225MNBzpmyEiptm5K/vb54dsYZBmErYcCqkm8V8vPp0yeT3hXqBFowlfKM&#10;QCwWvSt5G4IrsgxlqzqBA3DKUrAG34lAR99klRc9oXcmO8nzcdaDr5wHqRDpdr4L8j2ifwwg1LWW&#10;ag5y1SkbdqheGRGIErbaIZ+mbutayfCmrlEFZkpOTENaqQjtl3HNphNRNF64Vst9C+IxLTzg1Alt&#10;qegRai6CYCuv/4HqtPSAUIeBhC7bEUmKEIth/kCbq1Y4lbiQ1OiOouP/g5Wv1wvPdFXyMWdWdDTw&#10;uw+3P99/vvt28+PT7a/vH+P+6xc2jlL1DgvKmNmFj2Tlxl65S5DvkFmYtcI2KrV8vXWEM4wZ2V8p&#10;8YCOCi77V1DRG7EKkHTb1L6LkKQI26TxbI/jUZvAJF2ejp6TgTiTFBqf5vlZGl8mikOy8xheKuhY&#10;3JQcgxe6acMMrCUjgB+mUmJ9iSG2JopDQqxs4UIbk/xgLOtL/mJ0MkoJCEZXMRifoW+WM+PZWkRH&#10;pS/xpMj9Zx5WttoVMTbmqWTGfeWDDjtFl1BtF/4gFg069bY3ZXTS/XOS9M+POP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2fcC9QAAAAGAQAADwAAAAAAAAABACAAAAAiAAAAZHJzL2Rvd25yZXYu&#10;eG1sUEsBAhQAFAAAAAgAh07iQMJ/kp//AQAA0AMAAA4AAAAAAAAAAQAgAAAAIwEAAGRycy9lMm9E&#10;b2MueG1sUEsFBgAAAAAGAAYAWQEAAJQ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35040" behindDoc="0" locked="0" layoutInCell="1" allowOverlap="1">
                      <wp:simplePos x="0" y="0"/>
                      <wp:positionH relativeFrom="column">
                        <wp:posOffset>622300</wp:posOffset>
                      </wp:positionH>
                      <wp:positionV relativeFrom="paragraph">
                        <wp:posOffset>-12700</wp:posOffset>
                      </wp:positionV>
                      <wp:extent cx="478155" cy="391795"/>
                      <wp:effectExtent l="0" t="0" r="0" b="0"/>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478155" cy="39179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采样</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pt;margin-top:-1pt;height:30.85pt;width:37.65pt;z-index:251735040;mso-width-relative:page;mso-height-relative:page;" filled="f" stroked="f" coordsize="21600,21600" o:gfxdata="UEsDBAoAAAAAAIdO4kAAAAAAAAAAAAAAAAAEAAAAZHJzL1BLAwQUAAAACACHTuJA3tChQ9oAAAAI&#10;AQAADwAAAGRycy9kb3ducmV2LnhtbE2PT2vCQBDF74V+h2UKvRTdqNQ/aSYeBKmUghhbz2t2mgSz&#10;szG7Jvbbdz3V02N4w3u/lyyvphYdta6yjDAaRiCIc6srLhC+9uvBHITzirWqLRPCLzlYpo8PiYq1&#10;7XlHXeYLEULYxQqh9L6JpXR5SUa5oW2Ig/djW6N8ONtC6lb1IdzUchxFU2lUxaGhVA2tSspP2cUg&#10;9Pm2O+w/3+X25bCxfN6cV9n3B+Lz0yh6A+Hp6v+f4YYf0CENTEd7Ye1EjbCYhykeYTAOevNnkwmI&#10;I8LrYgYyTeT9gPQPUEsDBBQAAAAIAIdO4kDbK/boEgIAABcEAAAOAAAAZHJzL2Uyb0RvYy54bWyt&#10;U82O0zAQviPxDpbvNE1p6TZqulpttQhpgZUWHsB1nMYi9pix26S8DBK3fQgeB/EaTJy0dJfLHrhY&#10;nh9/M9834+Vla2q2V+g12JynozFnykootN3m/POnm1cXnPkgbCFqsCrnB+X55erli2XjMjWBCupC&#10;ISMQ67PG5bwKwWVJ4mWljPAjcMpSsAQ0IpCJ26RA0RC6qZPJePwmaQALhyCV9+Rd90E+IOJzAKEs&#10;tVRrkDujbOhRUdUiECVfaef5KnZblkqGj2XpVWB1zolpiCcVofumO5PVUmRbFK7ScmhBPKeFJ5yM&#10;0JaKnqDWIgi2Q/0PlNESwUMZRhJM0hOJihCLdPxEm/tKOBW5kNTenUT3/w9WftjfIdMFbcKUMysM&#10;Tfz394dfP38wcpA6jfMZJd27O+z4eXcL8otnFq4rYbfqChGaSomCekq7/OTRg87w9JRtmvdQELbY&#10;BYhCtSWaDpAkYG2cx+E0D9UGJsk5nV+ksxlnkkKvF+l8MYsVRHZ87NCHtwoM6y45Rxp3BBf7Wx+6&#10;ZkR2TOlqWbjRdR1HXttHDkrsPSruzPD62H2vQmg37SDIBooDkULo94l+E10qwG+cNbRLOfdfdwIV&#10;Z/U7S8Is0um0W75oTGfzCRl4HtmcR4SVBJXzwFl/vQ79wu4c6m1FldJI0sIViVnqSLRrte9qGAHt&#10;S+Q/7Ha3kOd2zPr7n1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7QoUPaAAAACAEAAA8AAAAA&#10;AAAAAQAgAAAAIgAAAGRycy9kb3ducmV2LnhtbFBLAQIUABQAAAAIAIdO4kDbK/boEgIAABcEAAAO&#10;AAAAAAAAAAEAIAAAACkBAABkcnMvZTJvRG9jLnhtbFBLBQYAAAAABgAGAFkBAACt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采样</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频次</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30944" behindDoc="0" locked="0" layoutInCell="1" allowOverlap="1">
                      <wp:simplePos x="0" y="0"/>
                      <wp:positionH relativeFrom="column">
                        <wp:posOffset>379095</wp:posOffset>
                      </wp:positionH>
                      <wp:positionV relativeFrom="paragraph">
                        <wp:posOffset>267970</wp:posOffset>
                      </wp:positionV>
                      <wp:extent cx="503555" cy="374015"/>
                      <wp:effectExtent l="0" t="0" r="0" b="0"/>
                      <wp:wrapNone/>
                      <wp:docPr id="22" name="矩形 22"/>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85pt;margin-top:21.1pt;height:29.45pt;width:39.65pt;z-index:251730944;mso-width-relative:page;mso-height-relative:page;" filled="f" stroked="f" coordsize="21600,21600" o:gfxdata="UEsDBAoAAAAAAIdO4kAAAAAAAAAAAAAAAAAEAAAAZHJzL1BLAwQUAAAACACHTuJAyL2yydkAAAAJ&#10;AQAADwAAAGRycy9kb3ducmV2LnhtbE2PzU7DMBCE70i8g7VIXBC1E34b4vRQCVEhpIoUenbjJYmI&#10;12nsJuXt2Z7gtqMZzX6TL46uEyMOofWkIZkpEEiVty3VGj42z9ePIEI0ZE3nCTX8YIBFcX6Wm8z6&#10;id5xLGMtuIRCZjQ0MfaZlKFq0Jkw8z0Se19+cCayHGppBzNxuetkqtS9dKYl/tCYHpcNVt/lwWmY&#10;qvW43by9yPXVduVpv9ovy89XrS8vEvUEIuIx/oXhhM/oUDDTzh/IBtFpuJs/cFLDbZqCOPk3c962&#10;40MlCcgil/8XFL9QSwMEFAAAAAgAh07iQMK8mqUOAgAACQQAAA4AAABkcnMvZTJvRG9jLnhtbK1T&#10;zY7TMBC+I/EOlu80SbdhIWq6Wm21CGmBlRYewHWcxiLxmLHbpLwMEjcegsdBvAZjJ1u6y2UPXCzP&#10;j7+Z75vx8mLoWrZX6DSYkmezlDNlJFTabEv+6eP1i1ecOS9MJVowquQH5fjF6vmzZW8LNYcG2koh&#10;IxDjit6WvPHeFkniZKM64WZglaFgDdgJTyZukwpFT+hdm8zT9GXSA1YWQSrnyLseg3xCxKcAQl1r&#10;qdYgd50yfkRF1QpPlFyjreOr2G1dK+k/1LVTnrUlJ6Y+nlSE7ptwJqulKLYobKPl1IJ4SguPOHVC&#10;Gyp6hFoLL9gO9T9QnZYIDmo/k9AlI5GoCLHI0kfa3DXCqsiFpHb2KLr7f7Dy/f4Wma5KPp9zZkRH&#10;E//97cevn98ZOUid3rqCku7sLQZ+zt6A/OyYgatGmK26RIS+UaKinrKQnzx4EAxHT9mmfwcVYYud&#10;hyjUUGMXAEkCNsR5HI7zUINnkpx5epbnOWeSQmfnizTLYwVR3D+26PwbBR0Ll5IjjTuCi/2N86EZ&#10;UdynhFoGrnXbxpG35oGDEoMnNh/6HXn7YTNMEmygOhANhHGD6P/QpQH8yllP21Ny92UnUHHWvjUk&#10;xetssQjrFo1Ffj4nA08jm9OIMJKgSu45G69XflzRnUW9bahSFmkZuCT5ah2pBWnHrqa+aUMi42mb&#10;wwqe2jHr7w9e/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vbLJ2QAAAAkBAAAPAAAAAAAAAAEA&#10;IAAAACIAAABkcnMvZG93bnJldi54bWxQSwECFAAUAAAACACHTuJAwryapQ4CAAAJBAAADgAAAAAA&#10;AAABACAAAAAoAQAAZHJzL2Uyb0RvYy54bWxQSwUGAAAAAAYABgBZAQAAqAU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结果</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31968" behindDoc="0" locked="0" layoutInCell="1" allowOverlap="1">
                      <wp:simplePos x="0" y="0"/>
                      <wp:positionH relativeFrom="column">
                        <wp:posOffset>-71120</wp:posOffset>
                      </wp:positionH>
                      <wp:positionV relativeFrom="paragraph">
                        <wp:posOffset>325120</wp:posOffset>
                      </wp:positionV>
                      <wp:extent cx="489585" cy="408305"/>
                      <wp:effectExtent l="0" t="0" r="0" b="0"/>
                      <wp:wrapNone/>
                      <wp:docPr id="39" name="矩形 3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6pt;margin-top:25.6pt;height:32.15pt;width:38.55pt;z-index:251731968;mso-width-relative:page;mso-height-relative:page;" filled="f" stroked="f" coordsize="21600,21600" o:gfxdata="UEsDBAoAAAAAAIdO4kAAAAAAAAAAAAAAAAAEAAAAZHJzL1BLAwQUAAAACACHTuJAjLCZDtkAAAAJ&#10;AQAADwAAAGRycy9kb3ducmV2LnhtbE2PwUrDQBCG74LvsIzgRdrNFlI0ZtNDQSwiFFPteZsdk2B2&#10;Ns1uk/r2Tk/2NAzz8c/356uz68SIQ2g9aVDzBARS5W1LtYbP3cvsEUSIhqzpPKGGXwywKm5vcpNZ&#10;P9EHjmWsBYdQyIyGJsY+kzJUDToT5r5H4tu3H5yJvA61tIOZONx1cpEkS+lMS/yhMT2uG6x+ypPT&#10;MFXbcb97f5Xbh/3G03FzXJdfb1rf36nkGUTEc/yH4aLP6lCw08GfyAbRaZgptWBUQ3qZDCzTJxAH&#10;BlWagixyed2g+ANQSwMEFAAAAAgAh07iQCHEXvsOAgAACQQAAA4AAABkcnMvZTJvRG9jLnhtbK1T&#10;zW4TMRC+I/EOlu9kN20CySqbqmpUhFSgUuEBHK83a7H2mLGT3fAySNz6EDwO4jUYe9OQlksPXCzP&#10;j7+Z75vx4qI3Ldsp9BpsycejnDNlJVTabkr++dP1qxlnPghbiRasKvleeX6xfPli0blCnUEDbaWQ&#10;EYj1RedK3oTgiizzslFG+BE4ZSlYAxoRyMRNVqHoCN202Vmev846wMohSOU9eVdDkB8Q8TmAUNda&#10;qhXIrVE2DKioWhGIkm+083yZuq1rJcPHuvYqsLbkxDSkk4rQfR3PbLkQxQaFa7Q8tCCe08ITTkZo&#10;S0WPUCsRBNui/gfKaIngoQ4jCSYbiCRFiMU4f6LNXSOcSlxIau+Oovv/Bys/7G6R6ark53POrDA0&#10;8d/f73/9/MHIQep0zheUdOduMfLz7gbkF88sXDXCbtQlInSNEhX1NI752aMH0fD0lK2791ARttgG&#10;SEL1NZoISBKwPs1jf5yH6gOT5JzM5tPZlDNJoUk+O8+nqYIoHh479OGtAsPipeRI407gYnfjQ2xG&#10;FA8psZaFa922aeStfeSgxOhJzcd+B96hX/cHCdZQ7YkGwrBB9H/o0gB+46yj7Sm5/7oVqDhr31mS&#10;Yj6eTOK6JWMyfXNGBp5G1qcRYSVBlTxwNlyvwrCiW4d601ClcaJl4ZLkq3WiFqUdujr0TRuSGB+2&#10;Oa7gqZ2y/v7g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sJkO2QAAAAkBAAAPAAAAAAAAAAEA&#10;IAAAACIAAABkcnMvZG93bnJldi54bWxQSwECFAAUAAAACACHTuJAIcRe+w4CAAAJBAAADgAAAAAA&#10;AAABACAAAAAoAQAAZHJzL2Uyb0RvYy54bWxQSwUGAAAAAAYABgBZAQAAqAU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v:textbox>
                    </v:rect>
                  </w:pict>
                </mc:Fallback>
              </mc:AlternateContent>
            </w:r>
          </w:p>
        </w:tc>
        <w:tc>
          <w:tcPr>
            <w:tcW w:w="3638" w:type="dxa"/>
            <w:gridSpan w:val="4"/>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调漆、喷漆废气处理设施进口DA0011-1</w:t>
            </w:r>
          </w:p>
        </w:tc>
        <w:tc>
          <w:tcPr>
            <w:tcW w:w="3638" w:type="dxa"/>
            <w:gridSpan w:val="4"/>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烘干、固化废气处理设施进口DA0012-1</w:t>
            </w:r>
          </w:p>
        </w:tc>
        <w:tc>
          <w:tcPr>
            <w:tcW w:w="3639" w:type="dxa"/>
            <w:gridSpan w:val="4"/>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调漆、喷漆、烘干、固化废气处理设施出口DA001-2</w:t>
            </w:r>
          </w:p>
        </w:tc>
        <w:tc>
          <w:tcPr>
            <w:tcW w:w="1701"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《工业涂装工序大气污染物排放标准》</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（DB33/ 2146-2018）</w:t>
            </w:r>
          </w:p>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表1</w:t>
            </w:r>
          </w:p>
        </w:tc>
        <w:tc>
          <w:tcPr>
            <w:tcW w:w="373" w:type="dxa"/>
            <w:vMerge w:val="restart"/>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538" w:type="dxa"/>
            <w:gridSpan w:val="2"/>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701"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37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二甲苯</w:t>
            </w:r>
          </w:p>
        </w:tc>
        <w:tc>
          <w:tcPr>
            <w:tcW w:w="992"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0.455</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0.506</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0.479</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0.480</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0.080</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0.096</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0.085</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0.087</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＜0.013</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＜0.013</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992"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1.83×10</w:t>
            </w:r>
            <w:r>
              <w:rPr>
                <w:rFonts w:hint="default" w:ascii="Times New Roman" w:hAnsi="Times New Roman" w:cs="Times New Roman"/>
                <w:bCs/>
                <w:kern w:val="0"/>
                <w:sz w:val="18"/>
                <w:szCs w:val="18"/>
                <w:vertAlign w:val="superscript"/>
              </w:rPr>
              <w:t>-2</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2.05×10</w:t>
            </w:r>
            <w:r>
              <w:rPr>
                <w:rFonts w:hint="default" w:ascii="Times New Roman" w:hAnsi="Times New Roman" w:cs="Times New Roman"/>
                <w:bCs/>
                <w:kern w:val="0"/>
                <w:sz w:val="18"/>
                <w:szCs w:val="18"/>
                <w:vertAlign w:val="superscript"/>
              </w:rPr>
              <w:t>-2</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1.94×10</w:t>
            </w:r>
            <w:r>
              <w:rPr>
                <w:rFonts w:hint="default" w:ascii="Times New Roman" w:hAnsi="Times New Roman" w:cs="Times New Roman"/>
                <w:bCs/>
                <w:kern w:val="0"/>
                <w:sz w:val="18"/>
                <w:szCs w:val="18"/>
                <w:vertAlign w:val="superscript"/>
              </w:rPr>
              <w:t>-2</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1.94×10</w:t>
            </w:r>
            <w:r>
              <w:rPr>
                <w:rFonts w:hint="default" w:ascii="Times New Roman" w:hAnsi="Times New Roman" w:cs="Times New Roman"/>
                <w:bCs/>
                <w:kern w:val="0"/>
                <w:sz w:val="18"/>
                <w:szCs w:val="18"/>
                <w:vertAlign w:val="superscript"/>
              </w:rPr>
              <w:t>-2</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5.83×10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6.91×10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5.92×10</w:t>
            </w:r>
            <w:r>
              <w:rPr>
                <w:rFonts w:hint="default" w:ascii="Times New Roman" w:hAnsi="Times New Roman" w:cs="Times New Roman"/>
                <w:bCs/>
                <w:kern w:val="0"/>
                <w:sz w:val="18"/>
                <w:szCs w:val="18"/>
                <w:vertAlign w:val="superscript"/>
              </w:rPr>
              <w:t>-4</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6.22×10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6.68×10</w:t>
            </w:r>
            <w:r>
              <w:rPr>
                <w:rFonts w:hint="default" w:ascii="Times New Roman" w:hAnsi="Times New Roman" w:cs="Times New Roman"/>
                <w:bCs/>
                <w:kern w:val="0"/>
                <w:sz w:val="18"/>
                <w:szCs w:val="18"/>
                <w:vertAlign w:val="superscript"/>
              </w:rPr>
              <w:t>-4</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6.59×10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6.68×10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6.65×10</w:t>
            </w:r>
            <w:r>
              <w:rPr>
                <w:rFonts w:hint="default" w:ascii="Times New Roman" w:hAnsi="Times New Roman" w:cs="Times New Roman"/>
                <w:bCs/>
                <w:kern w:val="0"/>
                <w:sz w:val="18"/>
                <w:szCs w:val="18"/>
                <w:vertAlign w:val="superscript"/>
              </w:rPr>
              <w:t>-4</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乙酸丁酯</w:t>
            </w:r>
          </w:p>
        </w:tc>
        <w:tc>
          <w:tcPr>
            <w:tcW w:w="992"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0.896</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1.06</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0.997</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0.984</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0.197</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0.209</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0.197</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0.201</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＜0.005</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＜0.005</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＜0.005</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＜0.005</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60</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992"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3.61×10</w:t>
            </w:r>
            <w:r>
              <w:rPr>
                <w:rFonts w:hint="default" w:ascii="Times New Roman" w:hAnsi="Times New Roman" w:cs="Times New Roman"/>
                <w:bCs/>
                <w:kern w:val="0"/>
                <w:sz w:val="18"/>
                <w:szCs w:val="18"/>
                <w:vertAlign w:val="superscript"/>
              </w:rPr>
              <w:t>-2</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4.30×10</w:t>
            </w:r>
            <w:r>
              <w:rPr>
                <w:rFonts w:hint="default" w:ascii="Times New Roman" w:hAnsi="Times New Roman" w:cs="Times New Roman"/>
                <w:bCs/>
                <w:kern w:val="0"/>
                <w:sz w:val="18"/>
                <w:szCs w:val="18"/>
                <w:vertAlign w:val="superscript"/>
              </w:rPr>
              <w:t>-2</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4.04×10</w:t>
            </w:r>
            <w:r>
              <w:rPr>
                <w:rFonts w:hint="default" w:ascii="Times New Roman" w:hAnsi="Times New Roman" w:cs="Times New Roman"/>
                <w:bCs/>
                <w:kern w:val="0"/>
                <w:sz w:val="18"/>
                <w:szCs w:val="18"/>
                <w:vertAlign w:val="superscript"/>
              </w:rPr>
              <w:t>-2</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3.98×10</w:t>
            </w:r>
            <w:r>
              <w:rPr>
                <w:rFonts w:hint="default" w:ascii="Times New Roman" w:hAnsi="Times New Roman" w:cs="Times New Roman"/>
                <w:bCs/>
                <w:kern w:val="0"/>
                <w:sz w:val="18"/>
                <w:szCs w:val="18"/>
                <w:vertAlign w:val="superscript"/>
              </w:rPr>
              <w:t>-2</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1.44×10</w:t>
            </w:r>
            <w:r>
              <w:rPr>
                <w:rFonts w:hint="default" w:ascii="Times New Roman" w:hAnsi="Times New Roman" w:cs="Times New Roman"/>
                <w:bCs/>
                <w:kern w:val="0"/>
                <w:sz w:val="18"/>
                <w:szCs w:val="18"/>
                <w:vertAlign w:val="superscript"/>
              </w:rPr>
              <w:t>-3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1.51×10</w:t>
            </w:r>
            <w:r>
              <w:rPr>
                <w:rFonts w:hint="default" w:ascii="Times New Roman" w:hAnsi="Times New Roman" w:cs="Times New Roman"/>
                <w:bCs/>
                <w:kern w:val="0"/>
                <w:sz w:val="18"/>
                <w:szCs w:val="18"/>
                <w:vertAlign w:val="superscript"/>
              </w:rPr>
              <w:t>-3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1.37×10</w:t>
            </w:r>
            <w:r>
              <w:rPr>
                <w:rFonts w:hint="default" w:ascii="Times New Roman" w:hAnsi="Times New Roman" w:cs="Times New Roman"/>
                <w:bCs/>
                <w:kern w:val="0"/>
                <w:sz w:val="18"/>
                <w:szCs w:val="18"/>
                <w:vertAlign w:val="superscript"/>
              </w:rPr>
              <w:t>-3</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1.44×10</w:t>
            </w:r>
            <w:r>
              <w:rPr>
                <w:rFonts w:hint="default" w:ascii="Times New Roman" w:hAnsi="Times New Roman" w:cs="Times New Roman"/>
                <w:bCs/>
                <w:kern w:val="0"/>
                <w:sz w:val="18"/>
                <w:szCs w:val="18"/>
                <w:vertAlign w:val="superscript"/>
              </w:rPr>
              <w:t>-3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2.57×10</w:t>
            </w:r>
            <w:r>
              <w:rPr>
                <w:rFonts w:hint="default" w:ascii="Times New Roman" w:hAnsi="Times New Roman" w:cs="Times New Roman"/>
                <w:bCs/>
                <w:kern w:val="0"/>
                <w:sz w:val="18"/>
                <w:szCs w:val="18"/>
                <w:vertAlign w:val="superscript"/>
              </w:rPr>
              <w:t>-4</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2.54×10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2.57×10</w:t>
            </w:r>
            <w:r>
              <w:rPr>
                <w:rFonts w:hint="default" w:ascii="Times New Roman" w:hAnsi="Times New Roman" w:cs="Times New Roman"/>
                <w:bCs/>
                <w:kern w:val="0"/>
                <w:sz w:val="18"/>
                <w:szCs w:val="18"/>
                <w:vertAlign w:val="superscript"/>
              </w:rPr>
              <w:t>-4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2.56×10</w:t>
            </w:r>
            <w:r>
              <w:rPr>
                <w:rFonts w:hint="default" w:ascii="Times New Roman" w:hAnsi="Times New Roman" w:cs="Times New Roman"/>
                <w:bCs/>
                <w:kern w:val="0"/>
                <w:sz w:val="18"/>
                <w:szCs w:val="18"/>
                <w:vertAlign w:val="superscript"/>
              </w:rPr>
              <w:t>-4</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非甲烷总烃</w:t>
            </w:r>
          </w:p>
        </w:tc>
        <w:tc>
          <w:tcPr>
            <w:tcW w:w="992"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78.4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77.5</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75.4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16.9</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15.0</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15.3</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15.7</w:t>
            </w:r>
          </w:p>
        </w:tc>
        <w:tc>
          <w:tcPr>
            <w:tcW w:w="910"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3.05</w:t>
            </w:r>
          </w:p>
        </w:tc>
        <w:tc>
          <w:tcPr>
            <w:tcW w:w="909"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3.10</w:t>
            </w:r>
          </w:p>
        </w:tc>
        <w:tc>
          <w:tcPr>
            <w:tcW w:w="910"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3.02</w:t>
            </w:r>
          </w:p>
        </w:tc>
        <w:tc>
          <w:tcPr>
            <w:tcW w:w="910"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3.06</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80</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992"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3.16</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3.14</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3.06</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3.12</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0.123</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0.108</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0.107</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0.113</w:t>
            </w:r>
          </w:p>
        </w:tc>
        <w:tc>
          <w:tcPr>
            <w:tcW w:w="910"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0.157</w:t>
            </w:r>
          </w:p>
        </w:tc>
        <w:tc>
          <w:tcPr>
            <w:tcW w:w="909"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0.157</w:t>
            </w:r>
          </w:p>
        </w:tc>
        <w:tc>
          <w:tcPr>
            <w:tcW w:w="910"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0.155</w:t>
            </w:r>
          </w:p>
        </w:tc>
        <w:tc>
          <w:tcPr>
            <w:tcW w:w="910" w:type="dxa"/>
            <w:vAlign w:val="center"/>
          </w:tcPr>
          <w:p>
            <w:pPr>
              <w:widowControl/>
              <w:adjustRightInd w:val="0"/>
              <w:snapToGrid w:val="0"/>
              <w:jc w:val="center"/>
              <w:rPr>
                <w:rFonts w:hint="default" w:ascii="Times New Roman" w:hAnsi="Times New Roman" w:eastAsia="宋体" w:cs="Times New Roman"/>
                <w:bCs/>
                <w:kern w:val="0"/>
                <w:sz w:val="18"/>
                <w:szCs w:val="18"/>
                <w:lang w:val="en-US" w:eastAsia="zh-CN"/>
              </w:rPr>
            </w:pPr>
            <w:r>
              <w:rPr>
                <w:rFonts w:hint="default" w:ascii="Times New Roman" w:hAnsi="Times New Roman" w:cs="Times New Roman"/>
                <w:bCs/>
                <w:kern w:val="0"/>
                <w:sz w:val="18"/>
                <w:szCs w:val="18"/>
                <w:lang w:val="en-US" w:eastAsia="zh-CN"/>
              </w:rPr>
              <w:t>0.156</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38"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40304</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40526</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40525</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7287</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7201</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6966</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51408</w:t>
            </w:r>
          </w:p>
        </w:tc>
        <w:tc>
          <w:tcPr>
            <w:tcW w:w="90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50709</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51408</w:t>
            </w:r>
          </w:p>
        </w:tc>
        <w:tc>
          <w:tcPr>
            <w:tcW w:w="91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70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37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8" w:type="dxa"/>
            <w:gridSpan w:val="2"/>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备注</w:t>
            </w:r>
          </w:p>
        </w:tc>
        <w:tc>
          <w:tcPr>
            <w:tcW w:w="12989" w:type="dxa"/>
            <w:gridSpan w:val="14"/>
            <w:tcMar>
              <w:left w:w="0" w:type="dxa"/>
              <w:right w:w="0" w:type="dxa"/>
            </w:tcMar>
            <w:vAlign w:val="center"/>
          </w:tcPr>
          <w:p>
            <w:pPr>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1、“/”表示不需计算。</w:t>
            </w:r>
          </w:p>
          <w:p>
            <w:pPr>
              <w:widowControl/>
              <w:adjustRightInd w:val="0"/>
              <w:snapToGrid w:val="0"/>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2、“---”表示</w:t>
            </w:r>
            <w:r>
              <w:rPr>
                <w:rFonts w:hint="default" w:ascii="Times New Roman" w:hAnsi="Times New Roman" w:cs="Times New Roman"/>
                <w:bCs/>
                <w:kern w:val="0"/>
                <w:sz w:val="18"/>
                <w:szCs w:val="18"/>
              </w:rPr>
              <w:t>《工业涂装工序大气污染物排放标准》（DB 33/2146-2018）表1</w:t>
            </w:r>
            <w:r>
              <w:rPr>
                <w:rFonts w:hint="default" w:ascii="Times New Roman" w:hAnsi="Times New Roman" w:cs="Times New Roman"/>
                <w:kern w:val="0"/>
                <w:sz w:val="18"/>
                <w:szCs w:val="18"/>
                <w:lang w:bidi="ar"/>
              </w:rPr>
              <w:t>对该项目未做限制。</w:t>
            </w:r>
          </w:p>
          <w:p>
            <w:pPr>
              <w:widowControl/>
              <w:adjustRightInd w:val="0"/>
              <w:snapToGrid w:val="0"/>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3、当实测浓度为未检出时，排放速率用检出限计算。</w:t>
            </w:r>
          </w:p>
        </w:tc>
      </w:tr>
    </w:tbl>
    <w:p>
      <w:pPr>
        <w:spacing w:line="360" w:lineRule="auto"/>
        <w:ind w:firstLine="211" w:firstLineChars="100"/>
        <w:jc w:val="center"/>
        <w:rPr>
          <w:rFonts w:ascii="Times New Roman" w:hAnsi="Times New Roman"/>
          <w:b/>
          <w:bCs/>
          <w:szCs w:val="21"/>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3</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3</w:t>
      </w:r>
      <w:r>
        <w:rPr>
          <w:rFonts w:hint="eastAsia" w:ascii="Times New Roman" w:hAnsi="Times New Roman"/>
          <w:b/>
          <w:bCs/>
          <w:szCs w:val="21"/>
        </w:rPr>
        <w:t>）</w:t>
      </w: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7"/>
        <w:gridCol w:w="1169"/>
        <w:gridCol w:w="1170"/>
        <w:gridCol w:w="1169"/>
        <w:gridCol w:w="1170"/>
        <w:gridCol w:w="1240"/>
        <w:gridCol w:w="1240"/>
        <w:gridCol w:w="1240"/>
        <w:gridCol w:w="1241"/>
        <w:gridCol w:w="1843"/>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280" w:type="dxa"/>
            <w:gridSpan w:val="1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2023年12月21日-22日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280" w:type="dxa"/>
            <w:gridSpan w:val="1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2023年12月21日-22日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280" w:type="dxa"/>
            <w:gridSpan w:val="1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调漆、喷漆、烘干、固化废气处理设施出口DA001-2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12280" w:type="dxa"/>
            <w:gridSpan w:val="1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vMerge w:val="restart"/>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10464" behindDoc="0" locked="0" layoutInCell="1" allowOverlap="1">
                      <wp:simplePos x="0" y="0"/>
                      <wp:positionH relativeFrom="column">
                        <wp:posOffset>1081405</wp:posOffset>
                      </wp:positionH>
                      <wp:positionV relativeFrom="paragraph">
                        <wp:posOffset>-1270</wp:posOffset>
                      </wp:positionV>
                      <wp:extent cx="478155" cy="430530"/>
                      <wp:effectExtent l="0" t="0" r="0" b="0"/>
                      <wp:wrapNone/>
                      <wp:docPr id="21"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430530"/>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采样</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85.15pt;margin-top:-0.1pt;height:33.9pt;width:37.65pt;z-index:251710464;mso-width-relative:page;mso-height-relative:page;" filled="f" stroked="f" coordsize="21600,21600" o:gfxdata="UEsDBAoAAAAAAIdO4kAAAAAAAAAAAAAAAAAEAAAAZHJzL1BLAwQUAAAACACHTuJABAIub9kAAAAI&#10;AQAADwAAAGRycy9kb3ducmV2LnhtbE2PQUvDQBSE74L/YXmCF2l3GzWVmE0PBbGIUEy15232mQSz&#10;b9PsNqn/3udJj8MMM9/kq7PrxIhDaD1pWMwVCKTK25ZqDe+7p9kDiBANWdN5Qg3fGGBVXF7kJrN+&#10;ojccy1gLLqGQGQ1NjH0mZagadCbMfY/E3qcfnIksh1rawUxc7jqZKJVKZ1rihcb0uG6w+ipPTsNU&#10;bcf97vVZbm/2G0/HzXFdfrxofX21UI8gIp7jXxh+8RkdCmY6+BPZIDrWS3XLUQ2zBAT7yd19CuKg&#10;IV2mIItc/j9Q/ABQSwMEFAAAAAgAh07iQFgZyT8UAgAAGAQAAA4AAABkcnMvZTJvRG9jLnhtbK1T&#10;S27bMBDdF+gdCO5rWf7kI1gOghgpCqRtgKQHoCnKIipx2CFtyb1Mge56iB6n6DU6pGTXSTdZdEPM&#10;cGYe570ZLq66pmY7hU6DyXk6GnOmjIRCm03OPz3evrngzHlhClGDUTnfK8evlq9fLVqbqQlUUBcK&#10;GYEYl7U255X3NksSJyvVCDcCqwwFS8BGeHJxkxQoWkJv6mQyHp8lLWBhEaRyjm5XfZAPiPgSQChL&#10;LdUK5LZRxveoqGrhiZKrtHV8GbstSyX9x7J0yrM658TUx5MeIXsdzmS5ENkGha20HFoQL2nhGadG&#10;aEOPHqFWwgu2Rf0PVKMlgoPSjyQ0SU8kKkIs0vEzbR4qYVXkQlI7exTd/T9Y+WF3j0wXOZ+knBnR&#10;0MR/f/vx6+d3djadBnla6zLKerD3GAg6ewfys2MGbiphNuoaEdpKiYKaSkN+8qQgOI5K2bp9DwWB&#10;i62HqFRXYhMASQPWxYHsjwNRnWeSLmfnF+l8zpmk0Gw6nk/jwBKRHYotOv9WQcOCkXOkeUdwsbtz&#10;PjQjskNKeMvAra7rOPPaPLmgxP5GxaUZqg/d9yr4bt0Ngqyh2BMphH6h6DuRUQF+5aylZcq5+7IV&#10;qDir3xkS5jKdzcL2RWc2P5+Qg6eR9WlEGElQOfec9eaN7zd2a1FvKnopjSQNXJOYpY5EQ6t9V8MI&#10;aGEi/2G5w0ae+jHr74de/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Ai5v2QAAAAgBAAAPAAAA&#10;AAAAAAEAIAAAACIAAABkcnMvZG93bnJldi54bWxQSwECFAAUAAAACACHTuJAWBnJPxQCAAAYBAAA&#10;DgAAAAAAAAABACAAAAAoAQAAZHJzL2Uyb0RvYy54bWxQSwUGAAAAAAYABgBZAQAArgU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采样</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频次</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06368" behindDoc="0" locked="0" layoutInCell="1" allowOverlap="1">
                      <wp:simplePos x="0" y="0"/>
                      <wp:positionH relativeFrom="column">
                        <wp:posOffset>632460</wp:posOffset>
                      </wp:positionH>
                      <wp:positionV relativeFrom="paragraph">
                        <wp:posOffset>203200</wp:posOffset>
                      </wp:positionV>
                      <wp:extent cx="503555" cy="374015"/>
                      <wp:effectExtent l="0" t="0" r="0" b="0"/>
                      <wp:wrapNone/>
                      <wp:docPr id="49"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9.8pt;margin-top:16pt;height:29.45pt;width:39.65pt;z-index:251706368;mso-width-relative:page;mso-height-relative:page;" filled="f" stroked="f" coordsize="21600,21600" o:gfxdata="UEsDBAoAAAAAAIdO4kAAAAAAAAAAAAAAAAAEAAAAZHJzL1BLAwQUAAAACACHTuJAg5nlztgAAAAI&#10;AQAADwAAAGRycy9kb3ducmV2LnhtbE2PQUvDQBCF74L/YRnBi9jdVqhNmk0PBbGIUEy15212mgSz&#10;s2l2m9R/7/Skx+F7vPletrq4VgzYh8aThulEgUAqvW2o0vC5e3lcgAjRkDWtJ9TwgwFW+e1NZlLr&#10;R/rAoYiV4BIKqdFQx9ilUoayRmfCxHdIzI6+dyby2VfS9mbkctfKmVJz6UxD/KE2Ha5rLL+Ls9Mw&#10;ltthv3t/lduH/cbTaXNaF19vWt/fTdUSRMRL/AvDVZ/VIWengz+TDaLVkCRzTmp4mvGkK39eJCAO&#10;DFQCMs/k/wH5L1BLAwQUAAAACACHTuJA9GcoYRACAAAKBAAADgAAAGRycy9lMm9Eb2MueG1srVPB&#10;btswDL0P2D8Iui+2m7hdjThF0aDDgG4r0O0DFFmOhdmiRimxs58ZsFs/Yp8z7DdGyWmadpcedhFI&#10;kXrke6TmF0PXsq1Cp8GUPJuknCkjodJmXfIvn6/fvOXMeWEq0YJRJd8pxy8Wr1/Ne1uoE2igrRQy&#10;AjGu6G3JG+9tkSRONqoTbgJWGQrWgJ3w5OI6qVD0hN61yUmaniY9YGURpHKObpdjkO8R8SWAUNda&#10;qiXITaeMH1FRtcITJddo6/gidlvXSvpPde2UZ23JiamPJxUhexXOZDEXxRqFbbTctyBe0sIzTp3Q&#10;hooeoJbCC7ZB/Q9UpyWCg9pPJHTJSCQqQiyy9Jk2d42wKnIhqZ09iO7+H6z8uL1FpquSz845M6Kj&#10;if/5cf/71092Oo3y9NYVlHVnbzEQdPYG5FfHDFw1wqzVJSL0jRIVNZUFOZMnD4Lj6Clb9R+gInCx&#10;8RCVGmrsAiBpwIY4kN1hIGrwTNJlnk7zPOdMUmh6NkuzPFYQxcNji86/U9CxYJQcad4RXGxvnA/N&#10;iOIhJdQycK3bNs68NU8uKDHcxOZDv2GBXOGH1UDZwVxBtSMaCOMK0QciowH8zllP61Ny920jUHHW&#10;vjckxXk2m4V9i84sPzshB48jq+OIMJKgSu45G80rP+7oxqJeN1Qpi7QMXJJ8tY7UHrva900rEhnv&#10;1zns4LEfsx6/8O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5nlztgAAAAIAQAADwAAAAAAAAAB&#10;ACAAAAAiAAAAZHJzL2Rvd25yZXYueG1sUEsBAhQAFAAAAAgAh07iQPRnKGEQAgAACgQAAA4AAAAA&#10;AAAAAQAgAAAAJwEAAGRycy9lMm9Eb2MueG1sUEsFBgAAAAAGAAYAWQEAAKkFA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结果</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08416" behindDoc="0" locked="0" layoutInCell="1" allowOverlap="1">
                      <wp:simplePos x="0" y="0"/>
                      <wp:positionH relativeFrom="column">
                        <wp:posOffset>5080</wp:posOffset>
                      </wp:positionH>
                      <wp:positionV relativeFrom="paragraph">
                        <wp:posOffset>-635</wp:posOffset>
                      </wp:positionV>
                      <wp:extent cx="1410970" cy="374015"/>
                      <wp:effectExtent l="1270" t="4445" r="16510" b="21590"/>
                      <wp:wrapNone/>
                      <wp:docPr id="50"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37401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4pt;margin-top:-0.05pt;height:29.45pt;width:111.1pt;z-index:251708416;mso-width-relative:page;mso-height-relative:page;" filled="f" stroked="t" coordsize="21600,21600" o:gfxdata="UEsDBAoAAAAAAIdO4kAAAAAAAAAAAAAAAAAEAAAAZHJzL1BLAwQUAAAACACHTuJAE4MhVNUAAAAF&#10;AQAADwAAAGRycy9kb3ducmV2LnhtbE3PwU7DMAwG4DsS7xAZiQva0hZt6krdCSFx4Mg2adesMW2h&#10;caomXceeHnOCo/Vbvz+X24vr1ZnG0HlGSJcJKOLa244bhMP+dZGDCtGwNb1nQvimANvq9qY0hfUz&#10;v9N5FxslJRwKg9DGOBRah7olZ8LSD8SSffjRmSjj2Gg7mlnKXa+zJFlrZzqWC60Z6KWl+ms3OQQK&#10;0ypNnjeuObxd54djdv2chz3i/V2aPIGKdIl/y/DLFzpUYjr5iW1QPYK4I8IiBSVhlj3KYyeEVZ6D&#10;rkr9X1/9AFBLAwQUAAAACACHTuJAxILg0fkBAADLAwAADgAAAGRycy9lMm9Eb2MueG1srVOxbtsw&#10;EN0L9B8I7rUkJ04awXIGG+mStgaSfABNURJRkkeQtGVv3Yp+Q7eO/Yf0bwK0f5EjZbtNumSoBoLH&#10;u3t3791pernVimyE8xJMRYtRTokwHGpp2ore3V69eUuJD8zUTIERFd0JTy9nr19Ne1uKMXSgauEI&#10;ghhf9raiXQi2zDLPO6GZH4EVBp0NOM0Cmq7Nasd6RNcqG+f5WdaDq60DLrzH18XgpHtE9xJAaBrJ&#10;xQL4WgsTBlQnFAtIyXfSejpL3TaN4OFj03gRiKooMg3pxCJ4X8Uzm01Z2TpmO8n3LbCXtPCMk2bS&#10;YNEj1IIFRtZO/gOlJXfgoQkjDjobiCRFkEWRP9PmpmNWJC4otbdH0f3/g+UfNktHZF3RCUpimMaJ&#10;//ry4/fnrw/ffj7cfydnJ0UUqbe+xNi5WbpIk2/Njb0G/skTA/OOmVakZm93FgFSRvYkJRreYqlV&#10;/x5qjGHrAEmxbeN0hEQtyDYNZnccjNgGwvGxOC3yi3NskKPv5Pw0LyaxqYyVh2zrfHgnQJN4qagP&#10;jsm2C3MwBncAXJFqsc21D0PiISGWNnAllUqroAzpK3oxGU9Sggcl6+iMYd61q7lyZMPiMqVv38WT&#10;MAdrUw9FlIl5Iu3hvvJBiEHSFdS7pYvB8R1nnEjt9zEu0d92ivrzD84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ODIVTVAAAABQEAAA8AAAAAAAAAAQAgAAAAIgAAAGRycy9kb3ducmV2LnhtbFBL&#10;AQIUABQAAAAIAIdO4kDEguDR+QEAAMsDAAAOAAAAAAAAAAEAIAAAACQBAABkcnMvZTJvRG9jLnht&#10;bFBLBQYAAAAABgAGAFkBAACPBQ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09440" behindDoc="0" locked="0" layoutInCell="1" allowOverlap="1">
                      <wp:simplePos x="0" y="0"/>
                      <wp:positionH relativeFrom="column">
                        <wp:posOffset>2540</wp:posOffset>
                      </wp:positionH>
                      <wp:positionV relativeFrom="paragraph">
                        <wp:posOffset>6350</wp:posOffset>
                      </wp:positionV>
                      <wp:extent cx="914400" cy="654685"/>
                      <wp:effectExtent l="2540" t="3810" r="16510" b="8255"/>
                      <wp:wrapNone/>
                      <wp:docPr id="51" name="自选图形 632"/>
                      <wp:cNvGraphicFramePr/>
                      <a:graphic xmlns:a="http://schemas.openxmlformats.org/drawingml/2006/main">
                        <a:graphicData uri="http://schemas.microsoft.com/office/word/2010/wordprocessingShape">
                          <wps:wsp>
                            <wps:cNvCnPr>
                              <a:cxnSpLocks noChangeShapeType="1"/>
                            </wps:cNvCnPr>
                            <wps:spPr bwMode="auto">
                              <a:xfrm>
                                <a:off x="0" y="0"/>
                                <a:ext cx="91440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2pt;margin-top:0.5pt;height:51.55pt;width:72pt;z-index:251709440;mso-width-relative:page;mso-height-relative:page;" filled="f" stroked="t" coordsize="21600,21600" o:gfxdata="UEsDBAoAAAAAAIdO4kAAAAAAAAAAAAAAAAAEAAAAZHJzL1BLAwQUAAAACACHTuJA5vzqdNIAAAAG&#10;AQAADwAAAGRycy9kb3ducmV2LnhtbE2PwU7DMBBE70j8g7VIXBC1UwUEIU6FkDhwpK3EdRsvSSBe&#10;R7HTlH49mxMcZ2c0+6bcnHyvjjTGLrCFbGVAEdfBddxY2O9ebx9AxYTssA9MFn4owqa6vCixcGHm&#10;dzpuU6OkhGOBFtqUhkLrWLfkMa7CQCzeZxg9JpFjo92Is5T7Xq+NudceO5YPLQ700lL9vZ28BYrT&#10;XWaeH32zfzvPNx/r89c87Ky9vsrME6hEp/QXhgVf0KESpkOY2EXVW8glJ1fZs5h5Lvqw6DwDXZX6&#10;P371C1BLAwQUAAAACACHTuJAr/EbYvgBAADKAwAADgAAAGRycy9lMm9Eb2MueG1srVPNjtMwEL4j&#10;8Q6W7zRNaavdqOkeWi2XBSrt8gCu4yQWjscau01744Z4Bm4ceQd4m5XgLXbs/sAulz2Qg+XxzHzf&#10;zDeT2dWuM2yr0GuwJc8HQ86UlVBp25T8w931qwvOfBC2EgasKvleeX41f/li1rtCjaAFUylkBGJ9&#10;0buStyG4Isu8bFUn/ACcsuSsATsRyMQmq1D0hN6ZbDQcTrMesHIIUnlPr8uDkx8R8TmAUNdaqiXI&#10;TadsOKCiMiJQS77VzvN5qraulQzv69qrwEzJqdOQTiKh+zqe2XwmigaFa7U8liCeU8KTnjqhLZGe&#10;oZYiCLZB/Q9UpyWChzoMJHTZoZGkCHWRD59oc9sKp1IvJLV3Z9H9/4OV77YrZLoq+STnzIqOJv7r&#10;8/ffn77cf/15/+Mbm74eRZF65wuKXdgVxjblzt66G5AfPbOwaIVtVCr2bu8III8Z2aOUaHhHVOv+&#10;LVQUIzYBkmK7GrsISVqwXRrM/jwYtQtM0uNlPh4PaWSSXNPJeHoxSQyiOCU79OGNgo7FS8l9QKGb&#10;NizAWloBwDxRie2ND7E0UZwSIrOFa21M2gRjWU90k9EkJXgwuorOGOaxWS8Msq2Iu5S+YxWPwhA2&#10;tjqQGBvzVFrDI/NJh4Oia6j2KzyJRSNOtR3XMe7Q33aS9M8vOH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vzqdNIAAAAGAQAADwAAAAAAAAABACAAAAAiAAAAZHJzL2Rvd25yZXYueG1sUEsBAhQA&#10;FAAAAAgAh07iQK/xG2L4AQAAygMAAA4AAAAAAAAAAQAgAAAAIQEAAGRycy9lMm9Eb2MueG1sUEsF&#10;BgAAAAAGAAYAWQEAAIs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07392"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52"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07392;mso-width-relative:page;mso-height-relative:page;" filled="f" stroked="f" coordsize="21600,21600" o:gfxdata="UEsDBAoAAAAAAIdO4kAAAAAAAAAAAAAAAAAEAAAAZHJzL1BLAwQUAAAACACHTuJA8F6QBNgAAAAH&#10;AQAADwAAAGRycy9kb3ducmV2LnhtbE2OTUvDQBCG74L/YRnBi7S7/VBCzKaHglhEKE1tz9vsmASz&#10;s2l2m9R/73jS0/DyPrzzZKura8WAfWg8aZhNFQik0tuGKg0f+5dJAiJEQ9a0nlDDNwZY5bc3mUmt&#10;H2mHQxErwSMUUqOhjrFLpQxljc6Eqe+QuPv0vTORY19J25uRx10r50o9SWca4g+16XBdY/lVXJyG&#10;sdwOx/37q9w+HDeezpvzuji8aX1/N1PPICJe4x8Mv/qsDjk7nfyFbBCthsWcQQ3LJV+uE7UAcWJM&#10;JY8g80z+989/AFBLAwQUAAAACACHTuJAW60/eBACAAALBAAADgAAAGRycy9lMm9Eb2MueG1srVPB&#10;jtMwEL0j8Q+W7zRJaaGNmq5WWy1CWmClhQ9wHaexSDxm7DYpP4PEjY/gcxC/wdjJlu5y2QOXyOMZ&#10;v3nvzWR10bcNOyh0GkzBs0nKmTISSm12Bf/08frFgjPnhSlFA0YV/Kgcv1g/f7bqbK6mUENTKmQE&#10;Ylze2YLX3ts8SZysVSvcBKwylKwAW+EpxF1SougIvW2SaZq+SjrA0iJI5RzdboYkHxHxKYBQVVqq&#10;Dch9q4wfUFE1wpMkV2vr+DqyrSol/YeqcsqzpuCk1McvNaHzNnyT9UrkOxS21nKkIJ5C4ZGmVmhD&#10;TU9QG+EF26P+B6rVEsFB5ScS2mQQEh0hFVn6yJu7WlgVtZDVzp5Md/8PVr4/3CLTZcHnU86MaGni&#10;v7/9+PXzO8uydBn86azLqezO3mJQ6OwNyM+OGbiqhdmpS0ToaiVKYpWF+uTBgxA4esq23TsoCV3s&#10;PUSr+grbAEgmsD5O5HiaiOo9k3Q5WyznizlnklKzdPEynccOIr9/bNH5NwpaFg4FRxp4BBeHG+cD&#10;GZHfl4ReBq5108ShN+bBBRWGm0g+8B10+37bjxZsoTySDIRhh+gPokMN+JWzjvan4O7LXqDirHlr&#10;yIplNpuFhYvBbP56SgGeZ7bnGWEkQRXcczYcr/ywpHuLeldTpyzKMnBJ9lU6SgvWDqxG3rQjUfG4&#10;z2EJz+NY9fcfXv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F6QBNgAAAAHAQAADwAAAAAAAAAB&#10;ACAAAAAiAAAAZHJzL2Rvd25yZXYueG1sUEsBAhQAFAAAAAgAh07iQFutP3gQAgAACwQAAA4AAAAA&#10;AAAAAQAgAAAAJwEAAGRycy9lMm9Eb2MueG1sUEsFBgAAAAAGAAYAWQEAAKkFA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v:textbox>
                    </v:rect>
                  </w:pict>
                </mc:Fallback>
              </mc:AlternateContent>
            </w:r>
          </w:p>
        </w:tc>
        <w:tc>
          <w:tcPr>
            <w:tcW w:w="4678" w:type="dxa"/>
            <w:gridSpan w:val="4"/>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出口</w:t>
            </w:r>
            <w:r>
              <w:rPr>
                <w:rFonts w:hint="default" w:ascii="Times New Roman" w:hAnsi="Times New Roman" w:eastAsia="仿宋" w:cs="Times New Roman"/>
                <w:sz w:val="18"/>
                <w:szCs w:val="18"/>
              </w:rPr>
              <w:t>DA001-2</w:t>
            </w:r>
            <w:r>
              <w:rPr>
                <w:rFonts w:hint="default" w:ascii="Times New Roman" w:hAnsi="Times New Roman" w:cs="Times New Roman"/>
                <w:bCs/>
                <w:kern w:val="0"/>
                <w:sz w:val="18"/>
                <w:szCs w:val="18"/>
              </w:rPr>
              <w:t>（12月21日）</w:t>
            </w:r>
          </w:p>
        </w:tc>
        <w:tc>
          <w:tcPr>
            <w:tcW w:w="4961" w:type="dxa"/>
            <w:gridSpan w:val="4"/>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出口</w:t>
            </w:r>
            <w:r>
              <w:rPr>
                <w:rFonts w:hint="default" w:ascii="Times New Roman" w:hAnsi="Times New Roman" w:eastAsia="仿宋" w:cs="Times New Roman"/>
                <w:sz w:val="18"/>
                <w:szCs w:val="18"/>
              </w:rPr>
              <w:t>DA001-2</w:t>
            </w:r>
            <w:r>
              <w:rPr>
                <w:rFonts w:hint="default" w:ascii="Times New Roman" w:hAnsi="Times New Roman" w:cs="Times New Roman"/>
                <w:bCs/>
                <w:kern w:val="0"/>
                <w:sz w:val="18"/>
                <w:szCs w:val="18"/>
              </w:rPr>
              <w:t>（12月22日）</w:t>
            </w:r>
          </w:p>
        </w:tc>
        <w:tc>
          <w:tcPr>
            <w:tcW w:w="1843"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《工业涂装工序大气污染物排放标准》</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（DB 33/2146-2018）</w:t>
            </w:r>
          </w:p>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表1</w:t>
            </w:r>
          </w:p>
        </w:tc>
        <w:tc>
          <w:tcPr>
            <w:tcW w:w="798" w:type="dxa"/>
            <w:vMerge w:val="restart"/>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16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17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169"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17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最大值</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最大值</w:t>
            </w:r>
          </w:p>
        </w:tc>
        <w:tc>
          <w:tcPr>
            <w:tcW w:w="184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798"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臭气浓度</w:t>
            </w:r>
          </w:p>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（无量纲）</w:t>
            </w:r>
          </w:p>
        </w:tc>
        <w:tc>
          <w:tcPr>
            <w:tcW w:w="116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549</w:t>
            </w:r>
          </w:p>
        </w:tc>
        <w:tc>
          <w:tcPr>
            <w:tcW w:w="117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851</w:t>
            </w:r>
          </w:p>
        </w:tc>
        <w:tc>
          <w:tcPr>
            <w:tcW w:w="1169"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549</w:t>
            </w:r>
          </w:p>
        </w:tc>
        <w:tc>
          <w:tcPr>
            <w:tcW w:w="117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851</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630</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724</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354</w:t>
            </w:r>
          </w:p>
        </w:tc>
        <w:tc>
          <w:tcPr>
            <w:tcW w:w="1241"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724</w:t>
            </w:r>
          </w:p>
        </w:tc>
        <w:tc>
          <w:tcPr>
            <w:tcW w:w="1843"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1000</w:t>
            </w:r>
          </w:p>
        </w:tc>
        <w:tc>
          <w:tcPr>
            <w:tcW w:w="798"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7" w:type="dxa"/>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备注</w:t>
            </w:r>
          </w:p>
        </w:tc>
        <w:tc>
          <w:tcPr>
            <w:tcW w:w="12280" w:type="dxa"/>
            <w:gridSpan w:val="10"/>
            <w:tcMar>
              <w:left w:w="0" w:type="dxa"/>
              <w:right w:w="0" w:type="dxa"/>
            </w:tcMar>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bl>
    <w:p>
      <w:pPr>
        <w:keepNext w:val="0"/>
        <w:keepLines w:val="0"/>
        <w:pageBreakBefore w:val="0"/>
        <w:widowControl w:val="0"/>
        <w:kinsoku/>
        <w:wordWrap/>
        <w:overflowPunct/>
        <w:topLinePunct w:val="0"/>
        <w:autoSpaceDE/>
        <w:autoSpaceDN/>
        <w:bidi w:val="0"/>
        <w:adjustRightInd/>
        <w:snapToGrid/>
        <w:spacing w:line="80" w:lineRule="exact"/>
        <w:ind w:firstLine="100" w:firstLineChars="100"/>
        <w:textAlignment w:val="auto"/>
        <w:rPr>
          <w:rFonts w:hint="eastAsia" w:ascii="Times New Roman" w:hAnsi="Times New Roman" w:cs="Times New Roman"/>
          <w:sz w:val="10"/>
          <w:szCs w:val="10"/>
        </w:rPr>
      </w:pPr>
    </w:p>
    <w:p>
      <w:pPr>
        <w:spacing w:line="360" w:lineRule="auto"/>
        <w:ind w:firstLine="211" w:firstLineChars="100"/>
        <w:jc w:val="center"/>
        <w:rPr>
          <w:rFonts w:hint="eastAsia" w:ascii="Times New Roman" w:hAnsi="Times New Roman" w:cs="Times New Roman"/>
          <w:sz w:val="24"/>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3</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4</w:t>
      </w:r>
      <w:r>
        <w:rPr>
          <w:rFonts w:hint="eastAsia" w:ascii="Times New Roman" w:hAnsi="Times New Roman"/>
          <w:b/>
          <w:bCs/>
          <w:szCs w:val="21"/>
        </w:rPr>
        <w:t>）</w:t>
      </w: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280" w:type="dxa"/>
            <w:gridSpan w:val="10"/>
            <w:tcMar>
              <w:left w:w="113" w:type="dxa"/>
              <w:right w:w="113" w:type="dxa"/>
            </w:tcMar>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2023年12月21日-22日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280" w:type="dxa"/>
            <w:gridSpan w:val="10"/>
            <w:tcMar>
              <w:left w:w="113" w:type="dxa"/>
              <w:right w:w="113" w:type="dxa"/>
            </w:tcMar>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2023年12月21日-24日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280" w:type="dxa"/>
            <w:gridSpan w:val="10"/>
            <w:tcMar>
              <w:left w:w="113" w:type="dxa"/>
              <w:right w:w="113" w:type="dxa"/>
            </w:tcMar>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天然气燃烧废气排放口DA001-2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4961" w:type="dxa"/>
            <w:gridSpan w:val="4"/>
            <w:tcMar>
              <w:left w:w="113" w:type="dxa"/>
              <w:right w:w="113" w:type="dxa"/>
            </w:tcMar>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15m</w:t>
            </w:r>
          </w:p>
        </w:tc>
        <w:tc>
          <w:tcPr>
            <w:tcW w:w="4962" w:type="dxa"/>
            <w:gridSpan w:val="4"/>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燃料</w:t>
            </w:r>
          </w:p>
        </w:tc>
        <w:tc>
          <w:tcPr>
            <w:tcW w:w="2357"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restart"/>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38112" behindDoc="0" locked="0" layoutInCell="1" allowOverlap="1">
                      <wp:simplePos x="0" y="0"/>
                      <wp:positionH relativeFrom="column">
                        <wp:posOffset>3175</wp:posOffset>
                      </wp:positionH>
                      <wp:positionV relativeFrom="paragraph">
                        <wp:posOffset>-3175</wp:posOffset>
                      </wp:positionV>
                      <wp:extent cx="1410970" cy="457200"/>
                      <wp:effectExtent l="1270" t="4445" r="16510" b="14605"/>
                      <wp:wrapNone/>
                      <wp:docPr id="40"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38112;mso-width-relative:page;mso-height-relative:page;" filled="f" stroked="t" coordsize="21600,21600" o:gfxdata="UEsDBAoAAAAAAIdO4kAAAAAAAAAAAAAAAAAEAAAAZHJzL1BLAwQUAAAACACHTuJA5IpjQdQAAAAF&#10;AQAADwAAAGRycy9kb3ducmV2LnhtbE2OwU7DMBBE70j8g7VIXFBrx1IopNlUCIkDR9pKvbrxNgnE&#10;dhQ7TenXs5zgNBrNaOaVm4vrxZnG2AWPkC0VCPJ1sJ1vEPa7t8UTiJiMt6YPnhC+KcKmur0pTWHD&#10;7D/ovE2N4BEfC4PQpjQUUsa6JWfiMgzkOTuF0ZnEdmykHc3M466XWqlH6Uzn+aE1A722VH9tJ4dA&#10;ccoz9fLsmv37dX446OvnPOwQ7+8ytQaR6JL+yvCLz+hQMdMxTN5G0SPk3ENYsHCotV6BOCKsshxk&#10;Vcr/9NUPUEsDBBQAAAAIAIdO4kCHcwov+AEAAMsDAAAOAAAAZHJzL2Uyb0RvYy54bWytU8GO0zAQ&#10;vSPxD5bvNE1pd9mo6R5aLZcFVtrlA1zHSSwcjzV2m/bGDfEN3DjyD/A3K8FfMHbawi6XPZCD5fHM&#10;vJn3ZjK/3HWGbRV6Dbbk+WjMmbISKm2bkr+/u3rxijMfhK2EAatKvleeXy6eP5v3rlATaMFUChmB&#10;WF/0ruRtCK7IMi9b1Qk/AqcsOWvATgQysckqFD2hdyabjMdnWQ9YOQSpvKfX1eDkB0R8CiDUtZZq&#10;BXLTKRsGVFRGBKLkW+08X6Ru61rJ8K6uvQrMlJyYhnRSEbqv45kt5qJoULhWy0ML4iktPOLUCW2p&#10;6AlqJYJgG9T/QHVaIniow0hClw1EkiLEIh8/0ua2FU4lLiS1dyfR/f+DlW+3N8h0VfIpSWJFRxP/&#10;+enbr4+f77/8uP/+lZ29zKNIvfMFxS7tDUaacmdv3TXID55ZWLbCNio1e7d3BJAysgcp0fCOSq37&#10;N1BRjNgESIrtauwiJGnBdmkw+9Ng1C4wSY/5NB9fnFODknzT2TntUWwqE8Ux26EPrxV0LF5K7gMK&#10;3bRhCdbSDgDmqZbYXvswJB4TYmkLV9qYtArGsr7kF7PJLCV4MLqKzhjmsVkvDbKtiMuUvkMXD8IQ&#10;NrYaihgb81Taw0PloxCDpGuo9jcYg+M7zTiROuxjXKK/7RT15x9c/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imNB1AAAAAUBAAAPAAAAAAAAAAEAIAAAACIAAABkcnMvZG93bnJldi54bWxQSwEC&#10;FAAUAAAACACHTuJAh3MKL/gBAADLAwAADgAAAAAAAAABACAAAAAj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36064"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41"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36064;mso-width-relative:page;mso-height-relative:page;" filled="f" stroked="f" coordsize="21600,21600" o:gfxdata="UEsDBAoAAAAAAIdO4kAAAAAAAAAAAAAAAAAEAAAAZHJzL1BLAwQUAAAACACHTuJARHFBsdkAAAAI&#10;AQAADwAAAGRycy9kb3ducmV2LnhtbE2PQU/CQBCF7yb+h82YeDGyRWMLpVsOJEZiTIhFOS/doW3s&#10;zpbu0uK/dzjJcfK9vPletjzbVgzY+8aRgukkAoFUOtNQpeBr+/o4A+GDJqNbR6jgFz0s89ubTKfG&#10;jfSJQxEqwSXkU62gDqFLpfRljVb7ieuQmB1cb3Xgs6+k6fXI5baVT1EUS6sb4g+17nBVY/lTnKyC&#10;sdwMu+3Hm9w87NaOjuvjqvh+V+r+bhotQAQ8h/8wXPRZHXJ22rsTGS9aBfPkhZMKnucJiAtPYp6y&#10;ZzCLQeaZvB6Q/wFQSwMEFAAAAAgAh07iQCUeKHYQAgAACgQAAA4AAABkcnMvZTJvRG9jLnhtbK1T&#10;wW7bMAy9D9g/CLovtpO43Yw4RdGgw4BuK9DtAxRZjoXZokYpsbOfGbDbPmKfM+w3RslpmnaXHnYR&#10;SJF65HukFhdD17KdQqfBlDybpJwpI6HSZlPyz5+uX73mzHlhKtGCUSXfK8cvli9fLHpbqCk00FYK&#10;GYEYV/S25I33tkgSJxvVCTcBqwwFa8BOeHJxk1QoekLv2mSapmdJD1hZBKmco9vVGOQHRHwOINS1&#10;lmoFctsp40dUVK3wRMk12jq+jN3WtZL+Y1075VlbcmLq40lFyF6HM1kuRLFBYRstDy2I57TwhFMn&#10;tKGiR6iV8IJtUf8D1WmJ4KD2EwldMhKJihCLLH2izV0jrIpcSGpnj6K7/wcrP+xukemq5POMMyM6&#10;mvif7z9///rBzmZRnt66grLu7C0Ggs7egPzimIGrRpiNukSEvlGioqayIGfy6EFwHD1l6/49VAQu&#10;th6iUkONXQAkDdgQB7I/DkQNnkm6zNNZnuecSQrNzudplscKorh/bNH5two6FoySI807govdjfOh&#10;GVHcp4RaBq5128aZt+bRBSWGm9h86DcskCv8sB4oO5hrqPZEA2FcIfpAZDSA3zjraX1K7r5uBSrO&#10;2neGpHiTzedh36Izz8+n5OBpZH0aEUYSVMk9Z6N55ccd3VrUm4YqZZGWgUuSr9aR2kNXh75pRSLj&#10;wzqHHTz1Y9bDF1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RxQbHZAAAACAEAAA8AAAAAAAAA&#10;AQAgAAAAIgAAAGRycy9kb3ducmV2LnhtbFBLAQIUABQAAAAIAIdO4kAlHih2EAIAAAoEAAAOAAAA&#10;AAAAAAEAIAAAACgBAABkcnMvZTJvRG9jLnhtbFBLBQYAAAAABgAGAFkBAACq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39136" behindDoc="0" locked="0" layoutInCell="1" allowOverlap="1">
                      <wp:simplePos x="0" y="0"/>
                      <wp:positionH relativeFrom="column">
                        <wp:posOffset>635</wp:posOffset>
                      </wp:positionH>
                      <wp:positionV relativeFrom="paragraph">
                        <wp:posOffset>3810</wp:posOffset>
                      </wp:positionV>
                      <wp:extent cx="683260" cy="654685"/>
                      <wp:effectExtent l="3175" t="3175" r="18415" b="8890"/>
                      <wp:wrapNone/>
                      <wp:docPr id="42"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39136;mso-width-relative:page;mso-height-relative:page;" filled="f" stroked="t" coordsize="21600,21600" o:gfxdata="UEsDBAoAAAAAAIdO4kAAAAAAAAAAAAAAAAAEAAAAZHJzL1BLAwQUAAAACACHTuJA+zq4SdMAAAAF&#10;AQAADwAAAGRycy9kb3ducmV2LnhtbE2OzU7DMBCE70i8w2orcUHUThENDXEqhMSBY38krm68TULj&#10;dRQ7TenT1znBbUYzmvny9cW2cKbeN44VJnOJQFw603ClcL/7fHpF8EGz0a1jUvhLHtfF/V2uM+NG&#10;3tB5GyqII+wzrbAOocuE8GVNVvu564hjdnS91SHavhKm12Mct61YSLkUVjccH2rd0UdN5Wk7WIXk&#10;h5dEvq9stf+6jo/fi+vP2O2Uepgl8g0h0CX8lXHCj+hYRKaDG9h4aCcPQeESYcpkmiIcJvGcoihy&#10;8Z++uAFQSwMEFAAAAAgAh07iQOcfOFD4AQAAygMAAA4AAABkcnMvZTJvRG9jLnhtbK1TwY7TMBC9&#10;I/EPlu80bXYblajpHlotlwUq7fIBruMkFrbHst2mvXFDfAM3jvwD+zcrwV8wdtPCLpc9kIPl8cy8&#10;N/NmMr/aa0V2wnkJpqKT0ZgSYTjU0rQV/XB3/WpGiQ/M1EyBERU9CE+vFi9fzHtbihw6ULVwBEGM&#10;L3tb0S4EW2aZ553QzI/ACoPOBpxmAU3XZrVjPaJrleXjcZH14GrrgAvv8XV1dNIB0T0HEJpGcrEC&#10;vtXChCOqE4oFbMl30nq6SNU2jeDhfdN4EYiqKHYa0okkeN/EM1vMWdk6ZjvJhxLYc0p40pNm0iDp&#10;GWrFAiNbJ/+B0pI78NCEEQedHRtJimAXk/ETbW47ZkXqBaX29iy6/3+w/N1u7YisK3qZU2KYxon/&#10;/Pz916cvD1/vH358I8VFHkXqrS8xdmnWLrbJ9+bW3gD/6ImBZcdMK1KxdweLAJOYkT1KiYa3SLXp&#10;30KNMWwbICm2b5yOkKgF2afBHM6DEftAOD4Ws4u8wJFxdBXTy2I2TQysPCVb58MbAZrES0V9cEy2&#10;XViCMbgC4CaJiu1ufIilsfKUEJkNXEul0iYoQ/qKvp7m05TgQck6OmOYd+1mqRzZsbhL6RuqeBTm&#10;YGvqI4kyMU+kNRyYTzocFd1AfVi7k1g44lTbsI5xh/62k6R/fsH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s6uEnTAAAABQEAAA8AAAAAAAAAAQAgAAAAIgAAAGRycy9kb3ducmV2LnhtbFBLAQIU&#10;ABQAAAAIAIdO4kDnHzhQ+AEAAMoDAAAOAAAAAAAAAAEAIAAAACIBAABkcnMvZTJvRG9jLnhtbFBL&#10;BQYAAAAABgAGAFkBAACM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3708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43"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37088;mso-width-relative:page;mso-height-relative:page;" filled="f" stroked="f" coordsize="21600,21600" o:gfxdata="UEsDBAoAAAAAAIdO4kAAAAAAAAAAAAAAAAAEAAAAZHJzL1BLAwQUAAAACACHTuJA8F6QBNgAAAAH&#10;AQAADwAAAGRycy9kb3ducmV2LnhtbE2OTUvDQBCG74L/YRnBi7S7/VBCzKaHglhEKE1tz9vsmASz&#10;s2l2m9R/73jS0/DyPrzzZKura8WAfWg8aZhNFQik0tuGKg0f+5dJAiJEQ9a0nlDDNwZY5bc3mUmt&#10;H2mHQxErwSMUUqOhjrFLpQxljc6Eqe+QuPv0vTORY19J25uRx10r50o9SWca4g+16XBdY/lVXJyG&#10;sdwOx/37q9w+HDeezpvzuji8aX1/N1PPICJe4x8Mv/qsDjk7nfyFbBCthsWcQQ3LJV+uE7UAcWJM&#10;JY8g80z+989/AFBLAwQUAAAACACHTuJArDfuphECAAALBAAADgAAAGRycy9lMm9Eb2MueG1srVNB&#10;btswELwX6B8I3mtJidzaguUgiJGiQNoGSPsAmqIsohKXXdKW3M8U6C2P6HOKfqNLynGd9JJDLwKX&#10;u5ydmV0tLoauZTuFToMpeTZJOVNGQqXNpuSfP12/mnHmvDCVaMGoku+V4xfLly8WvS3UGTTQVgoZ&#10;gRhX9Lbkjfe2SBInG9UJNwGrDCVrwE54CnGTVCh6Qu/a5CxNXyc9YGURpHKObldjkh8Q8TmAUNda&#10;qhXIbaeMH1FRtcKTJNdo6/gysq1rJf3HunbKs7bkpNTHLzWh8zp8k+VCFBsUttHyQEE8h8ITTZ3Q&#10;hpoeoVbCC7ZF/Q9UpyWCg9pPJHTJKCQ6Qiqy9Ik3d42wKmohq509mu7+H6z8sLtFpquS5+ecGdHR&#10;xH9/v//18wfLsnQe/OmtK6jszt5iUOjsDcgvjhm4aoTZqEtE6BslKmKVhfrk0YMQOHrK1v17qAhd&#10;bD1Eq4YauwBIJrAhTmR/nIgaPJN0mc/m09mUM0mpPJ2dp9PYQRQPjy06/1ZBx8Kh5EgDj+Bid+N8&#10;ICOKh5LQy8C1bts49NY8uqDCcBPJB76jbj+sh4MFa6j2JANh3CH6g+jQAH7jrKf9Kbn7uhWoOGvf&#10;GbJinuV5WLgY5NM3ZxTgaWZ9mhFGElTJPWfj8cqPS7q1qDcNdcqiLAOXZF+to7Rg7cjqwJt2JCo+&#10;7HNYwtM4Vv39h5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ekATYAAAABwEAAA8AAAAAAAAA&#10;AQAgAAAAIgAAAGRycy9kb3ducmV2LnhtbFBLAQIUABQAAAAIAIdO4kCsN+6mEQIAAAsEAAAOAAAA&#10;AAAAAAEAIAAAACcBAABkcnMvZTJvRG9jLnhtbFBLBQYAAAAABgAGAFkBAACq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40160"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44"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采样</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40160;mso-width-relative:page;mso-height-relative:page;" filled="f" stroked="f" coordsize="21600,21600" o:gfxdata="UEsDBAoAAAAAAIdO4kAAAAAAAAAAAAAAAAAEAAAAZHJzL1BLAwQUAAAACACHTuJAWtluytkAAAAI&#10;AQAADwAAAGRycy9kb3ducmV2LnhtbE2PQUvDQBSE74L/YXmCF2k3TY2ENJseCmIRoZjanrfZZxLM&#10;vk2z26T+e58nPQ4zzHyTr6+2EyMOvnWkYDGPQCBVzrRUK/jYP89SED5oMrpzhAq+0cO6uL3JdWbc&#10;RO84lqEWXEI+0wqaEPpMSl81aLWfux6JvU83WB1YDrU0g5643HYyjqInaXVLvNDoHjcNVl/lxSqY&#10;qt143L+9yN3DcevovD1vysOrUvd3i2gFIuA1/IXhF5/RoWCmk7uQ8aJjnaQJRxXMYhDsx8slXzkp&#10;SNJHkEUu/x8ofgBQSwMEFAAAAAgAh07iQCGcyFAUAgAAGAQAAA4AAABkcnMvZTJvRG9jLnhtbK1T&#10;zY7TMBC+I/EOlu80TX+2S9R0tdpqEdICKy08gOs4jUXiMWO3SXkZJG48BI+DeA3GTlq6y2UPXKwZ&#10;z8zn+b4ZL6+6pmZ7hU6DyXk6GnOmjIRCm23OP328fXXJmfPCFKIGo3J+UI5frV6+WLY2UxOooC4U&#10;MgIxLmttzivvbZYkTlaqEW4EVhkKloCN8OTiNilQtITe1MlkPL5IWsDCIkjlHN2u+yAfEPE5gFCW&#10;Wqo1yF2jjO9RUdXCEyVXaev4KnZblkr6D2XplGd1zompjyc9QvYmnMlqKbItCltpObQgntPCE06N&#10;0IYePUGthRdsh/ofqEZLBAelH0lokp5IVIRYpOMn2jxUwqrIhaR29iS6+3+w8v3+Hpkucj6bcWZE&#10;QxP//e3Hr5/f2cV0GuRprcso68HeYyDo7B3Iz44ZuKmE2aprRGgrJQpqKg35yaOC4DgqZZv2HRQE&#10;LnYeolJdiU0AJA1YFwdyOA1EdZ5JupwtLtP5nDNJoelikqZxYInIjsUWnX+joGHByDnSvCO42N85&#10;H5oR2TElvGXgVtd1nHltHl1QYn+j4tIM1cfuexV8t+kGQTZQHIgUQr9Q9J3IqAC/ctbSMuXcfdkJ&#10;VJzVbw0J8zqdzcL2RWc2X0zIwfPI5jwijCSonHvOevPG9xu7s6i3Fb2URpIGrknMUkeiodW+q2EE&#10;tDCR/7DcYSPP/Zj190O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2W7K2QAAAAgBAAAPAAAA&#10;AAAAAAEAIAAAACIAAABkcnMvZG93bnJldi54bWxQSwECFAAUAAAACACHTuJAIZzIUBQCAAAYBAAA&#10;DgAAAAAAAAABACAAAAAoAQAAZHJzL2Uyb0RvYy54bWxQSwUGAAAAAAYABgBZAQAArgU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采样</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t>
            </w:r>
            <w:r>
              <w:rPr>
                <w:rFonts w:hint="default" w:ascii="Times New Roman" w:hAnsi="Times New Roman" w:eastAsia="仿宋" w:cs="Times New Roman"/>
                <w:sz w:val="18"/>
                <w:szCs w:val="18"/>
              </w:rPr>
              <w:t>DA001-2</w:t>
            </w:r>
            <w:r>
              <w:rPr>
                <w:rFonts w:hint="default" w:ascii="Times New Roman" w:hAnsi="Times New Roman" w:cs="Times New Roman"/>
                <w:bCs/>
                <w:kern w:val="0"/>
                <w:sz w:val="18"/>
                <w:szCs w:val="18"/>
              </w:rPr>
              <w:t>（12月21日）</w:t>
            </w:r>
          </w:p>
        </w:tc>
        <w:tc>
          <w:tcPr>
            <w:tcW w:w="4962" w:type="dxa"/>
            <w:gridSpan w:val="4"/>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出口</w:t>
            </w:r>
            <w:r>
              <w:rPr>
                <w:rFonts w:hint="default" w:ascii="Times New Roman" w:hAnsi="Times New Roman" w:eastAsia="仿宋" w:cs="Times New Roman"/>
                <w:sz w:val="18"/>
                <w:szCs w:val="18"/>
              </w:rPr>
              <w:t>DA001-2</w:t>
            </w:r>
            <w:r>
              <w:rPr>
                <w:rFonts w:hint="default" w:ascii="Times New Roman" w:hAnsi="Times New Roman" w:cs="Times New Roman"/>
                <w:bCs/>
                <w:kern w:val="0"/>
                <w:sz w:val="18"/>
                <w:szCs w:val="18"/>
              </w:rPr>
              <w:t>（12月22日）</w:t>
            </w:r>
          </w:p>
        </w:tc>
        <w:tc>
          <w:tcPr>
            <w:tcW w:w="1842"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《浙江省工业炉窑大气污染综合治理方案》</w:t>
            </w:r>
          </w:p>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（浙环函[2019]315号）</w:t>
            </w:r>
          </w:p>
        </w:tc>
        <w:tc>
          <w:tcPr>
            <w:tcW w:w="515" w:type="dxa"/>
            <w:vMerge w:val="restart"/>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2"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515"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颗粒物（低浓度颗粒物）</w:t>
            </w:r>
          </w:p>
        </w:tc>
        <w:tc>
          <w:tcPr>
            <w:tcW w:w="1134"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实测浓度</w:t>
            </w:r>
          </w:p>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1.3</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1.1</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折算浓度（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10.7</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9.9</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9.1</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9.9</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9.26</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10.71</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9.06</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9.68</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（kg/h）</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6.77×10</w:t>
            </w:r>
            <w:r>
              <w:rPr>
                <w:rFonts w:hint="default" w:ascii="Times New Roman" w:hAnsi="Times New Roman" w:cs="Times New Roman"/>
                <w:bCs/>
                <w:kern w:val="0"/>
                <w:sz w:val="18"/>
                <w:szCs w:val="18"/>
                <w:vertAlign w:val="superscript"/>
              </w:rPr>
              <w:t>-2</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6.21×10</w:t>
            </w:r>
            <w:r>
              <w:rPr>
                <w:rFonts w:hint="default" w:ascii="Times New Roman" w:hAnsi="Times New Roman" w:cs="Times New Roman"/>
                <w:bCs/>
                <w:kern w:val="0"/>
                <w:sz w:val="18"/>
                <w:szCs w:val="18"/>
                <w:vertAlign w:val="superscript"/>
              </w:rPr>
              <w:t>-2</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5.76×10</w:t>
            </w:r>
            <w:r>
              <w:rPr>
                <w:rFonts w:hint="default" w:ascii="Times New Roman" w:hAnsi="Times New Roman" w:cs="Times New Roman"/>
                <w:bCs/>
                <w:kern w:val="0"/>
                <w:sz w:val="18"/>
                <w:szCs w:val="18"/>
                <w:vertAlign w:val="superscript"/>
              </w:rPr>
              <w:t>-2</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6.25×10</w:t>
            </w:r>
            <w:r>
              <w:rPr>
                <w:rFonts w:hint="default" w:ascii="Times New Roman" w:hAnsi="Times New Roman" w:cs="Times New Roman"/>
                <w:bCs/>
                <w:kern w:val="0"/>
                <w:sz w:val="18"/>
                <w:szCs w:val="18"/>
                <w:vertAlign w:val="superscript"/>
              </w:rPr>
              <w:t>-2</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6.17×10</w:t>
            </w:r>
            <w:r>
              <w:rPr>
                <w:rFonts w:hint="default" w:ascii="Times New Roman" w:hAnsi="Times New Roman" w:cs="Times New Roman"/>
                <w:bCs/>
                <w:kern w:val="0"/>
                <w:sz w:val="18"/>
                <w:szCs w:val="18"/>
                <w:vertAlign w:val="superscript"/>
              </w:rPr>
              <w:t>-2</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6.59×10</w:t>
            </w:r>
            <w:r>
              <w:rPr>
                <w:rFonts w:hint="default" w:ascii="Times New Roman" w:hAnsi="Times New Roman" w:cs="Times New Roman"/>
                <w:bCs/>
                <w:kern w:val="0"/>
                <w:sz w:val="18"/>
                <w:szCs w:val="18"/>
                <w:vertAlign w:val="superscript"/>
              </w:rPr>
              <w:t>-2</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5.65×10</w:t>
            </w:r>
            <w:r>
              <w:rPr>
                <w:rFonts w:hint="default" w:ascii="Times New Roman" w:hAnsi="Times New Roman" w:cs="Times New Roman"/>
                <w:bCs/>
                <w:kern w:val="0"/>
                <w:sz w:val="18"/>
                <w:szCs w:val="18"/>
                <w:vertAlign w:val="superscript"/>
              </w:rPr>
              <w:t>-2</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6.14×10</w:t>
            </w:r>
            <w:r>
              <w:rPr>
                <w:rFonts w:hint="default" w:ascii="Times New Roman" w:hAnsi="Times New Roman" w:cs="Times New Roman"/>
                <w:bCs/>
                <w:kern w:val="0"/>
                <w:sz w:val="18"/>
                <w:szCs w:val="18"/>
                <w:vertAlign w:val="superscript"/>
              </w:rPr>
              <w:t>-2</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二氧化硫</w:t>
            </w:r>
          </w:p>
        </w:tc>
        <w:tc>
          <w:tcPr>
            <w:tcW w:w="1134"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实测浓度</w:t>
            </w:r>
          </w:p>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折算浓度（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200</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（kg/h）</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0.156</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0.155</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0.157</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0.156</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0.154</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0.152</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0.154</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0.153</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氮氧化物</w:t>
            </w:r>
          </w:p>
        </w:tc>
        <w:tc>
          <w:tcPr>
            <w:tcW w:w="1134"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实测浓度</w:t>
            </w:r>
          </w:p>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折算浓度（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＜25</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300</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（kg/h）</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0.156</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0.155</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0.157</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0.156</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0.154</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0.152</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0.154</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0.153</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含氧量（%）</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19.5</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19.5</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19.5</w:t>
            </w:r>
          </w:p>
        </w:tc>
        <w:tc>
          <w:tcPr>
            <w:tcW w:w="1240" w:type="dxa"/>
            <w:vAlign w:val="center"/>
          </w:tcPr>
          <w:p>
            <w:pPr>
              <w:widowControl/>
              <w:adjustRightInd w:val="0"/>
              <w:snapToGrid w:val="0"/>
              <w:jc w:val="center"/>
              <w:rPr>
                <w:rFonts w:hint="default" w:ascii="Times New Roman" w:hAnsi="Times New Roman" w:cs="Times New Roman"/>
                <w:bCs/>
                <w:spacing w:val="-10"/>
                <w:kern w:val="0"/>
                <w:sz w:val="18"/>
                <w:szCs w:val="18"/>
              </w:rPr>
            </w:pPr>
            <w:r>
              <w:rPr>
                <w:rFonts w:hint="default" w:ascii="Times New Roman" w:hAnsi="Times New Roman" w:cs="Times New Roman"/>
                <w:bCs/>
                <w:spacing w:val="-10"/>
                <w:kern w:val="0"/>
                <w:sz w:val="18"/>
                <w:szCs w:val="18"/>
              </w:rPr>
              <w:t>/</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19.4</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19.5</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19.5</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52072</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51723</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52397</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51408</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50709</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51408</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7"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12280" w:type="dxa"/>
            <w:gridSpan w:val="10"/>
            <w:tcMar>
              <w:left w:w="0" w:type="dxa"/>
              <w:right w:w="0" w:type="dxa"/>
            </w:tcMar>
            <w:vAlign w:val="center"/>
          </w:tcPr>
          <w:p>
            <w:pPr>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1、“/”表示不需计算。</w:t>
            </w:r>
          </w:p>
          <w:p>
            <w:pPr>
              <w:widowControl/>
              <w:jc w:val="left"/>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2、“---”表示《浙江省工业炉窑大气污染综合治理方案》（浙环函[2019]315号）对该项目未做限制。</w:t>
            </w:r>
          </w:p>
          <w:p>
            <w:pPr>
              <w:widowControl/>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3、当实测浓度为未检出时，排放速率用检出限计算。</w:t>
            </w:r>
          </w:p>
        </w:tc>
      </w:tr>
    </w:tbl>
    <w:p>
      <w:pPr>
        <w:keepNext w:val="0"/>
        <w:keepLines w:val="0"/>
        <w:pageBreakBefore w:val="0"/>
        <w:widowControl w:val="0"/>
        <w:kinsoku/>
        <w:wordWrap/>
        <w:overflowPunct/>
        <w:topLinePunct w:val="0"/>
        <w:autoSpaceDE/>
        <w:autoSpaceDN/>
        <w:bidi w:val="0"/>
        <w:adjustRightInd/>
        <w:snapToGrid/>
        <w:spacing w:line="80" w:lineRule="exact"/>
        <w:ind w:firstLine="100" w:firstLineChars="100"/>
        <w:textAlignment w:val="auto"/>
        <w:rPr>
          <w:rFonts w:hint="eastAsia" w:ascii="Times New Roman" w:hAnsi="Times New Roman" w:cs="Times New Roman"/>
          <w:sz w:val="10"/>
          <w:szCs w:val="10"/>
        </w:rPr>
      </w:pPr>
    </w:p>
    <w:p>
      <w:pPr>
        <w:spacing w:line="360" w:lineRule="auto"/>
        <w:ind w:firstLine="211" w:firstLineChars="100"/>
        <w:jc w:val="center"/>
        <w:rPr>
          <w:rFonts w:ascii="Times New Roman" w:hAnsi="Times New Roman"/>
          <w:b/>
          <w:bCs/>
          <w:szCs w:val="21"/>
        </w:rPr>
      </w:pPr>
    </w:p>
    <w:p>
      <w:pPr>
        <w:spacing w:line="360" w:lineRule="auto"/>
        <w:ind w:firstLine="211" w:firstLineChars="100"/>
        <w:jc w:val="center"/>
        <w:rPr>
          <w:rFonts w:hint="eastAsia" w:ascii="Times New Roman" w:hAnsi="Times New Roman" w:cs="Times New Roman"/>
          <w:sz w:val="24"/>
        </w:rPr>
      </w:pPr>
      <w:r>
        <w:rPr>
          <w:rFonts w:ascii="Times New Roman" w:hAnsi="Times New Roman"/>
          <w:b/>
          <w:bCs/>
          <w:szCs w:val="21"/>
        </w:rPr>
        <w:t>表9</w:t>
      </w:r>
      <w:r>
        <w:rPr>
          <w:rFonts w:hint="eastAsia" w:ascii="Times New Roman" w:hAnsi="Times New Roman"/>
          <w:b/>
          <w:bCs/>
          <w:szCs w:val="21"/>
        </w:rPr>
        <w:t>.2.</w:t>
      </w:r>
      <w:r>
        <w:rPr>
          <w:rFonts w:ascii="Times New Roman" w:hAnsi="Times New Roman"/>
          <w:b/>
          <w:bCs/>
          <w:szCs w:val="21"/>
        </w:rPr>
        <w:t>2</w:t>
      </w:r>
      <w:r>
        <w:rPr>
          <w:rFonts w:hint="eastAsia" w:ascii="Times New Roman" w:hAnsi="Times New Roman"/>
          <w:b/>
          <w:bCs/>
          <w:szCs w:val="21"/>
        </w:rPr>
        <w:t>-</w:t>
      </w:r>
      <w:r>
        <w:rPr>
          <w:rFonts w:hint="eastAsia" w:ascii="Times New Roman" w:hAnsi="Times New Roman"/>
          <w:b/>
          <w:bCs/>
          <w:szCs w:val="21"/>
          <w:lang w:val="en-US" w:eastAsia="zh-CN"/>
        </w:rPr>
        <w:t>5</w:t>
      </w:r>
      <w:r>
        <w:rPr>
          <w:rFonts w:hint="eastAsia" w:ascii="Times New Roman" w:hAnsi="Times New Roman"/>
          <w:b/>
          <w:bCs/>
          <w:szCs w:val="21"/>
        </w:rPr>
        <w:t>有组织废气</w:t>
      </w:r>
      <w:r>
        <w:rPr>
          <w:rFonts w:ascii="Times New Roman" w:hAnsi="Times New Roman"/>
          <w:b/>
          <w:bCs/>
          <w:szCs w:val="21"/>
        </w:rPr>
        <w:t>监测结果</w:t>
      </w:r>
      <w:r>
        <w:rPr>
          <w:rFonts w:hint="eastAsia" w:ascii="Times New Roman" w:hAnsi="Times New Roman"/>
          <w:b/>
          <w:bCs/>
          <w:szCs w:val="21"/>
        </w:rPr>
        <w:t>（</w:t>
      </w:r>
      <w:r>
        <w:rPr>
          <w:rFonts w:hint="eastAsia" w:ascii="Times New Roman" w:hAnsi="Times New Roman"/>
          <w:b/>
          <w:bCs/>
          <w:szCs w:val="21"/>
          <w:lang w:val="en-US" w:eastAsia="zh-CN"/>
        </w:rPr>
        <w:t>5</w:t>
      </w:r>
      <w:r>
        <w:rPr>
          <w:rFonts w:hint="eastAsia" w:ascii="Times New Roman" w:hAnsi="Times New Roman"/>
          <w:b/>
          <w:bCs/>
          <w:szCs w:val="21"/>
        </w:rPr>
        <w:t>）</w:t>
      </w:r>
    </w:p>
    <w:tbl>
      <w:tblPr>
        <w:tblStyle w:val="31"/>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12280" w:type="dxa"/>
            <w:gridSpan w:val="1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2023年12月21日-22日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12280" w:type="dxa"/>
            <w:gridSpan w:val="1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2023年12月22日-24日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采样点位</w:t>
            </w:r>
          </w:p>
        </w:tc>
        <w:tc>
          <w:tcPr>
            <w:tcW w:w="12280" w:type="dxa"/>
            <w:gridSpan w:val="1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喷塑废气处理设施出口DA002-2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排气筒高度</w:t>
            </w:r>
          </w:p>
        </w:tc>
        <w:tc>
          <w:tcPr>
            <w:tcW w:w="12280" w:type="dxa"/>
            <w:gridSpan w:val="10"/>
            <w:tcMar>
              <w:left w:w="113" w:type="dxa"/>
              <w:right w:w="113" w:type="dxa"/>
            </w:tcMar>
            <w:vAlign w:val="center"/>
          </w:tcPr>
          <w:p>
            <w:pPr>
              <w:widowControl/>
              <w:adjustRightInd w:val="0"/>
              <w:snapToGrid w:val="0"/>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restart"/>
            <w:vAlign w:val="center"/>
          </w:tcPr>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mc:AlternateContent>
                <mc:Choice Requires="wps">
                  <w:drawing>
                    <wp:anchor distT="0" distB="0" distL="114300" distR="114300" simplePos="0" relativeHeight="251713536" behindDoc="0" locked="0" layoutInCell="1" allowOverlap="1">
                      <wp:simplePos x="0" y="0"/>
                      <wp:positionH relativeFrom="column">
                        <wp:posOffset>3175</wp:posOffset>
                      </wp:positionH>
                      <wp:positionV relativeFrom="paragraph">
                        <wp:posOffset>-3175</wp:posOffset>
                      </wp:positionV>
                      <wp:extent cx="1410970" cy="457200"/>
                      <wp:effectExtent l="1270" t="4445" r="16510" b="14605"/>
                      <wp:wrapNone/>
                      <wp:docPr id="59"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13536;mso-width-relative:page;mso-height-relative:page;" filled="f" stroked="t" coordsize="21600,21600" o:gfxdata="UEsDBAoAAAAAAIdO4kAAAAAAAAAAAAAAAAAEAAAAZHJzL1BLAwQUAAAACACHTuJA5IpjQdQAAAAF&#10;AQAADwAAAGRycy9kb3ducmV2LnhtbE2OwU7DMBBE70j8g7VIXFBrx1IopNlUCIkDR9pKvbrxNgnE&#10;dhQ7TenXs5zgNBrNaOaVm4vrxZnG2AWPkC0VCPJ1sJ1vEPa7t8UTiJiMt6YPnhC+KcKmur0pTWHD&#10;7D/ovE2N4BEfC4PQpjQUUsa6JWfiMgzkOTuF0ZnEdmykHc3M466XWqlH6Uzn+aE1A722VH9tJ4dA&#10;ccoz9fLsmv37dX446OvnPOwQ7+8ytQaR6JL+yvCLz+hQMdMxTN5G0SPk3ENYsHCotV6BOCKsshxk&#10;Vcr/9NUPUEsDBBQAAAAIAIdO4kDv7cwV+AEAAMsDAAAOAAAAZHJzL2Uyb0RvYy54bWytU8GO0zAQ&#10;vSPxD5bvNE3Z7tKo6R5aLZcFVtrlA1zHSSwcjzV2m/bGDfEN3DjyD/A3K8FfMHbawi6XPZCD5fHM&#10;vJn3ZjK/3HWGbRV6Dbbk+WjMmbISKm2bkr+/u3rxijMfhK2EAatKvleeXy6eP5v3rlATaMFUChmB&#10;WF/0ruRtCK7IMi9b1Qk/AqcsOWvATgQysckqFD2hdyabjMfnWQ9YOQSpvKfX1eDkB0R8CiDUtZZq&#10;BXLTKRsGVFRGBKLkW+08X6Ru61rJ8K6uvQrMlJyYhnRSEbqv45kt5qJoULhWy0ML4iktPOLUCW2p&#10;6AlqJYJgG9T/QHVaIniow0hClw1EkiLEIh8/0ua2FU4lLiS1dyfR/f+DlW+3N8h0VfLpjDMrOpr4&#10;z0/ffn38fP/lx/33r+z8ZR5F6p0vKHZpbzDSlDt7665BfvDMwrIVtlGp2bu9I4CUkT1IiYZ3VGrd&#10;v4GKYsQmQFJsV2MXIUkLtkuD2Z8Go3aBSXrMz/Lx7IJmJsl3Nr2gPYpNZaI4Zjv04bWCjsVLyX1A&#10;oZs2LMFa2gHAPNUS22sfhsRjQixt4Uobk1bBWNaXfDadTFOCB6Or6IxhHpv10iDbirhM6Tt08SAM&#10;YWOroYixMU+lPTxUPgoxSLqGan+DMTi+04wTqcM+xiX6205Rf/7B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imNB1AAAAAUBAAAPAAAAAAAAAAEAIAAAACIAAABkcnMvZG93bnJldi54bWxQSwEC&#10;FAAUAAAACACHTuJA7+3MFfgBAADLAwAADgAAAAAAAAABACAAAAAjAQAAZHJzL2Uyb0RvYy54bWxQ&#10;SwUGAAAAAAYABgBZAQAAjQUAAAAA&#10;">
                      <v:fill on="f" focussize="0,0"/>
                      <v:stroke color="#000000" joinstyle="round"/>
                      <v:imagedata o:title=""/>
                      <o:lock v:ext="edit" aspectratio="f"/>
                    </v:shape>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11488"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60"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11488;mso-width-relative:page;mso-height-relative:page;" filled="f" stroked="f" coordsize="21600,21600" o:gfxdata="UEsDBAoAAAAAAIdO4kAAAAAAAAAAAAAAAAAEAAAAZHJzL1BLAwQUAAAACACHTuJARHFBsdkAAAAI&#10;AQAADwAAAGRycy9kb3ducmV2LnhtbE2PQU/CQBCF7yb+h82YeDGyRWMLpVsOJEZiTIhFOS/doW3s&#10;zpbu0uK/dzjJcfK9vPletjzbVgzY+8aRgukkAoFUOtNQpeBr+/o4A+GDJqNbR6jgFz0s89ubTKfG&#10;jfSJQxEqwSXkU62gDqFLpfRljVb7ieuQmB1cb3Xgs6+k6fXI5baVT1EUS6sb4g+17nBVY/lTnKyC&#10;sdwMu+3Hm9w87NaOjuvjqvh+V+r+bhotQAQ8h/8wXPRZHXJ22rsTGS9aBfPkhZMKnucJiAtPYp6y&#10;ZzCLQeaZvB6Q/wFQSwMEFAAAAAgAh07iQOkLsugQAgAACgQAAA4AAABkcnMvZTJvRG9jLnhtbK1T&#10;wW7bMAy9D9g/CLovtps43Yw4RdGgw4BuK9DtAxRZjoXZokYpsbOfGbDbPmKfM+w3RslpmnaXHnYR&#10;SJF65HukFhdD17KdQqfBlDybpJwpI6HSZlPyz5+uX73mzHlhKtGCUSXfK8cvli9fLHpbqDNooK0U&#10;MgIxruhtyRvvbZEkTjaqE24CVhkK1oCd8OTiJqlQ9ITetclZms6THrCyCFI5R7erMcgPiPgcQKhr&#10;LdUK5LZTxo+oqFrhiZJrtHV8GbutayX9x7p2yrO25MTUx5OKkL0OZ7JciGKDwjZaHloQz2nhCadO&#10;aENFj1Ar4QXbov4HqtMSwUHtJxK6ZCQSFSEWWfpEm7tGWBW5kNTOHkV3/w9WftjdItNVyeckiREd&#10;TfzP95+/f/1g82mUp7euoKw7e4uBoLM3IL84ZuCqEWajLhGhb5SoqKksyJk8ehAcR0/Zun8PFYGL&#10;rYeo1FBjFwBJAzbEgeyPA1GDZ5Iu83Sa5zlnkkLT81ma5bGCKO4fW3T+rYKOBaPkSPOO4GJ343xo&#10;RhT3KaGWgWvdtnHmrXl0QYnhJjYf+g0L5Ao/rAfKDuYaqj3RQBhXiD4QGQ3gN856Wp+Su69bgYqz&#10;9p0hKd5ks1nYt+jM8vMzcvA0sj6NCCMJquSes9G88uOObi3qTUOVskjLwCXJV+tI7aGrQ9+0IpHx&#10;YZ3DDp76MevhCy//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RxQbHZAAAACAEAAA8AAAAAAAAA&#10;AQAgAAAAIgAAAGRycy9kb3ducmV2LnhtbFBLAQIUABQAAAAIAIdO4kDpC7LoEAIAAAoEAAAOAAAA&#10;AAAAAAEAIAAAACgBAABkcnMvZTJvRG9jLnhtbFBLBQYAAAAABgAGAFkBAACq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14560" behindDoc="0" locked="0" layoutInCell="1" allowOverlap="1">
                      <wp:simplePos x="0" y="0"/>
                      <wp:positionH relativeFrom="column">
                        <wp:posOffset>635</wp:posOffset>
                      </wp:positionH>
                      <wp:positionV relativeFrom="paragraph">
                        <wp:posOffset>3810</wp:posOffset>
                      </wp:positionV>
                      <wp:extent cx="683260" cy="654685"/>
                      <wp:effectExtent l="3175" t="3175" r="18415" b="8890"/>
                      <wp:wrapNone/>
                      <wp:docPr id="61"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14560;mso-width-relative:page;mso-height-relative:page;" filled="f" stroked="t" coordsize="21600,21600" o:gfxdata="UEsDBAoAAAAAAIdO4kAAAAAAAAAAAAAAAAAEAAAAZHJzL1BLAwQUAAAACACHTuJA+zq4SdMAAAAF&#10;AQAADwAAAGRycy9kb3ducmV2LnhtbE2OzU7DMBCE70i8w2orcUHUThENDXEqhMSBY38krm68TULj&#10;dRQ7TenT1znBbUYzmvny9cW2cKbeN44VJnOJQFw603ClcL/7fHpF8EGz0a1jUvhLHtfF/V2uM+NG&#10;3tB5GyqII+wzrbAOocuE8GVNVvu564hjdnS91SHavhKm12Mct61YSLkUVjccH2rd0UdN5Wk7WIXk&#10;h5dEvq9stf+6jo/fi+vP2O2Uepgl8g0h0CX8lXHCj+hYRKaDG9h4aCcPQeESYcpkmiIcJvGcoihy&#10;8Z++uAFQSwMEFAAAAAgAh07iQGARhHz4AQAAygMAAA4AAABkcnMvZTJvRG9jLnhtbK1TzY7TMBC+&#10;I/EOlu80bZdG3ajpHlotlwUq7fIAruMkFo7H8rhNe+OGeAZuHHkHeJuV4C127P7ALpc9kIPl8cx8&#10;38w3k9nVrjNsqzxqsCUfDYacKSuh0rYp+Ye761dTzjAIWwkDVpV8r5BfzV++mPWuUGNowVTKMwKx&#10;WPSu5G0IrsgylK3qBA7AKUvOGnwnApm+ySovekLvTDYeDvOsB185D1Ih0uvy4ORHRP8cQKhrLdUS&#10;5KZTNhxQvTIiUEvYaod8nqqtayXD+7pGFZgpOXUa0kkkdF/HM5vPRNF44VotjyWI55TwpKdOaEuk&#10;Z6ilCIJtvP4HqtPSA0IdBhK67NBIUoS6GA2faHPbCqdSLyQ1urPo+P9g5bvtyjNdlTwfcWZFRxP/&#10;9fn7709f7r/+vP/xjeUX4yhS77Cg2IVd+dim3NlbdwPyIzILi1bYRqVi7/aOAEYxI3uUEg10RLXu&#10;30JFMWITICm2q30XIUkLtkuD2Z8Ho3aBSXrMpxfjnEYmyZVPXufTSWIQxSnZeQxvFHQsXkqOwQvd&#10;tGEB1tIKgB8lKrG9wRBLE8UpITJbuNbGpE0wlvUlv5yMJykBwegqOmMY+ma9MJ5tRdyl9B2reBTm&#10;YWOrA4mxMU+lNTwyn3Q4KLqGar/yJ7FoxKm24zrGHfrbTpL++QXn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s6uEnTAAAABQEAAA8AAAAAAAAAAQAgAAAAIgAAAGRycy9kb3ducmV2LnhtbFBLAQIU&#10;ABQAAAAIAIdO4kBgEYR8+AEAAMoDAAAOAAAAAAAAAAEAIAAAACIBAABkcnMvZTJvRG9jLnhtbFBL&#10;BQYAAAAABgAGAFkBAACM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12512"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62"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12512;mso-width-relative:page;mso-height-relative:page;" filled="f" stroked="f" coordsize="21600,21600" o:gfxdata="UEsDBAoAAAAAAIdO4kAAAAAAAAAAAAAAAAAEAAAAZHJzL1BLAwQUAAAACACHTuJA8F6QBNgAAAAH&#10;AQAADwAAAGRycy9kb3ducmV2LnhtbE2OTUvDQBCG74L/YRnBi7S7/VBCzKaHglhEKE1tz9vsmASz&#10;s2l2m9R/73jS0/DyPrzzZKura8WAfWg8aZhNFQik0tuGKg0f+5dJAiJEQ9a0nlDDNwZY5bc3mUmt&#10;H2mHQxErwSMUUqOhjrFLpQxljc6Eqe+QuPv0vTORY19J25uRx10r50o9SWca4g+16XBdY/lVXJyG&#10;sdwOx/37q9w+HDeezpvzuji8aX1/N1PPICJe4x8Mv/qsDjk7nfyFbBCthsWcQQ3LJV+uE7UAcWJM&#10;JY8g80z+989/AFBLAwQUAAAACACHTuJAIiOiNBECAAALBAAADgAAAGRycy9lMm9Eb2MueG1srVNB&#10;btswELwX6B8I3mtJrp3aguUgiJGiQNoGSPMAmqIsohKXXdKW3M8U6C2P6HOKfqNLynGc9JJDLwKX&#10;u5ydmV0tzvu2YTuFToMpeDZKOVNGQqnNpuB3X67ezDhzXphSNGBUwffK8fPl61eLzuZqDDU0pUJG&#10;IMblnS147b3Nk8TJWrXCjcAqQ8kKsBWeQtwkJYqO0NsmGafpWdIBlhZBKufodjUk+QERXwIIVaWl&#10;WoHctsr4ARVVIzxJcrW2ji8j26pS0n+uKqc8awpOSn38UhM6r8M3WS5EvkFhay0PFMRLKDzT1Apt&#10;qOkRaiW8YFvU/0C1WiI4qPxIQpsMQqIjpCJLn3lzWwurohay2tmj6e7/wcpPuxtkuiz42ZgzI1qa&#10;+J8f979//WRZls6DP511OZXd2hsMCp29BvnVMQOXtTAbdYEIXa1ESayyUJ88eRACR0/ZuvsIJaGL&#10;rYdoVV9hGwDJBNbHieyPE1G9Z5IuJ7P5dDblTFJqks7eptPYQeQPjy06/15By8Kh4EgDj+Bid+18&#10;ICPyh5LQy8CVbpo49MY8uaDCcBPJB76Dbt+v+4MFayj3JANh2CH6g+hQA37nrKP9Kbj7thWoOGs+&#10;GLJink0mYeFiMJm+G1OAp5n1aUYYSVAF95wNx0s/LOnWot7U1CmLsgxckH2VjtKCtQOrA2/akaj4&#10;sM9hCU/jWPX4Dy//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BekATYAAAABwEAAA8AAAAAAAAA&#10;AQAgAAAAIgAAAGRycy9kb3ducmV2LnhtbFBLAQIUABQAAAAIAIdO4kAiI6I0EQIAAAsEAAAOAAAA&#10;AAAAAAEAIAAAACcBAABkcnMvZTJvRG9jLnhtbFBLBQYAAAAABgAGAFkBAACqBQ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检测</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项目</w:t>
                            </w:r>
                          </w:p>
                        </w:txbxContent>
                      </v:textbox>
                    </v:rect>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15584" behindDoc="0" locked="0" layoutInCell="1" allowOverlap="1">
                      <wp:simplePos x="0" y="0"/>
                      <wp:positionH relativeFrom="column">
                        <wp:posOffset>1006475</wp:posOffset>
                      </wp:positionH>
                      <wp:positionV relativeFrom="paragraph">
                        <wp:posOffset>-1270</wp:posOffset>
                      </wp:positionV>
                      <wp:extent cx="478155" cy="415925"/>
                      <wp:effectExtent l="0" t="0" r="0" b="0"/>
                      <wp:wrapNone/>
                      <wp:docPr id="63"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41592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采样</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32.75pt;width:37.65pt;z-index:251715584;mso-width-relative:page;mso-height-relative:page;" filled="f" stroked="f" coordsize="21600,21600" o:gfxdata="UEsDBAoAAAAAAIdO4kAAAAAAAAAAAAAAAAAEAAAAZHJzL1BLAwQUAAAACACHTuJAX9YfTdgAAAAI&#10;AQAADwAAAGRycy9kb3ducmV2LnhtbE2PQUvDQBSE74L/YXmCF2k3TUgpaTY9FMQiQjHVnrfZ1ySY&#10;fZtmt0n99z5PehxmmPkm39xsJ0YcfOtIwWIegUCqnGmpVvBxeJ6tQPigyejOESr4Rg+b4v4u15lx&#10;E73jWIZacAn5TCtoQugzKX3VoNV+7nok9s5usDqwHGppBj1xue1kHEVLaXVLvNDoHrcNVl/l1SqY&#10;qv14PLy9yP3Tcefosrtsy89XpR4fFtEaRMBb+AvDLz6jQ8FMJ3cl40XHOl2lHFUwi0GwHycJXzkp&#10;WKYJyCKX/w8UP1BLAwQUAAAACACHTuJAfmxv9xMCAAAYBAAADgAAAGRycy9lMm9Eb2MueG1srVNL&#10;btswEN0X6B0I7mtZ/iURLAdBjBQF0jZA2gPQFGURlTjskLaUXqZAdzlEj1P0Gh1Ssuukmyy6ITgf&#10;vpn3Zri87Jqa7RU6DSbn6WjMmTISCm22Of/86ebNOWfOC1OIGozK+YNy/HL1+tWytZmaQAV1oZAR&#10;iHFZa3NeeW+zJHGyUo1wI7DKULAEbIQnE7dJgaIl9KZOJuPxImkBC4sglXPkXfdBPiDiSwChLLVU&#10;a5C7Rhnfo6KqhSdKrtLW8VXstiyV9B/L0inP6pwTUx9PKkL3TTiT1VJkWxS20nJoQbykhWecGqEN&#10;FT1CrYUXbIf6H6hGSwQHpR9JaJKeSFSEWKTjZ9rcV8KqyIWkdvYouvt/sPLD/g6ZLnK+mHJmREMT&#10;//398dfPH2wxnQZ5Wusyyrq3dxgIOnsL8otjBq4rYbbqChHaSomCmkpDfvLkQTAcPWWb9j0UBC52&#10;HqJSXYlNACQNWBcH8nAciOo8k+ScnZ2n8zlnkkKzdH4xmccKIjs8tuj8WwUNC5ecI807gov9rfOh&#10;GZEdUkItAze6ruPMa/PEQYm9R8WlGV4fuu9V8N2mGwTZQPFApBD6haLvRJcK8BtnLS1Tzt3XnUDF&#10;Wf3OkDAX6WwWti8as/nZhAw8jWxOI8JIgsq556y/Xvt+Y3cW9baiSmkkaeCKxCx1JBpa7bsaRkAL&#10;E/kPyx028tSOWX8/9O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9YfTdgAAAAIAQAADwAAAAAA&#10;AAABACAAAAAiAAAAZHJzL2Rvd25yZXYueG1sUEsBAhQAFAAAAAgAh07iQH5sb/cTAgAAGAQAAA4A&#10;AAAAAAAAAQAgAAAAJwEAAGRycy9lMm9Eb2MueG1sUEsFBgAAAAAGAAYAWQEAAKwFA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bCs/>
                                <w:kern w:val="0"/>
                                <w:sz w:val="18"/>
                                <w:szCs w:val="18"/>
                              </w:rPr>
                            </w:pPr>
                            <w:r>
                              <w:rPr>
                                <w:rFonts w:hint="eastAsia"/>
                                <w:bCs/>
                                <w:kern w:val="0"/>
                                <w:sz w:val="18"/>
                                <w:szCs w:val="18"/>
                              </w:rPr>
                              <w:t>采样</w:t>
                            </w:r>
                          </w:p>
                          <w:p>
                            <w:pPr>
                              <w:keepNext w:val="0"/>
                              <w:keepLines w:val="0"/>
                              <w:pageBreakBefore w:val="0"/>
                              <w:widowControl w:val="0"/>
                              <w:kinsoku/>
                              <w:wordWrap/>
                              <w:overflowPunct/>
                              <w:topLinePunct w:val="0"/>
                              <w:bidi w:val="0"/>
                              <w:adjustRightInd/>
                              <w:snapToGrid/>
                              <w:spacing w:line="240" w:lineRule="exact"/>
                              <w:textAlignment w:val="auto"/>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出口</w:t>
            </w:r>
            <w:r>
              <w:rPr>
                <w:rFonts w:hint="default" w:ascii="Times New Roman" w:hAnsi="Times New Roman" w:eastAsia="仿宋" w:cs="Times New Roman"/>
                <w:sz w:val="18"/>
                <w:szCs w:val="18"/>
              </w:rPr>
              <w:t>DA002-2</w:t>
            </w:r>
            <w:r>
              <w:rPr>
                <w:rFonts w:hint="default" w:ascii="Times New Roman" w:hAnsi="Times New Roman" w:cs="Times New Roman"/>
                <w:bCs/>
                <w:kern w:val="0"/>
                <w:sz w:val="18"/>
                <w:szCs w:val="18"/>
              </w:rPr>
              <w:t>（12月21日）</w:t>
            </w:r>
          </w:p>
        </w:tc>
        <w:tc>
          <w:tcPr>
            <w:tcW w:w="4962" w:type="dxa"/>
            <w:gridSpan w:val="4"/>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出口</w:t>
            </w:r>
            <w:r>
              <w:rPr>
                <w:rFonts w:hint="default" w:ascii="Times New Roman" w:hAnsi="Times New Roman" w:eastAsia="仿宋" w:cs="Times New Roman"/>
                <w:sz w:val="18"/>
                <w:szCs w:val="18"/>
              </w:rPr>
              <w:t>DA002-2</w:t>
            </w:r>
            <w:r>
              <w:rPr>
                <w:rFonts w:hint="default" w:ascii="Times New Roman" w:hAnsi="Times New Roman" w:cs="Times New Roman"/>
                <w:bCs/>
                <w:kern w:val="0"/>
                <w:sz w:val="18"/>
                <w:szCs w:val="18"/>
              </w:rPr>
              <w:t>（12月22日）</w:t>
            </w:r>
          </w:p>
        </w:tc>
        <w:tc>
          <w:tcPr>
            <w:tcW w:w="1842"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《工业涂装工序大气污染物排放标准》</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（DB 33/2146-2018）</w:t>
            </w:r>
          </w:p>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bCs/>
                <w:kern w:val="0"/>
                <w:sz w:val="18"/>
                <w:szCs w:val="18"/>
              </w:rPr>
              <w:t>表1</w:t>
            </w:r>
          </w:p>
        </w:tc>
        <w:tc>
          <w:tcPr>
            <w:tcW w:w="515" w:type="dxa"/>
            <w:vMerge w:val="restart"/>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第一次</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第二次</w:t>
            </w:r>
          </w:p>
        </w:tc>
        <w:tc>
          <w:tcPr>
            <w:tcW w:w="1240"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第三次</w:t>
            </w:r>
          </w:p>
        </w:tc>
        <w:tc>
          <w:tcPr>
            <w:tcW w:w="1241"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平均值</w:t>
            </w:r>
          </w:p>
        </w:tc>
        <w:tc>
          <w:tcPr>
            <w:tcW w:w="1842"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515"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restart"/>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颗粒物（低浓度颗粒物）</w:t>
            </w:r>
          </w:p>
        </w:tc>
        <w:tc>
          <w:tcPr>
            <w:tcW w:w="1134" w:type="dxa"/>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排放浓度（</w:t>
            </w: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kern w:val="0"/>
                <w:sz w:val="18"/>
                <w:szCs w:val="18"/>
                <w:lang w:bidi="ar"/>
              </w:rPr>
              <w:t>）</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3.0</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3.4</w:t>
            </w:r>
          </w:p>
        </w:tc>
        <w:tc>
          <w:tcPr>
            <w:tcW w:w="1241"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3.2</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3.2</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3.2</w:t>
            </w:r>
          </w:p>
        </w:tc>
        <w:tc>
          <w:tcPr>
            <w:tcW w:w="1241"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3.4</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3.0</w:t>
            </w:r>
          </w:p>
        </w:tc>
        <w:tc>
          <w:tcPr>
            <w:tcW w:w="1241"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3.2</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30</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13" w:type="dxa"/>
            <w:vMerge w:val="continue"/>
            <w:vAlign w:val="center"/>
          </w:tcPr>
          <w:p>
            <w:pPr>
              <w:widowControl/>
              <w:adjustRightInd w:val="0"/>
              <w:snapToGrid w:val="0"/>
              <w:jc w:val="center"/>
              <w:rPr>
                <w:rFonts w:hint="default" w:ascii="Times New Roman" w:hAnsi="Times New Roman" w:cs="Times New Roman"/>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排放速率</w:t>
            </w:r>
          </w:p>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（kg/h）</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3.64×10</w:t>
            </w:r>
            <w:r>
              <w:rPr>
                <w:rFonts w:hint="default" w:ascii="Times New Roman" w:hAnsi="Times New Roman" w:cs="Times New Roman"/>
                <w:bCs/>
                <w:kern w:val="0"/>
                <w:sz w:val="18"/>
                <w:szCs w:val="18"/>
                <w:vertAlign w:val="superscript"/>
              </w:rPr>
              <w:t>-2</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4.25×10</w:t>
            </w:r>
            <w:r>
              <w:rPr>
                <w:rFonts w:hint="default" w:ascii="Times New Roman" w:hAnsi="Times New Roman" w:cs="Times New Roman"/>
                <w:bCs/>
                <w:kern w:val="0"/>
                <w:sz w:val="18"/>
                <w:szCs w:val="18"/>
                <w:vertAlign w:val="superscript"/>
              </w:rPr>
              <w:t>-2</w:t>
            </w:r>
          </w:p>
        </w:tc>
        <w:tc>
          <w:tcPr>
            <w:tcW w:w="1241"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3.87×10</w:t>
            </w:r>
            <w:r>
              <w:rPr>
                <w:rFonts w:hint="default" w:ascii="Times New Roman" w:hAnsi="Times New Roman" w:cs="Times New Roman"/>
                <w:bCs/>
                <w:kern w:val="0"/>
                <w:sz w:val="18"/>
                <w:szCs w:val="18"/>
                <w:vertAlign w:val="superscript"/>
              </w:rPr>
              <w:t>-2</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3.92×10</w:t>
            </w:r>
            <w:r>
              <w:rPr>
                <w:rFonts w:hint="default" w:ascii="Times New Roman" w:hAnsi="Times New Roman" w:cs="Times New Roman"/>
                <w:bCs/>
                <w:kern w:val="0"/>
                <w:sz w:val="18"/>
                <w:szCs w:val="18"/>
                <w:vertAlign w:val="superscript"/>
              </w:rPr>
              <w:t>-2</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3.81×10</w:t>
            </w:r>
            <w:r>
              <w:rPr>
                <w:rFonts w:hint="default" w:ascii="Times New Roman" w:hAnsi="Times New Roman" w:cs="Times New Roman"/>
                <w:bCs/>
                <w:kern w:val="0"/>
                <w:sz w:val="18"/>
                <w:szCs w:val="18"/>
                <w:vertAlign w:val="superscript"/>
              </w:rPr>
              <w:t>-2</w:t>
            </w:r>
          </w:p>
        </w:tc>
        <w:tc>
          <w:tcPr>
            <w:tcW w:w="1241"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4.12×10</w:t>
            </w:r>
            <w:r>
              <w:rPr>
                <w:rFonts w:hint="default" w:ascii="Times New Roman" w:hAnsi="Times New Roman" w:cs="Times New Roman"/>
                <w:bCs/>
                <w:kern w:val="0"/>
                <w:sz w:val="18"/>
                <w:szCs w:val="18"/>
                <w:vertAlign w:val="superscript"/>
              </w:rPr>
              <w:t>-2</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3.78×10</w:t>
            </w:r>
            <w:r>
              <w:rPr>
                <w:rFonts w:hint="default" w:ascii="Times New Roman" w:hAnsi="Times New Roman" w:cs="Times New Roman"/>
                <w:bCs/>
                <w:kern w:val="0"/>
                <w:sz w:val="18"/>
                <w:szCs w:val="18"/>
                <w:vertAlign w:val="superscript"/>
              </w:rPr>
              <w:t>-2</w:t>
            </w:r>
          </w:p>
        </w:tc>
        <w:tc>
          <w:tcPr>
            <w:tcW w:w="1241"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3.90×10</w:t>
            </w:r>
            <w:r>
              <w:rPr>
                <w:rFonts w:hint="default" w:ascii="Times New Roman" w:hAnsi="Times New Roman" w:cs="Times New Roman"/>
                <w:bCs/>
                <w:kern w:val="0"/>
                <w:sz w:val="18"/>
                <w:szCs w:val="18"/>
                <w:vertAlign w:val="superscript"/>
              </w:rPr>
              <w:t>-2</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247" w:type="dxa"/>
            <w:gridSpan w:val="2"/>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标干流量（m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/h）</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12119</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12506</w:t>
            </w:r>
          </w:p>
        </w:tc>
        <w:tc>
          <w:tcPr>
            <w:tcW w:w="1241"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12105</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11904</w:t>
            </w:r>
          </w:p>
        </w:tc>
        <w:tc>
          <w:tcPr>
            <w:tcW w:w="1241"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12103</w:t>
            </w:r>
          </w:p>
        </w:tc>
        <w:tc>
          <w:tcPr>
            <w:tcW w:w="1240"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12597</w:t>
            </w:r>
          </w:p>
        </w:tc>
        <w:tc>
          <w:tcPr>
            <w:tcW w:w="1241" w:type="dxa"/>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w:t>
            </w:r>
          </w:p>
        </w:tc>
        <w:tc>
          <w:tcPr>
            <w:tcW w:w="1842"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c>
          <w:tcPr>
            <w:tcW w:w="515" w:type="dxa"/>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7" w:type="dxa"/>
            <w:gridSpan w:val="2"/>
            <w:vAlign w:val="center"/>
          </w:tcPr>
          <w:p>
            <w:pPr>
              <w:widowControl/>
              <w:adjustRightInd w:val="0"/>
              <w:snapToGrid w:val="0"/>
              <w:jc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备注</w:t>
            </w:r>
          </w:p>
        </w:tc>
        <w:tc>
          <w:tcPr>
            <w:tcW w:w="12280" w:type="dxa"/>
            <w:gridSpan w:val="10"/>
            <w:tcMar>
              <w:left w:w="0" w:type="dxa"/>
              <w:right w:w="0" w:type="dxa"/>
            </w:tcMar>
            <w:vAlign w:val="center"/>
          </w:tcPr>
          <w:p>
            <w:pPr>
              <w:jc w:val="left"/>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1、“/”表示不需计算。</w:t>
            </w:r>
          </w:p>
          <w:p>
            <w:pPr>
              <w:widowControl/>
              <w:adjustRightInd w:val="0"/>
              <w:snapToGrid w:val="0"/>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2、“---”表示</w:t>
            </w:r>
            <w:r>
              <w:rPr>
                <w:rFonts w:hint="default" w:ascii="Times New Roman" w:hAnsi="Times New Roman" w:cs="Times New Roman"/>
                <w:bCs/>
                <w:kern w:val="0"/>
                <w:sz w:val="18"/>
                <w:szCs w:val="18"/>
              </w:rPr>
              <w:t>《工业涂装工序大气污染物排放标准》（DB 33/2146-2018）表1</w:t>
            </w:r>
            <w:r>
              <w:rPr>
                <w:rFonts w:hint="default" w:ascii="Times New Roman" w:hAnsi="Times New Roman" w:cs="Times New Roman"/>
                <w:kern w:val="0"/>
                <w:sz w:val="18"/>
                <w:szCs w:val="18"/>
                <w:lang w:bidi="ar"/>
              </w:rPr>
              <w:t>对该项目未做限制。</w:t>
            </w:r>
          </w:p>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kern w:val="0"/>
                <w:sz w:val="18"/>
                <w:szCs w:val="18"/>
                <w:lang w:bidi="ar"/>
              </w:rPr>
              <w:t>3、当实测浓度为未检出时，排放速率用检出限计算。</w:t>
            </w:r>
          </w:p>
        </w:tc>
      </w:tr>
    </w:tbl>
    <w:p>
      <w:pPr>
        <w:keepNext w:val="0"/>
        <w:keepLines w:val="0"/>
        <w:pageBreakBefore w:val="0"/>
        <w:widowControl w:val="0"/>
        <w:kinsoku/>
        <w:wordWrap/>
        <w:overflowPunct/>
        <w:topLinePunct w:val="0"/>
        <w:autoSpaceDE/>
        <w:autoSpaceDN/>
        <w:bidi w:val="0"/>
        <w:adjustRightInd/>
        <w:snapToGrid/>
        <w:spacing w:line="240" w:lineRule="exact"/>
        <w:ind w:firstLine="100" w:firstLineChars="100"/>
        <w:jc w:val="center"/>
        <w:textAlignment w:val="auto"/>
        <w:rPr>
          <w:rFonts w:ascii="Times New Roman" w:hAnsi="Times New Roman"/>
          <w:b/>
          <w:bCs/>
          <w:sz w:val="10"/>
          <w:szCs w:val="10"/>
        </w:rPr>
      </w:pPr>
    </w:p>
    <w:p>
      <w:pPr>
        <w:spacing w:line="360" w:lineRule="auto"/>
        <w:ind w:firstLine="482" w:firstLineChars="200"/>
        <w:rPr>
          <w:rFonts w:ascii="Times New Roman" w:hAnsi="Times New Roman"/>
          <w:b/>
          <w:sz w:val="24"/>
          <w:szCs w:val="24"/>
        </w:rPr>
      </w:pPr>
      <w:r>
        <w:rPr>
          <w:rFonts w:hint="eastAsia" w:ascii="Times New Roman" w:hAnsi="Times New Roman"/>
          <w:b/>
          <w:sz w:val="24"/>
          <w:szCs w:val="24"/>
        </w:rPr>
        <w:t>监测结果分析与评价：</w:t>
      </w:r>
    </w:p>
    <w:p>
      <w:pPr>
        <w:spacing w:line="360" w:lineRule="auto"/>
        <w:ind w:firstLine="480" w:firstLineChars="200"/>
        <w:rPr>
          <w:rFonts w:hint="eastAsia" w:ascii="Times New Roman" w:hAnsi="Times New Roman" w:cs="Times New Roman"/>
          <w:sz w:val="24"/>
          <w:szCs w:val="24"/>
          <w:lang w:eastAsia="zh-CN"/>
        </w:rPr>
      </w:pPr>
      <w:bookmarkStart w:id="103" w:name="_Hlk61958591"/>
      <w:r>
        <w:rPr>
          <w:rFonts w:hint="eastAsia" w:ascii="Times New Roman" w:hAnsi="Times New Roman" w:cs="Times New Roman"/>
          <w:sz w:val="24"/>
          <w:szCs w:val="24"/>
        </w:rPr>
        <w:t>验收监测期间，</w:t>
      </w:r>
      <w:r>
        <w:rPr>
          <w:rFonts w:hint="eastAsia" w:ascii="Times New Roman" w:hAnsi="Times New Roman" w:cs="Times New Roman"/>
          <w:sz w:val="24"/>
          <w:szCs w:val="24"/>
          <w:highlight w:val="none"/>
          <w:lang w:val="en-US" w:eastAsia="zh-CN"/>
        </w:rPr>
        <w:t>调漆、喷漆、烘干、固化废气处理设施出口（DA001-2）中非甲烷总烃</w:t>
      </w:r>
      <w:r>
        <w:rPr>
          <w:rFonts w:hint="eastAsia" w:ascii="Times New Roman" w:hAnsi="Times New Roman" w:cs="Times New Roman"/>
          <w:sz w:val="24"/>
          <w:szCs w:val="24"/>
          <w:highlight w:val="none"/>
        </w:rPr>
        <w:t>排放浓度</w:t>
      </w:r>
      <w:r>
        <w:rPr>
          <w:rFonts w:hint="eastAsia" w:ascii="Times New Roman" w:hAnsi="Times New Roman" w:cs="Times New Roman"/>
          <w:sz w:val="24"/>
          <w:szCs w:val="24"/>
          <w:highlight w:val="none"/>
          <w:lang w:val="en-US" w:eastAsia="zh-CN"/>
        </w:rPr>
        <w:t>最大值</w:t>
      </w:r>
      <w:r>
        <w:rPr>
          <w:rFonts w:ascii="Times New Roman" w:hAnsi="Times New Roman" w:cs="Times New Roman"/>
          <w:sz w:val="24"/>
          <w:szCs w:val="24"/>
          <w:highlight w:val="none"/>
        </w:rPr>
        <w:t>为</w:t>
      </w:r>
      <w:r>
        <w:rPr>
          <w:rFonts w:hint="eastAsia" w:ascii="Times New Roman" w:hAnsi="Times New Roman" w:cs="Times New Roman"/>
          <w:sz w:val="24"/>
          <w:szCs w:val="24"/>
          <w:highlight w:val="none"/>
          <w:lang w:val="en-US" w:eastAsia="zh-CN"/>
        </w:rPr>
        <w:t>3.06</w:t>
      </w:r>
      <w:r>
        <w:rPr>
          <w:rFonts w:ascii="Times New Roman" w:hAnsi="Times New Roman" w:cs="Times New Roman"/>
          <w:sz w:val="24"/>
          <w:szCs w:val="24"/>
          <w:highlight w:val="none"/>
        </w:rPr>
        <w:t>mg/m</w:t>
      </w:r>
      <w:r>
        <w:rPr>
          <w:rFonts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二甲苯</w:t>
      </w:r>
      <w:r>
        <w:rPr>
          <w:rFonts w:hint="eastAsia" w:ascii="Times New Roman" w:hAnsi="Times New Roman" w:cs="Times New Roman"/>
          <w:sz w:val="24"/>
          <w:szCs w:val="24"/>
          <w:highlight w:val="none"/>
        </w:rPr>
        <w:t>排放浓度</w:t>
      </w:r>
      <w:r>
        <w:rPr>
          <w:rFonts w:ascii="Times New Roman" w:hAnsi="Times New Roman" w:cs="Times New Roman"/>
          <w:sz w:val="24"/>
          <w:szCs w:val="24"/>
          <w:highlight w:val="none"/>
        </w:rPr>
        <w:t>为</w:t>
      </w:r>
      <w:r>
        <w:rPr>
          <w:rFonts w:hint="eastAsia" w:ascii="Times New Roman" w:hAnsi="Times New Roman" w:cs="Times New Roman"/>
          <w:sz w:val="24"/>
          <w:szCs w:val="24"/>
          <w:highlight w:val="none"/>
          <w:lang w:val="en-US" w:eastAsia="zh-CN"/>
        </w:rPr>
        <w:t>＜0.013</w:t>
      </w:r>
      <w:r>
        <w:rPr>
          <w:rFonts w:ascii="Times New Roman" w:hAnsi="Times New Roman" w:cs="Times New Roman"/>
          <w:sz w:val="24"/>
          <w:szCs w:val="24"/>
          <w:highlight w:val="none"/>
        </w:rPr>
        <w:t>mg/m</w:t>
      </w:r>
      <w:r>
        <w:rPr>
          <w:rFonts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乙酸丁酯</w:t>
      </w:r>
      <w:r>
        <w:rPr>
          <w:rFonts w:hint="eastAsia" w:ascii="Times New Roman" w:hAnsi="Times New Roman" w:cs="Times New Roman"/>
          <w:sz w:val="24"/>
          <w:szCs w:val="24"/>
          <w:highlight w:val="none"/>
        </w:rPr>
        <w:t>排放浓度</w:t>
      </w:r>
      <w:r>
        <w:rPr>
          <w:rFonts w:ascii="Times New Roman" w:hAnsi="Times New Roman" w:cs="Times New Roman"/>
          <w:sz w:val="24"/>
          <w:szCs w:val="24"/>
          <w:highlight w:val="none"/>
        </w:rPr>
        <w:t>为</w:t>
      </w:r>
      <w:r>
        <w:rPr>
          <w:rFonts w:hint="eastAsia" w:ascii="Times New Roman" w:hAnsi="Times New Roman" w:cs="Times New Roman"/>
          <w:sz w:val="24"/>
          <w:szCs w:val="24"/>
          <w:highlight w:val="none"/>
          <w:lang w:val="en-US" w:eastAsia="zh-CN"/>
        </w:rPr>
        <w:t>＜0.005</w:t>
      </w:r>
      <w:r>
        <w:rPr>
          <w:rFonts w:ascii="Times New Roman" w:hAnsi="Times New Roman" w:cs="Times New Roman"/>
          <w:sz w:val="24"/>
          <w:szCs w:val="24"/>
          <w:highlight w:val="none"/>
        </w:rPr>
        <w:t>mg/m</w:t>
      </w:r>
      <w:r>
        <w:rPr>
          <w:rFonts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臭气浓度最大值</w:t>
      </w:r>
      <w:r>
        <w:rPr>
          <w:rFonts w:ascii="Times New Roman" w:hAnsi="Times New Roman" w:cs="Times New Roman"/>
          <w:sz w:val="24"/>
          <w:szCs w:val="24"/>
          <w:highlight w:val="none"/>
        </w:rPr>
        <w:t>为</w:t>
      </w:r>
      <w:r>
        <w:rPr>
          <w:rFonts w:hint="eastAsia" w:ascii="Times New Roman" w:hAnsi="Times New Roman" w:cs="Times New Roman"/>
          <w:sz w:val="24"/>
          <w:szCs w:val="24"/>
          <w:highlight w:val="none"/>
          <w:lang w:val="en-US" w:eastAsia="zh-CN"/>
        </w:rPr>
        <w:t>851（无量纲）</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lang w:val="en-US" w:eastAsia="zh-CN"/>
        </w:rPr>
        <w:t>均</w:t>
      </w:r>
      <w:r>
        <w:rPr>
          <w:rFonts w:hint="eastAsia" w:ascii="Times New Roman" w:hAnsi="Times New Roman" w:eastAsia="宋体" w:cs="Times New Roman"/>
          <w:bCs/>
          <w:kern w:val="0"/>
          <w:sz w:val="24"/>
          <w:szCs w:val="24"/>
        </w:rPr>
        <w:t>符合</w:t>
      </w:r>
      <w:r>
        <w:rPr>
          <w:rFonts w:hint="eastAsia" w:ascii="Times New Roman" w:hAnsi="Times New Roman" w:eastAsia="宋体" w:cs="Times New Roman"/>
          <w:bCs/>
          <w:kern w:val="0"/>
          <w:sz w:val="24"/>
          <w:szCs w:val="24"/>
          <w:lang w:eastAsia="zh-CN"/>
        </w:rPr>
        <w:t>《工业涂装工序大气污染物排放标准》DB 33/2146-2018表1</w:t>
      </w:r>
      <w:r>
        <w:rPr>
          <w:rFonts w:hint="eastAsia" w:ascii="Times New Roman" w:hAnsi="Times New Roman" w:cs="Times New Roman"/>
          <w:sz w:val="24"/>
          <w:szCs w:val="24"/>
        </w:rPr>
        <w:t>中</w:t>
      </w:r>
      <w:r>
        <w:rPr>
          <w:rFonts w:hint="eastAsia" w:ascii="Times New Roman" w:hAnsi="Times New Roman" w:cs="Times New Roman"/>
          <w:sz w:val="24"/>
          <w:szCs w:val="24"/>
          <w:lang w:eastAsia="zh-CN"/>
        </w:rPr>
        <w:t>的</w:t>
      </w:r>
      <w:r>
        <w:rPr>
          <w:rFonts w:hint="eastAsia" w:ascii="Times New Roman" w:hAnsi="Times New Roman" w:cs="Times New Roman"/>
          <w:sz w:val="24"/>
          <w:szCs w:val="24"/>
        </w:rPr>
        <w:t>排放限值</w:t>
      </w:r>
      <w:r>
        <w:rPr>
          <w:rFonts w:hint="eastAsia" w:ascii="Times New Roman" w:hAnsi="Times New Roman" w:cs="Times New Roman"/>
          <w:sz w:val="24"/>
          <w:szCs w:val="24"/>
          <w:lang w:eastAsia="zh-CN"/>
        </w:rPr>
        <w:t>。</w:t>
      </w:r>
    </w:p>
    <w:p>
      <w:pPr>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rPr>
        <w:t>验收监测期间，</w:t>
      </w:r>
      <w:r>
        <w:rPr>
          <w:rFonts w:hint="eastAsia" w:ascii="Times New Roman" w:hAnsi="Times New Roman" w:cs="Times New Roman"/>
          <w:sz w:val="24"/>
          <w:szCs w:val="24"/>
          <w:lang w:val="en-US" w:eastAsia="zh-CN"/>
        </w:rPr>
        <w:t>天然气燃烧废气排放口（DA001-2）中颗粒物排放折算</w:t>
      </w:r>
      <w:r>
        <w:rPr>
          <w:rFonts w:hint="eastAsia" w:ascii="Times New Roman" w:hAnsi="Times New Roman" w:cs="Times New Roman"/>
          <w:sz w:val="24"/>
          <w:szCs w:val="24"/>
        </w:rPr>
        <w:t>浓度</w:t>
      </w:r>
      <w:r>
        <w:rPr>
          <w:rFonts w:hint="eastAsia" w:ascii="Times New Roman" w:hAnsi="Times New Roman" w:cs="Times New Roman"/>
          <w:sz w:val="24"/>
          <w:szCs w:val="24"/>
          <w:lang w:val="en-US" w:eastAsia="zh-CN"/>
        </w:rPr>
        <w:t>最大值</w:t>
      </w:r>
      <w:r>
        <w:rPr>
          <w:rFonts w:ascii="Times New Roman" w:hAnsi="Times New Roman" w:cs="Times New Roman"/>
          <w:sz w:val="24"/>
          <w:szCs w:val="24"/>
        </w:rPr>
        <w:t>为</w:t>
      </w:r>
      <w:r>
        <w:rPr>
          <w:rFonts w:hint="eastAsia" w:ascii="Times New Roman" w:hAnsi="Times New Roman" w:cs="Times New Roman"/>
          <w:sz w:val="24"/>
          <w:szCs w:val="24"/>
          <w:lang w:val="en-US" w:eastAsia="zh-CN"/>
        </w:rPr>
        <w:t>9.9</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二氧化硫</w:t>
      </w:r>
      <w:r>
        <w:rPr>
          <w:rFonts w:hint="eastAsia" w:ascii="Times New Roman" w:hAnsi="Times New Roman" w:cs="Times New Roman"/>
          <w:sz w:val="24"/>
          <w:szCs w:val="24"/>
        </w:rPr>
        <w:t>排放</w:t>
      </w:r>
      <w:r>
        <w:rPr>
          <w:rFonts w:hint="eastAsia" w:ascii="Times New Roman" w:hAnsi="Times New Roman" w:cs="Times New Roman"/>
          <w:sz w:val="24"/>
          <w:szCs w:val="24"/>
          <w:lang w:val="en-US" w:eastAsia="zh-CN"/>
        </w:rPr>
        <w:t>折算</w:t>
      </w:r>
      <w:r>
        <w:rPr>
          <w:rFonts w:hint="eastAsia" w:ascii="Times New Roman" w:hAnsi="Times New Roman" w:cs="Times New Roman"/>
          <w:sz w:val="24"/>
          <w:szCs w:val="24"/>
        </w:rPr>
        <w:t>浓度</w:t>
      </w:r>
      <w:r>
        <w:rPr>
          <w:rFonts w:hint="eastAsia" w:ascii="Times New Roman" w:hAnsi="Times New Roman" w:cs="Times New Roman"/>
          <w:sz w:val="24"/>
          <w:szCs w:val="24"/>
          <w:lang w:val="en-US" w:eastAsia="zh-CN"/>
        </w:rPr>
        <w:t>最大值</w:t>
      </w:r>
      <w:r>
        <w:rPr>
          <w:rFonts w:ascii="Times New Roman" w:hAnsi="Times New Roman" w:cs="Times New Roman"/>
          <w:sz w:val="24"/>
          <w:szCs w:val="24"/>
        </w:rPr>
        <w:t>为</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25</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lang w:eastAsia="zh-CN"/>
        </w:rPr>
        <w:t>、</w:t>
      </w:r>
      <w:r>
        <w:rPr>
          <w:rFonts w:hint="default" w:ascii="Times New Roman" w:hAnsi="Times New Roman" w:cs="Times New Roman"/>
          <w:sz w:val="24"/>
          <w:szCs w:val="24"/>
          <w:lang w:val="en-US" w:eastAsia="zh-CN"/>
        </w:rPr>
        <w:t>氮氧化物</w:t>
      </w:r>
      <w:r>
        <w:rPr>
          <w:rFonts w:hint="default" w:ascii="Times New Roman" w:hAnsi="Times New Roman" w:cs="Times New Roman"/>
          <w:sz w:val="24"/>
          <w:szCs w:val="24"/>
        </w:rPr>
        <w:t>排放</w:t>
      </w:r>
      <w:r>
        <w:rPr>
          <w:rFonts w:hint="default" w:ascii="Times New Roman" w:hAnsi="Times New Roman" w:cs="Times New Roman"/>
          <w:sz w:val="24"/>
          <w:szCs w:val="24"/>
          <w:lang w:val="en-US" w:eastAsia="zh-CN"/>
        </w:rPr>
        <w:t>折算</w:t>
      </w:r>
      <w:r>
        <w:rPr>
          <w:rFonts w:hint="default" w:ascii="Times New Roman" w:hAnsi="Times New Roman" w:cs="Times New Roman"/>
          <w:sz w:val="24"/>
          <w:szCs w:val="24"/>
        </w:rPr>
        <w:t>浓度</w:t>
      </w:r>
      <w:r>
        <w:rPr>
          <w:rFonts w:hint="default" w:ascii="Times New Roman" w:hAnsi="Times New Roman" w:cs="Times New Roman"/>
          <w:sz w:val="24"/>
          <w:szCs w:val="24"/>
          <w:lang w:val="en-US" w:eastAsia="zh-CN"/>
        </w:rPr>
        <w:t>最大值</w:t>
      </w:r>
      <w:r>
        <w:rPr>
          <w:rFonts w:hint="default" w:ascii="Times New Roman" w:hAnsi="Times New Roman" w:cs="Times New Roman"/>
          <w:sz w:val="24"/>
          <w:szCs w:val="24"/>
        </w:rPr>
        <w:t>为</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25</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均</w:t>
      </w:r>
      <w:r>
        <w:rPr>
          <w:rFonts w:hint="eastAsia" w:ascii="Times New Roman" w:hAnsi="Times New Roman" w:eastAsia="宋体" w:cs="Times New Roman"/>
          <w:bCs/>
          <w:kern w:val="0"/>
          <w:sz w:val="24"/>
          <w:szCs w:val="24"/>
        </w:rPr>
        <w:t>符合</w:t>
      </w:r>
      <w:r>
        <w:rPr>
          <w:rFonts w:hint="eastAsia" w:ascii="Times New Roman" w:hAnsi="Times New Roman" w:eastAsia="宋体" w:cs="Times New Roman"/>
          <w:bCs/>
          <w:kern w:val="0"/>
          <w:sz w:val="24"/>
          <w:szCs w:val="24"/>
          <w:lang w:eastAsia="zh-CN"/>
        </w:rPr>
        <w:t>《浙江省工业炉窑大气污染综合治理方案》（浙环函[2019]315号）</w:t>
      </w:r>
      <w:r>
        <w:rPr>
          <w:rFonts w:hint="eastAsia" w:ascii="Times New Roman" w:hAnsi="Times New Roman" w:cs="Times New Roman"/>
          <w:sz w:val="24"/>
          <w:szCs w:val="24"/>
        </w:rPr>
        <w:t>中</w:t>
      </w:r>
      <w:r>
        <w:rPr>
          <w:rFonts w:hint="eastAsia" w:ascii="Times New Roman" w:hAnsi="Times New Roman" w:cs="Times New Roman"/>
          <w:sz w:val="24"/>
          <w:szCs w:val="24"/>
          <w:lang w:eastAsia="zh-CN"/>
        </w:rPr>
        <w:t>的</w:t>
      </w:r>
      <w:r>
        <w:rPr>
          <w:rFonts w:hint="eastAsia" w:ascii="Times New Roman" w:hAnsi="Times New Roman" w:cs="Times New Roman"/>
          <w:sz w:val="24"/>
          <w:szCs w:val="24"/>
        </w:rPr>
        <w:t>排放限值</w:t>
      </w:r>
      <w:r>
        <w:rPr>
          <w:rFonts w:hint="eastAsia" w:ascii="Times New Roman" w:hAnsi="Times New Roman" w:cs="Times New Roman"/>
          <w:sz w:val="24"/>
          <w:szCs w:val="24"/>
          <w:highlight w:val="none"/>
          <w:vertAlign w:val="baseline"/>
          <w:lang w:val="en-US" w:eastAsia="zh-CN"/>
        </w:rPr>
        <w:t>。</w:t>
      </w:r>
    </w:p>
    <w:bookmarkEnd w:id="103"/>
    <w:p>
      <w:pPr>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rPr>
        <w:t>验收监测期间，</w:t>
      </w:r>
      <w:r>
        <w:rPr>
          <w:rFonts w:hint="eastAsia" w:ascii="Times New Roman" w:hAnsi="Times New Roman" w:cs="Times New Roman"/>
          <w:sz w:val="24"/>
          <w:szCs w:val="24"/>
          <w:lang w:val="en-US" w:eastAsia="zh-CN"/>
        </w:rPr>
        <w:t>喷塑废气处理设施出口（DA002-2）中颗粒物排放</w:t>
      </w:r>
      <w:r>
        <w:rPr>
          <w:rFonts w:hint="eastAsia" w:ascii="Times New Roman" w:hAnsi="Times New Roman" w:cs="Times New Roman"/>
          <w:sz w:val="24"/>
          <w:szCs w:val="24"/>
        </w:rPr>
        <w:t>浓度</w:t>
      </w:r>
      <w:r>
        <w:rPr>
          <w:rFonts w:hint="eastAsia" w:ascii="Times New Roman" w:hAnsi="Times New Roman" w:cs="Times New Roman"/>
          <w:sz w:val="24"/>
          <w:szCs w:val="24"/>
          <w:lang w:val="en-US" w:eastAsia="zh-CN"/>
        </w:rPr>
        <w:t>最大值</w:t>
      </w:r>
      <w:r>
        <w:rPr>
          <w:rFonts w:ascii="Times New Roman" w:hAnsi="Times New Roman" w:cs="Times New Roman"/>
          <w:sz w:val="24"/>
          <w:szCs w:val="24"/>
        </w:rPr>
        <w:t>为</w:t>
      </w:r>
      <w:r>
        <w:rPr>
          <w:rFonts w:hint="eastAsia" w:ascii="Times New Roman" w:hAnsi="Times New Roman" w:cs="Times New Roman"/>
          <w:sz w:val="24"/>
          <w:szCs w:val="24"/>
          <w:lang w:val="en-US" w:eastAsia="zh-CN"/>
        </w:rPr>
        <w:t>3.2</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hint="eastAsia" w:ascii="Times New Roman" w:hAnsi="Times New Roman" w:cs="Times New Roman"/>
          <w:sz w:val="24"/>
          <w:szCs w:val="24"/>
          <w:lang w:eastAsia="zh-CN"/>
        </w:rPr>
        <w:t>，</w:t>
      </w:r>
      <w:r>
        <w:rPr>
          <w:rFonts w:hint="eastAsia" w:ascii="Times New Roman" w:hAnsi="Times New Roman" w:eastAsia="宋体" w:cs="Times New Roman"/>
          <w:bCs/>
          <w:kern w:val="0"/>
          <w:sz w:val="24"/>
          <w:szCs w:val="24"/>
        </w:rPr>
        <w:t>符合</w:t>
      </w:r>
      <w:r>
        <w:rPr>
          <w:rFonts w:hint="eastAsia" w:ascii="Times New Roman" w:hAnsi="Times New Roman" w:eastAsia="宋体" w:cs="Times New Roman"/>
          <w:bCs/>
          <w:kern w:val="0"/>
          <w:sz w:val="24"/>
          <w:szCs w:val="24"/>
          <w:lang w:eastAsia="zh-CN"/>
        </w:rPr>
        <w:t>《工业涂装工序大气污染物排放标准》DB 33/2146-2018表1</w:t>
      </w:r>
      <w:r>
        <w:rPr>
          <w:rFonts w:hint="eastAsia" w:ascii="Times New Roman" w:hAnsi="Times New Roman" w:cs="Times New Roman"/>
          <w:sz w:val="24"/>
          <w:szCs w:val="24"/>
        </w:rPr>
        <w:t>中</w:t>
      </w:r>
      <w:r>
        <w:rPr>
          <w:rFonts w:hint="eastAsia" w:ascii="Times New Roman" w:hAnsi="Times New Roman" w:cs="Times New Roman"/>
          <w:sz w:val="24"/>
          <w:szCs w:val="24"/>
          <w:lang w:eastAsia="zh-CN"/>
        </w:rPr>
        <w:t>的</w:t>
      </w:r>
      <w:r>
        <w:rPr>
          <w:rFonts w:hint="eastAsia" w:ascii="Times New Roman" w:hAnsi="Times New Roman" w:cs="Times New Roman"/>
          <w:sz w:val="24"/>
          <w:szCs w:val="24"/>
        </w:rPr>
        <w:t>排放限值</w:t>
      </w:r>
      <w:r>
        <w:rPr>
          <w:rFonts w:hint="eastAsia" w:ascii="Times New Roman" w:hAnsi="Times New Roman" w:cs="Times New Roman"/>
          <w:sz w:val="24"/>
          <w:szCs w:val="24"/>
          <w:highlight w:val="none"/>
          <w:vertAlign w:val="baseline"/>
          <w:lang w:val="en-US" w:eastAsia="zh-CN"/>
        </w:rPr>
        <w:t>。</w:t>
      </w:r>
    </w:p>
    <w:p>
      <w:pPr>
        <w:spacing w:line="360" w:lineRule="auto"/>
        <w:ind w:firstLine="240" w:firstLineChars="100"/>
        <w:rPr>
          <w:rFonts w:hint="eastAsia" w:ascii="Times New Roman" w:hAnsi="Times New Roman" w:cs="Times New Roman"/>
          <w:sz w:val="24"/>
        </w:rPr>
        <w:sectPr>
          <w:footerReference r:id="rId14" w:type="default"/>
          <w:pgSz w:w="16838" w:h="11906" w:orient="landscape"/>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6"/>
        <w:rPr>
          <w:rFonts w:hint="eastAsia" w:ascii="Times New Roman" w:hAnsi="Times New Roman"/>
          <w:kern w:val="22"/>
        </w:rPr>
      </w:pPr>
      <w:bookmarkStart w:id="104" w:name="_Toc28606"/>
      <w:r>
        <w:rPr>
          <w:rFonts w:hint="eastAsia" w:ascii="Times New Roman" w:hAnsi="Times New Roman"/>
          <w:kern w:val="22"/>
        </w:rPr>
        <w:t>9.2.</w:t>
      </w:r>
      <w:r>
        <w:rPr>
          <w:rFonts w:hint="eastAsia" w:ascii="Times New Roman" w:hAnsi="Times New Roman"/>
          <w:kern w:val="22"/>
          <w:lang w:val="en-US" w:eastAsia="zh-CN"/>
        </w:rPr>
        <w:t>3</w:t>
      </w:r>
      <w:r>
        <w:rPr>
          <w:rFonts w:hint="eastAsia" w:ascii="Times New Roman" w:hAnsi="Times New Roman"/>
          <w:kern w:val="22"/>
        </w:rPr>
        <w:t>无组织废气检测结果及评价</w:t>
      </w:r>
      <w:bookmarkEnd w:id="104"/>
    </w:p>
    <w:p>
      <w:pPr>
        <w:spacing w:line="360" w:lineRule="auto"/>
        <w:ind w:firstLine="240" w:firstLineChars="100"/>
        <w:rPr>
          <w:rFonts w:ascii="Times New Roman" w:hAnsi="Times New Roman" w:cs="Times New Roman"/>
          <w:sz w:val="24"/>
        </w:rPr>
      </w:pPr>
      <w:r>
        <w:rPr>
          <w:rFonts w:hint="eastAsia" w:ascii="Times New Roman" w:hAnsi="Times New Roman" w:cs="Times New Roman"/>
          <w:sz w:val="24"/>
        </w:rPr>
        <w:t>无组织废气检测结果见表9.2.</w:t>
      </w:r>
      <w:r>
        <w:rPr>
          <w:rFonts w:ascii="Times New Roman" w:hAnsi="Times New Roman" w:cs="Times New Roman"/>
          <w:sz w:val="24"/>
        </w:rPr>
        <w:t>3</w:t>
      </w:r>
      <w:r>
        <w:rPr>
          <w:rFonts w:hint="eastAsia" w:ascii="Times New Roman" w:hAnsi="Times New Roman" w:cs="Times New Roman"/>
          <w:sz w:val="24"/>
        </w:rPr>
        <w:t>-</w:t>
      </w:r>
      <w:r>
        <w:rPr>
          <w:rFonts w:ascii="Times New Roman" w:hAnsi="Times New Roman" w:cs="Times New Roman"/>
          <w:sz w:val="24"/>
        </w:rPr>
        <w:t>1</w:t>
      </w:r>
      <w:r>
        <w:rPr>
          <w:rFonts w:hint="eastAsia" w:ascii="Times New Roman" w:hAnsi="Times New Roman" w:cs="Times New Roman"/>
          <w:sz w:val="24"/>
        </w:rPr>
        <w:t>~</w:t>
      </w:r>
      <w:r>
        <w:rPr>
          <w:rFonts w:ascii="Times New Roman" w:hAnsi="Times New Roman" w:cs="Times New Roman"/>
          <w:sz w:val="24"/>
        </w:rPr>
        <w:t>9.2.3</w:t>
      </w:r>
      <w:r>
        <w:rPr>
          <w:rFonts w:hint="eastAsia" w:ascii="Times New Roman" w:hAnsi="Times New Roman" w:cs="Times New Roman"/>
          <w:sz w:val="24"/>
        </w:rPr>
        <w:t>-</w:t>
      </w:r>
      <w:r>
        <w:rPr>
          <w:rFonts w:hint="eastAsia" w:ascii="Times New Roman" w:hAnsi="Times New Roman" w:cs="Times New Roman"/>
          <w:sz w:val="24"/>
          <w:lang w:val="en-US" w:eastAsia="zh-CN"/>
        </w:rPr>
        <w:t>3</w:t>
      </w:r>
      <w:r>
        <w:rPr>
          <w:rFonts w:hint="eastAsia" w:ascii="Times New Roman" w:hAnsi="Times New Roman" w:cs="Times New Roman"/>
          <w:sz w:val="24"/>
        </w:rPr>
        <w:t>。</w:t>
      </w:r>
    </w:p>
    <w:p>
      <w:pPr>
        <w:spacing w:line="360" w:lineRule="auto"/>
        <w:ind w:firstLine="211" w:firstLineChars="100"/>
        <w:jc w:val="center"/>
        <w:rPr>
          <w:rFonts w:ascii="Times New Roman" w:hAnsi="Times New Roman"/>
          <w:b/>
          <w:bCs/>
          <w:szCs w:val="21"/>
        </w:rPr>
      </w:pPr>
      <w:r>
        <w:rPr>
          <w:rFonts w:ascii="Times New Roman" w:hAnsi="Times New Roman"/>
          <w:b/>
          <w:bCs/>
          <w:szCs w:val="21"/>
        </w:rPr>
        <w:t>表</w:t>
      </w:r>
      <w:r>
        <w:rPr>
          <w:rFonts w:hint="eastAsia" w:ascii="Times New Roman" w:hAnsi="Times New Roman"/>
          <w:b/>
          <w:bCs/>
          <w:szCs w:val="21"/>
        </w:rPr>
        <w:t xml:space="preserve"> </w:t>
      </w:r>
      <w:r>
        <w:rPr>
          <w:rFonts w:ascii="Times New Roman" w:hAnsi="Times New Roman"/>
          <w:b/>
          <w:bCs/>
          <w:szCs w:val="21"/>
        </w:rPr>
        <w:t>9</w:t>
      </w:r>
      <w:r>
        <w:rPr>
          <w:rFonts w:hint="eastAsia" w:ascii="Times New Roman" w:hAnsi="Times New Roman"/>
          <w:b/>
          <w:bCs/>
          <w:szCs w:val="21"/>
        </w:rPr>
        <w:t>.2.</w:t>
      </w:r>
      <w:r>
        <w:rPr>
          <w:rFonts w:hint="eastAsia" w:ascii="Times New Roman" w:hAnsi="Times New Roman"/>
          <w:b/>
          <w:bCs/>
          <w:szCs w:val="21"/>
          <w:lang w:val="en-US" w:eastAsia="zh-CN"/>
        </w:rPr>
        <w:t>3</w:t>
      </w:r>
      <w:r>
        <w:rPr>
          <w:rFonts w:ascii="Times New Roman" w:hAnsi="Times New Roman"/>
          <w:b/>
          <w:bCs/>
          <w:szCs w:val="21"/>
        </w:rPr>
        <w:t>-1 无组织废气监测结果</w:t>
      </w:r>
      <w:r>
        <w:rPr>
          <w:rFonts w:hint="eastAsia" w:ascii="Times New Roman" w:hAnsi="Times New Roman"/>
          <w:b/>
          <w:bCs/>
          <w:szCs w:val="21"/>
        </w:rPr>
        <w:t>（1）</w:t>
      </w:r>
    </w:p>
    <w:tbl>
      <w:tblPr>
        <w:tblStyle w:val="31"/>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5"/>
        <w:gridCol w:w="1595"/>
        <w:gridCol w:w="1435"/>
        <w:gridCol w:w="1435"/>
        <w:gridCol w:w="1435"/>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5743" w:type="dxa"/>
            <w:gridSpan w:val="4"/>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60" w:lineRule="exact"/>
              <w:jc w:val="center"/>
              <w:textAlignment w:val="auto"/>
              <w:rPr>
                <w:rFonts w:hint="default" w:ascii="Times New Roman" w:hAnsi="Times New Roman" w:cs="Times New Roman"/>
                <w:bCs/>
                <w:kern w:val="0"/>
                <w:sz w:val="18"/>
                <w:szCs w:val="18"/>
              </w:rPr>
            </w:pP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eastAsia="仿宋_GB2312" w:cs="Times New Roman"/>
                <w:b/>
                <w:sz w:val="24"/>
              </w:rPr>
              <mc:AlternateContent>
                <mc:Choice Requires="wps">
                  <w:drawing>
                    <wp:anchor distT="0" distB="0" distL="114300" distR="114300" simplePos="0" relativeHeight="251678720" behindDoc="0" locked="0" layoutInCell="1" allowOverlap="1">
                      <wp:simplePos x="0" y="0"/>
                      <wp:positionH relativeFrom="column">
                        <wp:posOffset>1130300</wp:posOffset>
                      </wp:positionH>
                      <wp:positionV relativeFrom="paragraph">
                        <wp:posOffset>219075</wp:posOffset>
                      </wp:positionV>
                      <wp:extent cx="783590" cy="276860"/>
                      <wp:effectExtent l="0" t="0" r="0" b="0"/>
                      <wp:wrapNone/>
                      <wp:docPr id="194" name="矩形 194"/>
                      <wp:cNvGraphicFramePr/>
                      <a:graphic xmlns:a="http://schemas.openxmlformats.org/drawingml/2006/main">
                        <a:graphicData uri="http://schemas.microsoft.com/office/word/2010/wordprocessingShape">
                          <wps:wsp>
                            <wps:cNvSpPr/>
                            <wps:spPr>
                              <a:xfrm>
                                <a:off x="0" y="0"/>
                                <a:ext cx="783590" cy="27686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upright="1"/>
                          </wps:wsp>
                        </a:graphicData>
                      </a:graphic>
                    </wp:anchor>
                  </w:drawing>
                </mc:Choice>
                <mc:Fallback>
                  <w:pict>
                    <v:rect id="_x0000_s1026" o:spid="_x0000_s1026" o:spt="1" style="position:absolute;left:0pt;margin-left:89pt;margin-top:17.25pt;height:21.8pt;width:61.7pt;z-index:251678720;mso-width-relative:page;mso-height-relative:page;" filled="f" stroked="f" coordsize="21600,21600" o:gfxdata="UEsDBAoAAAAAAIdO4kAAAAAAAAAAAAAAAAAEAAAAZHJzL1BLAwQUAAAACACHTuJAhFd2adoAAAAJ&#10;AQAADwAAAGRycy9kb3ducmV2LnhtbE2PQUvDQBSE74L/YXmCF7G7sdWGmE0PBbGIUEy15232mQSz&#10;b9PsNqn/3udJj8MMM9/kq7PrxIhDaD1pSGYKBFLlbUu1hvfd020KIkRD1nSeUMM3BlgVlxe5yayf&#10;6A3HMtaCSyhkRkMTY59JGaoGnQkz3yOx9+kHZyLLoZZ2MBOXu07eKfUgnWmJFxrT47rB6qs8OQ1T&#10;tR33u9dnub3ZbzwdN8d1+fGi9fVVoh5BRDzHvzD84jM6FMx08CeyQXSslyl/iRrmi3sQHJirZAHi&#10;oGGZJiCLXP5/UPwAUEsDBBQAAAAIAIdO4kAztMqxpAEAAEQDAAAOAAAAZHJzL2Uyb0RvYy54bWyt&#10;Uktu2zAQ3RfIHQjua9lu6ziC5WyMZFOkAdIegKZIiwB/mKEt+TQBuushepyi1+iQVp022WSRDTU/&#10;vZn3ZlbXg7PsoABN8A2fTaacKS9Da/yu4d++3rxfcoZJ+FbY4FXDjwr59fri3aqPtZqHLthWASMQ&#10;j3UfG96lFOuqQtkpJ3ASovKU1AGcSOTCrmpB9ITubDWfThdVH6CNEKRCpOjmlOQjIrwGMGhtpNoE&#10;uXfKpxMqKCsSUcLOROTrMq3WSqYvWqNKzDacmKbyUhOyt/mt1itR70DEzshxBPGaEZ5xcsJ4anqG&#10;2ogk2B7MCyhnJAQMOk1kcNWJSFGEWMymz7R56ERUhQtJjfEsOr4drLw73AMzLV3C1UfOvHC08t+P&#10;P379/M5yhPTpI9ZU9hDvYfSQzEx20ODyl2iwoWh6PGuqhsQkBS+XHz5dkdqSUvPLxXJRNK+efo6A&#10;6VYFx7LRcKCVFSXF4TMmakilf0tyLx9ujLVlbdb/F6DCHKnyvKcJs5WG7TCOvQ3tkcjuI5hdR61m&#10;mV0pJ3FLo/EQ8vb+9UvV0/G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EV3Zp2gAAAAkBAAAP&#10;AAAAAAAAAAEAIAAAACIAAABkcnMvZG93bnJldi54bWxQSwECFAAUAAAACACHTuJAM7TKsaQBAABE&#10;AwAADgAAAAAAAAABACAAAAApAQAAZHJzL2Uyb0RvYy54bWxQSwUGAAAAAAYABgBZAQAAPwU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Cs/>
                <w:kern w:val="0"/>
                <w:sz w:val="18"/>
                <w:szCs w:val="18"/>
              </w:rPr>
              <w:t>检测日期</w:t>
            </w:r>
          </w:p>
        </w:tc>
        <w:tc>
          <w:tcPr>
            <w:tcW w:w="5743" w:type="dxa"/>
            <w:gridSpan w:val="4"/>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2023年12月21日-23日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5"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73600" behindDoc="0" locked="0" layoutInCell="1" allowOverlap="1">
                      <wp:simplePos x="0" y="0"/>
                      <wp:positionH relativeFrom="column">
                        <wp:posOffset>6350</wp:posOffset>
                      </wp:positionH>
                      <wp:positionV relativeFrom="paragraph">
                        <wp:posOffset>8890</wp:posOffset>
                      </wp:positionV>
                      <wp:extent cx="1702435" cy="600075"/>
                      <wp:effectExtent l="1270" t="4445" r="10795" b="5080"/>
                      <wp:wrapNone/>
                      <wp:docPr id="197" name="直接箭头连接符 197"/>
                      <wp:cNvGraphicFramePr/>
                      <a:graphic xmlns:a="http://schemas.openxmlformats.org/drawingml/2006/main">
                        <a:graphicData uri="http://schemas.microsoft.com/office/word/2010/wordprocessingShape">
                          <wps:wsp>
                            <wps:cNvCnPr/>
                            <wps:spPr>
                              <a:xfrm>
                                <a:off x="0" y="0"/>
                                <a:ext cx="1702435" cy="6000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5pt;margin-top:0.7pt;height:47.25pt;width:134.05pt;z-index:251673600;mso-width-relative:page;mso-height-relative:page;" filled="f" stroked="t" coordsize="21600,21600" o:gfxdata="UEsDBAoAAAAAAIdO4kAAAAAAAAAAAAAAAAAEAAAAZHJzL1BLAwQUAAAACACHTuJAAgjoatUAAAAG&#10;AQAADwAAAGRycy9kb3ducmV2LnhtbE2PwW7CMBBE75X4B2uReqnATgSIpHFQVamHHgtIXE28TdLG&#10;6yh2COXru5za02g0q5m3xe7qOnHBIbSeNCRLBQKp8ralWsPx8LbYggjRkDWdJ9TwgwF25eyhMLn1&#10;E33gZR9rwSUUcqOhibHPpQxVg86Epe+ROPv0gzOR7VBLO5iJy10nU6U20pmWeKExPb42WH3vR6cB&#10;w7hO1Evm6uP7bXo6pbevqT9o/ThP1DOIiNf4dwx3fEaHkpnOfiQbRMeeP4ksKxCcppssAXHWkK0z&#10;kGUh/+OXv1BLAwQUAAAACACHTuJAuuGsYgMCAAD1AwAADgAAAGRycy9lMm9Eb2MueG1srVPNjtMw&#10;EL4j8Q6W7zRpoVs2arqHluWCoBLwAK7tJJb8J4+3aV+CF0DiBJxYTnvnaWB5DMZO6cJy6YEcnLFn&#10;5pv5Po/nFzujyVYGUM7WdDwqKZGWO6FsW9O3by4fPaUEIrOCaWdlTfcS6MXi4YN57ys5cZ3TQgaC&#10;IBaq3te0i9FXRQG8k4bByHlp0dm4YFjEbWgLEViP6EYXk7I8K3oXhA+OSwA8XQ1OekAMpwC6plFc&#10;rhy/MtLGATVIzSJSgk55oIvcbdNIHl81DchIdE2RacwrFkF7k9ZiMWdVG5jvFD+0wE5p4R4nw5TF&#10;okeoFYuMXAX1D5RRPDhwTRxxZ4qBSFYEWYzLe9q87piXmQtKDf4oOvw/WP5yuw5ECZyE8xkllhm8&#10;8tv3Nz/efbr9ev39483Pbx+S/eUzSQEoV++hwqylXYfDDvw6JO67Jpj0R1ZklyXeHyWWu0g4Ho5n&#10;5eTJ4yklHH1nZVnOpgm0uMv2AeJz6QxJRk0hBqbaLi6dtXibLoyzzmz7AuKQ+DshldaW9DU9n05S&#10;BYbT2eBUoGk8MgTb5lxwWolLpXXKgNBuljqQLUsTkr9DQ3+FpSIrBt0Ql10pjFWdZOKZFSTuPSpn&#10;8cnQ1IKRghIt8YUlK0dGpvQpkaiFtihJEnqQNlkbJ/ZZ8XyO05BFO0xuGrc/9zn77rU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COhq1QAAAAYBAAAPAAAAAAAAAAEAIAAAACIAAABkcnMvZG93&#10;bnJldi54bWxQSwECFAAUAAAACACHTuJAuuGsYgMCAAD1AwAADgAAAAAAAAABACAAAAAk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75648" behindDoc="0" locked="0" layoutInCell="1" allowOverlap="1">
                      <wp:simplePos x="0" y="0"/>
                      <wp:positionH relativeFrom="column">
                        <wp:posOffset>7620</wp:posOffset>
                      </wp:positionH>
                      <wp:positionV relativeFrom="paragraph">
                        <wp:posOffset>12065</wp:posOffset>
                      </wp:positionV>
                      <wp:extent cx="701040" cy="602615"/>
                      <wp:effectExtent l="3175" t="3810" r="19685" b="3175"/>
                      <wp:wrapNone/>
                      <wp:docPr id="195" name="直接箭头连接符 195"/>
                      <wp:cNvGraphicFramePr/>
                      <a:graphic xmlns:a="http://schemas.openxmlformats.org/drawingml/2006/main">
                        <a:graphicData uri="http://schemas.microsoft.com/office/word/2010/wordprocessingShape">
                          <wps:wsp>
                            <wps:cNvCnPr/>
                            <wps:spPr>
                              <a:xfrm>
                                <a:off x="0" y="0"/>
                                <a:ext cx="701040" cy="6026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6pt;margin-top:0.95pt;height:47.45pt;width:55.2pt;z-index:251675648;mso-width-relative:page;mso-height-relative:page;" filled="f" stroked="t" coordsize="21600,21600" o:gfxdata="UEsDBAoAAAAAAIdO4kAAAAAAAAAAAAAAAAAEAAAAZHJzL1BLAwQUAAAACACHTuJAgZe5KNMAAAAG&#10;AQAADwAAAGRycy9kb3ducmV2LnhtbE2OQUvDQBSE74L/YXmCF7G7GzA0MZsiggePtoVet9lnEs2+&#10;DdlNU/vrfT3paRhmmPmqzdkP4oRT7AMZ0CsFAqkJrqfWwH739rgGEZMlZ4dAaOAHI2zq25vKli4s&#10;9IGnbWoFj1AsrYEupbGUMjYdehtXYUTi7DNM3ia2UyvdZBce94PMlMqltz3xQ2dHfO2w+d7O3gDG&#10;+Umrl8K3+/fL8nDILl/LuDPm/k6rZxAJz+mvDFd8RoeamY5hJhfFwD7jIksB4ppqnYM4GijyNci6&#10;kv/x619QSwMEFAAAAAgAh07iQOwbjpsDAgAA9AMAAA4AAABkcnMvZTJvRG9jLnhtbK1TzY7TMBC+&#10;I/EOlu80bcUWNmq6h5blgqAS8ABTx0ks+U8eb9O+BC+AxAk4wZ72ztPA8hiMndKF5dIDOThjz8w3&#10;830ezy92RrOtDKicrfhkNOZMWuFqZduKv31z+egpZxjB1qCdlRXfS+QXi4cP5r0v5dR1TtcyMAKx&#10;WPa+4l2MviwKFJ00gCPnpSVn44KBSNvQFnWAntCNLqbj8azoXah9cEIi0ulqcPIDYjgF0DWNEnLl&#10;xJWRNg6oQWqIRAk75ZEvcrdNI0V81TQoI9MVJ6Yxr1SE7E1ai8UcyjaA75Q4tACntHCPkwFlqegR&#10;agUR2FVQ/0AZJYJD18SRcKYYiGRFiMVkfE+b1x14mbmQ1OiPouP/gxUvt+vAVE2TcH7GmQVDV377&#10;/ubHu0+311+/f7z5+e1Dsr98ZimA5Oo9lpS1tOtw2KFfh8R91wST/sSK7bLE+6PEcheZoMMnxPIx&#10;iS/INRtPZ5OMWdwl+4DxuXSGJaPiGAOototLZy1dpguTLDNsX2Ck8pT4OyFV1pb1FT8/mxIVATSc&#10;DQ0FmcYTQbRtzkWnVX2ptE4ZGNrNUge2hTQg+UskCfevsFRkBdgNcdk1jE4noX5maxb3noSz9GJ4&#10;asHImjMt6YEliwChjKD0KZFUWlvqIOk8KJusjav3WfB8TsOQezwMbpq2P/c5++6xL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Ze5KNMAAAAGAQAADwAAAAAAAAABACAAAAAiAAAAZHJzL2Rvd25y&#10;ZXYueG1sUEsBAhQAFAAAAAgAh07iQOwbjpsDAgAA9AMAAA4AAAAAAAAAAQAgAAAAIgEAAGRycy9l&#10;Mm9Eb2MueG1sUEsFBgAAAAAGAAYAWQEAAJc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74624" behindDoc="0" locked="0" layoutInCell="1" allowOverlap="1">
                      <wp:simplePos x="0" y="0"/>
                      <wp:positionH relativeFrom="column">
                        <wp:posOffset>31750</wp:posOffset>
                      </wp:positionH>
                      <wp:positionV relativeFrom="paragraph">
                        <wp:posOffset>12065</wp:posOffset>
                      </wp:positionV>
                      <wp:extent cx="1699895" cy="299085"/>
                      <wp:effectExtent l="635" t="4445" r="13970" b="20320"/>
                      <wp:wrapNone/>
                      <wp:docPr id="196" name="直接箭头连接符 196"/>
                      <wp:cNvGraphicFramePr/>
                      <a:graphic xmlns:a="http://schemas.openxmlformats.org/drawingml/2006/main">
                        <a:graphicData uri="http://schemas.microsoft.com/office/word/2010/wordprocessingShape">
                          <wps:wsp>
                            <wps:cNvCnPr/>
                            <wps:spPr>
                              <a:xfrm>
                                <a:off x="0" y="0"/>
                                <a:ext cx="1699895" cy="2990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pt;margin-top:0.95pt;height:23.55pt;width:133.85pt;z-index:251674624;mso-width-relative:page;mso-height-relative:page;" filled="f" stroked="t" coordsize="21600,21600" o:gfxdata="UEsDBAoAAAAAAIdO4kAAAAAAAAAAAAAAAAAEAAAAZHJzL1BLAwQUAAAACACHTuJA75FDatYAAAAG&#10;AQAADwAAAGRycy9kb3ducmV2LnhtbE2PzU7DMBCE70i8g7WVuCBqJ6K0CXEqhMSBY38krm68TULj&#10;dRQ7TenTdznBcWdGM98W64vrxBmH0HrSkMwVCKTK25ZqDfvdx9MKRIiGrOk8oYYfDLAu7+8Kk1s/&#10;0QbP21gLLqGQGw1NjH0uZagadCbMfY/E3tEPzkQ+h1rawUxc7jqZKvUinWmJFxrT43uD1Wk7Og0Y&#10;xkWi3jJX7z+v0+NXev2e+p3WD7NEvYKIeIl/YfjFZ3QomengR7JBdBoW/ElkOQPBbrpMlyAOGp4z&#10;BbIs5H/88gZQSwMEFAAAAAgAh07iQLH1a8QCAgAA9QMAAA4AAABkcnMvZTJvRG9jLnhtbK1TzY7T&#10;MBC+I/EOlu80baVWTdR0Dy3LBUEl4AFc20ks+U8eb9O+BC+AxAk4Aae98zSwPAZjp3RhufRADs7Y&#10;M/PNfJ/Hy6uD0WQvAyhnazoZjSmRljuhbFvTN6+vnywogcisYNpZWdOjBHq1evxo2ftKTl3ntJCB&#10;IIiFqvc17WL0VVEA76RhMHJeWnQ2LhgWcRvaQgTWI7rRxXQ8nhe9C8IHxyUAnm4GJz0hhksAXdMo&#10;LjeO3xhp44AapGYRKUGnPNBV7rZpJI8vmwZkJLqmyDTmFYugvUtrsVqyqg3Md4qfWmCXtPCAk2HK&#10;YtEz1IZFRm6C+gfKKB4cuCaOuDPFQCQrgiwm4wfavOqYl5kLSg3+LDr8P1j+Yr8NRAmchHJOiWUG&#10;r/zu3e2Ptx/vvn75/uH257f3yf78iaQAlKv3UGHW2m7DaQd+GxL3QxNM+iMrcsgSH88Sy0MkHA8n&#10;87JclDNKOPqmZTlezBJocZ/tA8Rn0hmSjJpCDEy1XVw7a/E2XZhkndn+OcQh8XdCKq0t6Wtazqap&#10;AsPpbHAq0DQeGYJtcy44rcS10jplQGh3ax3InqUJyd+pob/CUpENg26Iy64UxqpOMvHUChKPHpWz&#10;+GRoasFIQYmW+MKSlSMjU/qSSNRCW5QkCT1Im6ydE8eseD7HaciinSY3jduf+5x9/1p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kUNq1gAAAAYBAAAPAAAAAAAAAAEAIAAAACIAAABkcnMvZG93&#10;bnJldi54bWxQSwECFAAUAAAACACHTuJAsfVrxAICAAD1AwAADgAAAAAAAAABACAAAAAl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eastAsia="华文中宋" w:cs="Times New Roman"/>
                <w:b/>
                <w:spacing w:val="227"/>
                <w:sz w:val="30"/>
                <w:szCs w:val="30"/>
                <w:lang w:val="zh-CN"/>
              </w:rPr>
              <mc:AlternateContent>
                <mc:Choice Requires="wps">
                  <w:drawing>
                    <wp:anchor distT="0" distB="0" distL="114300" distR="114300" simplePos="0" relativeHeight="251677696" behindDoc="0" locked="0" layoutInCell="1" allowOverlap="1">
                      <wp:simplePos x="0" y="0"/>
                      <wp:positionH relativeFrom="column">
                        <wp:posOffset>1160145</wp:posOffset>
                      </wp:positionH>
                      <wp:positionV relativeFrom="paragraph">
                        <wp:posOffset>118110</wp:posOffset>
                      </wp:positionV>
                      <wp:extent cx="783590" cy="255270"/>
                      <wp:effectExtent l="0" t="0" r="0" b="0"/>
                      <wp:wrapNone/>
                      <wp:docPr id="199" name="矩形 199"/>
                      <wp:cNvGraphicFramePr/>
                      <a:graphic xmlns:a="http://schemas.openxmlformats.org/drawingml/2006/main">
                        <a:graphicData uri="http://schemas.microsoft.com/office/word/2010/wordprocessingShape">
                          <wps:wsp>
                            <wps:cNvSpPr/>
                            <wps:spPr>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upright="1"/>
                          </wps:wsp>
                        </a:graphicData>
                      </a:graphic>
                    </wp:anchor>
                  </w:drawing>
                </mc:Choice>
                <mc:Fallback>
                  <w:pict>
                    <v:rect id="_x0000_s1026" o:spid="_x0000_s1026" o:spt="1" style="position:absolute;left:0pt;margin-left:91.35pt;margin-top:9.3pt;height:20.1pt;width:61.7pt;z-index:251677696;mso-width-relative:page;mso-height-relative:page;" filled="f" stroked="f" coordsize="21600,21600" o:gfxdata="UEsDBAoAAAAAAIdO4kAAAAAAAAAAAAAAAAAEAAAAZHJzL1BLAwQUAAAACACHTuJAO4+A9NkAAAAJ&#10;AQAADwAAAGRycy9kb3ducmV2LnhtbE2PwUrDQBCG74LvsIzgRewmFWNIs+mhIBYRSlPb8zY7JsHs&#10;bJrdJvXtnZ70Nj/z8c83+fJiOzHi4FtHCuJZBAKpcqalWsHn7vUxBeGDJqM7R6jgBz0si9ubXGfG&#10;TbTFsQy14BLymVbQhNBnUvqqQav9zPVIvPtyg9WB41BLM+iJy20n51GUSKtb4guN7nHVYPVdnq2C&#10;qdqMh93Hm9w8HNaOTuvTqty/K3V/F0cLEAEv4Q+Gqz6rQ8FOR3cm40XHOZ2/MHodEhAMPEVJDOKo&#10;4DlNQRa5/P9B8QtQSwMEFAAAAAgAh07iQOWrm+2jAQAARAMAAA4AAABkcnMvZTJvRG9jLnhtbK1S&#10;S27bMBDdF8gdCO5r2i7cxILlbIxkU7QB0h6ApiiLAH+YoS35NAGy6yF6nKLX6JBWnDbZZJENNT+9&#10;mfdmVteDs+ygAU3wNZ9Nppxpr0Jj/K7mP77ffLziDJP0jbTB65ofNfLr9cWHVR8rPQ9dsI0GRiAe&#10;qz7WvEspVkKg6rSTOAlRe0q2AZxM5MJONCB7QndWzKfTz6IP0EQISiNSdHNK8hER3gIY2tYovQlq&#10;77RPJ1TQViaihJ2JyNdl2rbVKn1rW9SJ2ZoT01ReakL2Nr9ivZLVDmTsjBpHkG8Z4QUnJ42npmeo&#10;jUyS7cG8gnJGQcDQpokKTpyIFEWIxWz6Qpv7TkZduJDUGM+i4/vBqq+HO2CmoUtYLjnz0tHK/zz8&#10;/P3rkeUI6dNHrKjsPt7B6CGZmezQgstfosGGounxrKkeElMUvLz6tFiS2opS88Viflk0F88/R8B0&#10;q4Nj2ag50MqKkvLwBRM1pNKnktzLhxtjbVmb9f8FqDBHRJ73NGG20rAdxrG3oTkS2X0Es+uo1Syz&#10;K+Ukbmk0HkLe3r9+qXo+/v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4+A9NkAAAAJAQAADwAA&#10;AAAAAAABACAAAAAiAAAAZHJzL2Rvd25yZXYueG1sUEsBAhQAFAAAAAgAh07iQOWrm+2jAQAARAMA&#10;AA4AAAAAAAAAAQAgAAAAKAEAAGRycy9lMm9Eb2MueG1sUEsFBgAAAAAGAAYAWQEAAD0FA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72576" behindDoc="0" locked="0" layoutInCell="1" allowOverlap="1">
                      <wp:simplePos x="0" y="0"/>
                      <wp:positionH relativeFrom="column">
                        <wp:posOffset>-55245</wp:posOffset>
                      </wp:positionH>
                      <wp:positionV relativeFrom="paragraph">
                        <wp:posOffset>253365</wp:posOffset>
                      </wp:positionV>
                      <wp:extent cx="783590" cy="237490"/>
                      <wp:effectExtent l="0" t="0" r="0" b="0"/>
                      <wp:wrapNone/>
                      <wp:docPr id="198" name="矩形 198"/>
                      <wp:cNvGraphicFramePr/>
                      <a:graphic xmlns:a="http://schemas.openxmlformats.org/drawingml/2006/main">
                        <a:graphicData uri="http://schemas.microsoft.com/office/word/2010/wordprocessingShape">
                          <wps:wsp>
                            <wps:cNvSpPr/>
                            <wps:spPr>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采样点位</w:t>
                                  </w:r>
                                </w:p>
                              </w:txbxContent>
                            </wps:txbx>
                            <wps:bodyPr upright="1"/>
                          </wps:wsp>
                        </a:graphicData>
                      </a:graphic>
                    </wp:anchor>
                  </w:drawing>
                </mc:Choice>
                <mc:Fallback>
                  <w:pict>
                    <v:rect id="_x0000_s1026" o:spid="_x0000_s1026" o:spt="1" style="position:absolute;left:0pt;margin-left:-4.35pt;margin-top:19.95pt;height:18.7pt;width:61.7pt;z-index:251672576;mso-width-relative:page;mso-height-relative:page;" filled="f" stroked="f" coordsize="21600,21600" o:gfxdata="UEsDBAoAAAAAAIdO4kAAAAAAAAAAAAAAAAAEAAAAZHJzL1BLAwQUAAAACACHTuJALkAaOtkAAAAI&#10;AQAADwAAAGRycy9kb3ducmV2LnhtbE2PQU/CQBCF7yb+h82YeDGwrRgLpVMOJEZiTIhFOC/dsW3s&#10;zpbu0uK/dznp8c17ee+bbHUxrRiod41lhHgagSAurW64QvjcvUzmIJxXrFVrmRB+yMEqv73JVKrt&#10;yB80FL4SoYRdqhBq77tUSlfWZJSb2o44eF+2N8oH2VdS92oM5aaVj1H0LI1qOCzUqqN1TeV3cTYI&#10;Y7kdDrv3V7l9OGwsnzandbF/Q7y/i6MlCE8X/xeGK35AhzwwHe2ZtRMtwmSehCTCbLEAcfXjp3A4&#10;IiTJDGSeyf8P5L9QSwMEFAAAAAgAh07iQPX3BJWkAQAARAMAAA4AAABkcnMvZTJvRG9jLnhtbK1S&#10;S27bMBDdF+gdCO5r2U7SJILlbIxkU6QB0h6ApkiLAH+YoS35NAW66yF6nKLX6JBSnTbZZJENNTMc&#10;vXnvDVc3g7PsoABN8A1fzOacKS9Da/yu4V+/3H644gyT8K2wwauGHxXym/X7d6s+1moZumBbBYxA&#10;PNZ9bHiXUqyrCmWnnMBZiMrTpQ7gRKIUdlULoid0Z6vlfP6x6gO0EYJUiFTdjJd8QoTXAAatjVSb&#10;IPdO+TSigrIikSTsTES+Lmy1VjJ91hpVYrbhpDSVk4ZQvM1ntV6JegcidkZOFMRrKDzT5ITxNPQE&#10;tRFJsD2YF1DOSAgYdJrJ4KpRSHGEVCzmz7x57ERURQtZjfFkOr4drLw/PAAzLb2Ea1q8F45W/vvb&#10;j18/v7NcIX/6iDW1PcYHmDKkMIsdNLj8JRlsKJ4eT56qITFJxcurs4trclvS1fLs8pxiQqmefo6A&#10;6U4Fx3LQcKCVFSfF4ROmsfVvS57lw62xluqitv6/AmHmSpX5jgxzlIbtMNHehvZIYvcRzK6jUYvC&#10;JDeRuYXT9BDy9v7NC+jT4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5AGjrZAAAACAEAAA8A&#10;AAAAAAAAAQAgAAAAIgAAAGRycy9kb3ducmV2LnhtbFBLAQIUABQAAAAIAIdO4kD19wSVpAEAAEQD&#10;AAAOAAAAAAAAAAEAIAAAACgBAABkcnMvZTJvRG9jLnhtbFBLBQYAAAAABgAGAFkBAAA+BQAAAAA=&#10;">
                      <v:fill on="f" focussize="0,0"/>
                      <v:stroke on="f"/>
                      <v:imagedata o:title=""/>
                      <o:lock v:ext="edit" aspectratio="f"/>
                      <v:textbox>
                        <w:txbxContent>
                          <w:p>
                            <w:pPr>
                              <w:rPr>
                                <w:bCs/>
                                <w:kern w:val="0"/>
                                <w:sz w:val="18"/>
                                <w:szCs w:val="18"/>
                              </w:rPr>
                            </w:pPr>
                            <w:r>
                              <w:rPr>
                                <w:rFonts w:hint="eastAsia"/>
                                <w:bCs/>
                                <w:kern w:val="0"/>
                                <w:sz w:val="18"/>
                                <w:szCs w:val="18"/>
                              </w:rPr>
                              <w:t>采样点位</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76672" behindDoc="0" locked="0" layoutInCell="1" allowOverlap="1">
                      <wp:simplePos x="0" y="0"/>
                      <wp:positionH relativeFrom="column">
                        <wp:posOffset>631190</wp:posOffset>
                      </wp:positionH>
                      <wp:positionV relativeFrom="paragraph">
                        <wp:posOffset>257175</wp:posOffset>
                      </wp:positionV>
                      <wp:extent cx="783590" cy="304800"/>
                      <wp:effectExtent l="0" t="0" r="0" b="0"/>
                      <wp:wrapNone/>
                      <wp:docPr id="200" name="矩形 200"/>
                      <wp:cNvGraphicFramePr/>
                      <a:graphic xmlns:a="http://schemas.openxmlformats.org/drawingml/2006/main">
                        <a:graphicData uri="http://schemas.microsoft.com/office/word/2010/wordprocessingShape">
                          <wps:wsp>
                            <wps:cNvSpPr/>
                            <wps:spPr>
                              <a:xfrm>
                                <a:off x="0" y="0"/>
                                <a:ext cx="783590" cy="304800"/>
                              </a:xfrm>
                              <a:prstGeom prst="rect">
                                <a:avLst/>
                              </a:prstGeom>
                              <a:noFill/>
                              <a:ln>
                                <a:noFill/>
                              </a:ln>
                            </wps:spPr>
                            <wps:txbx>
                              <w:txbxContent>
                                <w:p>
                                  <w:pPr>
                                    <w:rPr>
                                      <w:rFonts w:hint="eastAsia"/>
                                      <w:bCs/>
                                      <w:kern w:val="0"/>
                                      <w:sz w:val="18"/>
                                      <w:szCs w:val="18"/>
                                    </w:rPr>
                                  </w:pPr>
                                  <w:r>
                                    <w:rPr>
                                      <w:rFonts w:hint="eastAsia"/>
                                      <w:bCs/>
                                      <w:kern w:val="0"/>
                                      <w:sz w:val="18"/>
                                      <w:szCs w:val="18"/>
                                    </w:rPr>
                                    <w:t>采样时间</w:t>
                                  </w:r>
                                </w:p>
                              </w:txbxContent>
                            </wps:txbx>
                            <wps:bodyPr upright="1"/>
                          </wps:wsp>
                        </a:graphicData>
                      </a:graphic>
                    </wp:anchor>
                  </w:drawing>
                </mc:Choice>
                <mc:Fallback>
                  <w:pict>
                    <v:rect id="_x0000_s1026" o:spid="_x0000_s1026" o:spt="1" style="position:absolute;left:0pt;margin-left:49.7pt;margin-top:20.25pt;height:24pt;width:61.7pt;z-index:251676672;mso-width-relative:page;mso-height-relative:page;" filled="f" stroked="f" coordsize="21600,21600" o:gfxdata="UEsDBAoAAAAAAIdO4kAAAAAAAAAAAAAAAAAEAAAAZHJzL1BLAwQUAAAACACHTuJAI2IUCdkAAAAI&#10;AQAADwAAAGRycy9kb3ducmV2LnhtbE2PQUvDQBSE74L/YXmCF7G7Da2kMS89FMQiQjHVnrfZZxLM&#10;vk2z26T+e9eTHocZZr7J1xfbiZEG3zpGmM8UCOLKmZZrhPf9030KwgfNRneOCeGbPKyL66tcZ8ZN&#10;/EZjGWoRS9hnGqEJoc+k9FVDVvuZ64mj9+kGq0OUQy3NoKdYbjuZKPUgrW45LjS6p01D1Vd5tghT&#10;tRsP+9dnubs7bB2ftqdN+fGCeHszV48gAl3CXxh+8SM6FJHp6M5svOgQVqtFTCIs1BJE9JMkiVeO&#10;CGm6BFnk8v+B4gdQSwMEFAAAAAgAh07iQHQlzFiiAQAARAMAAA4AAABkcnMvZTJvRG9jLnhtbK1S&#10;S27bMBDdF+gdCO5ryUk/rmA5GyPdFGmApAegKdIiwB9maEs+TYDueogep+g1MqRUp003WXRDzQyf&#10;3sx7w/XV6Cw7KkATfMuXi5oz5WXojN+3/Ov99ZsVZ5iE74QNXrX8pJBfbV6/Wg+xURehD7ZTwIjE&#10;YzPElvcpxaaqUPbKCVyEqDxd6gBOJEphX3UgBmJ3trqo6/fVEKCLEKRCpOp2uuQzI7yEMGhtpNoG&#10;eXDKp4kVlBWJJGFvIvJNmVZrJdMXrVElZltOSlM5qQnFu3xWm7Vo9iBib+Q8gnjJCM80OWE8NT1T&#10;bUUS7ADmHypnJAQMOi1kcNUkpDhCKpb1M2/uehFV0UJWYzybjv+PVt4cb4GZruW0G868cLTyXw/f&#10;f/74xnKF/BkiNgS7i7cwZ0hhFjtqcPlLMthYPD2dPVVjYpKKH1aX7z4Ss6Sry/rtauKsnn6OgOmT&#10;Co7loOVAKytOiuNnTNSQoL8huZcP18basjbr/yoQMFeqPO80YY7SuBvnsXehO5HYQwSz76nVMqsr&#10;cDK3NJofQt7en3lBPT3+zS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jYhQJ2QAAAAgBAAAPAAAA&#10;AAAAAAEAIAAAACIAAABkcnMvZG93bnJldi54bWxQSwECFAAUAAAACACHTuJAdCXMWKIBAABEAwAA&#10;DgAAAAAAAAABACAAAAAoAQAAZHJzL2Uyb0RvYy54bWxQSwUGAAAAAAYABgBZAQAAPAUAAAAA&#10;">
                      <v:fill on="f" focussize="0,0"/>
                      <v:stroke on="f"/>
                      <v:imagedata o:title=""/>
                      <o:lock v:ext="edit" aspectratio="f"/>
                      <v:textbox>
                        <w:txbxContent>
                          <w:p>
                            <w:pPr>
                              <w:rPr>
                                <w:rFonts w:hint="eastAsia"/>
                                <w:bCs/>
                                <w:kern w:val="0"/>
                                <w:sz w:val="18"/>
                                <w:szCs w:val="18"/>
                              </w:rPr>
                            </w:pPr>
                            <w:r>
                              <w:rPr>
                                <w:rFonts w:hint="eastAsia"/>
                                <w:bCs/>
                                <w:kern w:val="0"/>
                                <w:sz w:val="18"/>
                                <w:szCs w:val="18"/>
                              </w:rPr>
                              <w:t>采样时间</w:t>
                            </w:r>
                          </w:p>
                        </w:txbxContent>
                      </v:textbox>
                    </v:rect>
                  </w:pict>
                </mc:Fallback>
              </mc:AlternateContent>
            </w:r>
          </w:p>
        </w:tc>
        <w:tc>
          <w:tcPr>
            <w:tcW w:w="1435" w:type="dxa"/>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颗粒物</w:t>
            </w:r>
          </w:p>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435" w:type="dxa"/>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二甲苯</w:t>
            </w:r>
          </w:p>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435" w:type="dxa"/>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非甲烷总烃</w:t>
            </w:r>
          </w:p>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438" w:type="dxa"/>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乙酸丁酯</w:t>
            </w:r>
          </w:p>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125"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G1</w:t>
            </w: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10:25-11:25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0.687</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0.81</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12:25-13:25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0.715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0.84</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14:25-15:25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0.705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0.80</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16:25-17:25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0.681</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0.85</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125"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G2</w:t>
            </w: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10:25-11:25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0.739</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1.58</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12:25-13:25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0.758</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1.61</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14:25-15:25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0.755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1.29</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16:25-17:25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0.724</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1.25</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125"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厂界下风向</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G3</w:t>
            </w: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10:25-11:25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0.770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0.96</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12:25-13:25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0.806</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0.91</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14:25-15:25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0.802</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0.95</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16:25-17:25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0.773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0.95</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厂界最大小时均值</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0.806</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1.61</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《工业涂装工序大气污染物排放标准》（DB 33/2146-2018）  表6</w:t>
            </w:r>
          </w:p>
        </w:tc>
        <w:tc>
          <w:tcPr>
            <w:tcW w:w="143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p>
        </w:tc>
        <w:tc>
          <w:tcPr>
            <w:tcW w:w="143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w:t>
            </w:r>
          </w:p>
        </w:tc>
        <w:tc>
          <w:tcPr>
            <w:tcW w:w="143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4.0</w:t>
            </w:r>
          </w:p>
        </w:tc>
        <w:tc>
          <w:tcPr>
            <w:tcW w:w="1438"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结果评价</w:t>
            </w:r>
          </w:p>
        </w:tc>
        <w:tc>
          <w:tcPr>
            <w:tcW w:w="143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c>
          <w:tcPr>
            <w:tcW w:w="143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c>
          <w:tcPr>
            <w:tcW w:w="143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c>
          <w:tcPr>
            <w:tcW w:w="1438"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5743" w:type="dxa"/>
            <w:gridSpan w:val="4"/>
            <w:noWrap w:val="0"/>
            <w:tcMar>
              <w:left w:w="0" w:type="dxa"/>
              <w:right w:w="0" w:type="dxa"/>
            </w:tcMar>
            <w:vAlign w:val="center"/>
          </w:tcPr>
          <w:p>
            <w:pPr>
              <w:widowControl/>
              <w:adjustRightInd w:val="0"/>
              <w:snapToGrid w:val="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pPr>
              <w:widowControl/>
              <w:adjustRightInd w:val="0"/>
              <w:snapToGrid w:val="0"/>
              <w:ind w:firstLine="36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12月21日气象参数：天气：晴；气温：4.3-5.7℃；气压：102.73-103.2kPa；风向：北风；风速：1.5-1.7m/s。</w:t>
            </w:r>
          </w:p>
          <w:p>
            <w:pPr>
              <w:widowControl/>
              <w:adjustRightInd w:val="0"/>
              <w:snapToGrid w:val="0"/>
              <w:rPr>
                <w:rFonts w:hint="default" w:ascii="Times New Roman" w:hAnsi="Times New Roman" w:cs="Times New Roman"/>
                <w:bCs/>
                <w:kern w:val="0"/>
                <w:sz w:val="18"/>
                <w:szCs w:val="18"/>
                <w:highlight w:val="yellow"/>
              </w:rPr>
            </w:pPr>
            <w:r>
              <w:rPr>
                <w:rFonts w:hint="default" w:ascii="Times New Roman" w:hAnsi="Times New Roman" w:cs="Times New Roman"/>
                <w:bCs/>
                <w:kern w:val="0"/>
                <w:sz w:val="18"/>
                <w:szCs w:val="18"/>
              </w:rPr>
              <w:t>2、</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r>
              <w:rPr>
                <w:rFonts w:hint="default" w:ascii="Times New Roman" w:hAnsi="Times New Roman" w:cs="Times New Roman"/>
                <w:kern w:val="0"/>
                <w:sz w:val="18"/>
                <w:szCs w:val="18"/>
              </w:rPr>
              <w:t>”表示该项目排放执行</w:t>
            </w:r>
            <w:r>
              <w:rPr>
                <w:rFonts w:hint="default" w:ascii="Times New Roman" w:hAnsi="Times New Roman" w:cs="Times New Roman"/>
                <w:bCs/>
                <w:kern w:val="0"/>
                <w:sz w:val="18"/>
                <w:szCs w:val="18"/>
              </w:rPr>
              <w:t>《大气污染物综合排放标准》（GB 16297-1996）表2无组织排放监控浓度限值。</w:t>
            </w:r>
          </w:p>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3、厂界东侧，南侧，西侧不具备采样条件，故未进行检测。</w:t>
            </w:r>
          </w:p>
        </w:tc>
      </w:tr>
    </w:tbl>
    <w:p>
      <w:pPr>
        <w:spacing w:line="360" w:lineRule="auto"/>
        <w:ind w:firstLine="211" w:firstLineChars="100"/>
        <w:jc w:val="center"/>
        <w:rPr>
          <w:rFonts w:ascii="Times New Roman" w:hAnsi="Times New Roman"/>
          <w:b/>
          <w:bCs/>
          <w:szCs w:val="21"/>
        </w:rPr>
      </w:pPr>
    </w:p>
    <w:p>
      <w:pPr>
        <w:rPr>
          <w:rFonts w:ascii="Times New Roman" w:hAnsi="Times New Roman"/>
          <w:b/>
          <w:bCs/>
          <w:szCs w:val="21"/>
        </w:rPr>
      </w:pPr>
      <w:r>
        <w:rPr>
          <w:rFonts w:ascii="Times New Roman" w:hAnsi="Times New Roman"/>
          <w:b/>
          <w:bCs/>
          <w:szCs w:val="21"/>
        </w:rPr>
        <w:br w:type="page"/>
      </w:r>
    </w:p>
    <w:p>
      <w:pPr>
        <w:spacing w:line="360" w:lineRule="auto"/>
        <w:ind w:firstLine="211" w:firstLineChars="100"/>
        <w:jc w:val="center"/>
        <w:rPr>
          <w:rFonts w:hint="eastAsia" w:ascii="Times New Roman" w:hAnsi="Times New Roman"/>
          <w:b/>
          <w:bCs/>
          <w:szCs w:val="21"/>
        </w:rPr>
      </w:pPr>
      <w:r>
        <w:rPr>
          <w:rFonts w:ascii="Times New Roman" w:hAnsi="Times New Roman"/>
          <w:b/>
          <w:bCs/>
          <w:szCs w:val="21"/>
        </w:rPr>
        <w:t>表</w:t>
      </w:r>
      <w:r>
        <w:rPr>
          <w:rFonts w:hint="eastAsia" w:ascii="Times New Roman" w:hAnsi="Times New Roman"/>
          <w:b/>
          <w:bCs/>
          <w:szCs w:val="21"/>
        </w:rPr>
        <w:t xml:space="preserve"> </w:t>
      </w:r>
      <w:r>
        <w:rPr>
          <w:rFonts w:ascii="Times New Roman" w:hAnsi="Times New Roman"/>
          <w:b/>
          <w:bCs/>
          <w:szCs w:val="21"/>
        </w:rPr>
        <w:t>9</w:t>
      </w:r>
      <w:r>
        <w:rPr>
          <w:rFonts w:hint="eastAsia" w:ascii="Times New Roman" w:hAnsi="Times New Roman"/>
          <w:b/>
          <w:bCs/>
          <w:szCs w:val="21"/>
        </w:rPr>
        <w:t>.2.</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2</w:t>
      </w:r>
      <w:r>
        <w:rPr>
          <w:rFonts w:ascii="Times New Roman" w:hAnsi="Times New Roman"/>
          <w:b/>
          <w:bCs/>
          <w:szCs w:val="21"/>
        </w:rPr>
        <w:t xml:space="preserve"> 无组织废气监测结果</w:t>
      </w:r>
      <w:r>
        <w:rPr>
          <w:rFonts w:hint="eastAsia" w:ascii="Times New Roman" w:hAnsi="Times New Roman"/>
          <w:b/>
          <w:bCs/>
          <w:szCs w:val="21"/>
        </w:rPr>
        <w:t>（</w:t>
      </w:r>
      <w:r>
        <w:rPr>
          <w:rFonts w:hint="eastAsia" w:ascii="Times New Roman" w:hAnsi="Times New Roman"/>
          <w:b/>
          <w:bCs/>
          <w:szCs w:val="21"/>
          <w:lang w:val="en-US" w:eastAsia="zh-CN"/>
        </w:rPr>
        <w:t>2</w:t>
      </w:r>
      <w:r>
        <w:rPr>
          <w:rFonts w:hint="eastAsia" w:ascii="Times New Roman" w:hAnsi="Times New Roman"/>
          <w:b/>
          <w:bCs/>
          <w:szCs w:val="21"/>
        </w:rPr>
        <w:t>）</w:t>
      </w:r>
    </w:p>
    <w:tbl>
      <w:tblPr>
        <w:tblStyle w:val="31"/>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5"/>
        <w:gridCol w:w="1595"/>
        <w:gridCol w:w="1435"/>
        <w:gridCol w:w="1435"/>
        <w:gridCol w:w="1435"/>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5743" w:type="dxa"/>
            <w:gridSpan w:val="4"/>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60" w:lineRule="exact"/>
              <w:jc w:val="center"/>
              <w:textAlignment w:val="auto"/>
              <w:rPr>
                <w:rFonts w:hint="default" w:ascii="Times New Roman" w:hAnsi="Times New Roman" w:cs="Times New Roman"/>
                <w:bCs/>
                <w:kern w:val="0"/>
                <w:sz w:val="18"/>
                <w:szCs w:val="18"/>
              </w:rPr>
            </w:pP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eastAsia="仿宋_GB2312" w:cs="Times New Roman"/>
                <w:b/>
                <w:sz w:val="24"/>
              </w:rPr>
              <mc:AlternateContent>
                <mc:Choice Requires="wps">
                  <w:drawing>
                    <wp:anchor distT="0" distB="0" distL="114300" distR="114300" simplePos="0" relativeHeight="251685888" behindDoc="0" locked="0" layoutInCell="1" allowOverlap="1">
                      <wp:simplePos x="0" y="0"/>
                      <wp:positionH relativeFrom="column">
                        <wp:posOffset>1137920</wp:posOffset>
                      </wp:positionH>
                      <wp:positionV relativeFrom="paragraph">
                        <wp:posOffset>215900</wp:posOffset>
                      </wp:positionV>
                      <wp:extent cx="783590" cy="285115"/>
                      <wp:effectExtent l="0" t="0" r="0" b="0"/>
                      <wp:wrapNone/>
                      <wp:docPr id="202" name="矩形 202"/>
                      <wp:cNvGraphicFramePr/>
                      <a:graphic xmlns:a="http://schemas.openxmlformats.org/drawingml/2006/main">
                        <a:graphicData uri="http://schemas.microsoft.com/office/word/2010/wordprocessingShape">
                          <wps:wsp>
                            <wps:cNvSpPr/>
                            <wps:spPr>
                              <a:xfrm>
                                <a:off x="0" y="0"/>
                                <a:ext cx="783590" cy="285115"/>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upright="1"/>
                          </wps:wsp>
                        </a:graphicData>
                      </a:graphic>
                    </wp:anchor>
                  </w:drawing>
                </mc:Choice>
                <mc:Fallback>
                  <w:pict>
                    <v:rect id="_x0000_s1026" o:spid="_x0000_s1026" o:spt="1" style="position:absolute;left:0pt;margin-left:89.6pt;margin-top:17pt;height:22.45pt;width:61.7pt;z-index:251685888;mso-width-relative:page;mso-height-relative:page;" filled="f" stroked="f" coordsize="21600,21600" o:gfxdata="UEsDBAoAAAAAAIdO4kAAAAAAAAAAAAAAAAAEAAAAZHJzL1BLAwQUAAAACACHTuJALq/35doAAAAJ&#10;AQAADwAAAGRycy9kb3ducmV2LnhtbE2Py07DMBBF90j8gzVIbBC1m6I+QpwuKiEqhFSRQtduPCQR&#10;8TiN3aT8PcMKlldzdOfcbH1xrRiwD40nDdOJAoFUettQpeF9/3S/BBGiIWtaT6jhGwOs8+urzKTW&#10;j/SGQxErwSUUUqOhjrFLpQxljc6Eie+Q+Pbpe2cix76Stjcjl7tWJkrNpTMN8YfadLipsfwqzk7D&#10;WO6Gw/71We7uDltPp+1pU3y8aH17M1WPICJe4h8Mv/qsDjk7Hf2ZbBAt58UqYVTD7IE3MTBTyRzE&#10;UcNiuQKZZ/L/gvwHUEsDBBQAAAAIAIdO4kA8m7XdogEAAEQDAAAOAAAAZHJzL2Uyb0RvYy54bWyt&#10;UsuO0zAU3SPxD5b31ElQoURNZ1MNGwQjDXyA69iNJb907Tbp1yCx4yP4HMRvcO1kOjBsZsHGua+c&#10;e86xtzeTNeQsIWrvOlqvKkqkE77X7tjRL59vX20oiYm7nhvvZEcvMtKb3csX2zG0svGDN70EgiAu&#10;tmPo6JBSaBmLYpCWx5UP0mFTebA8YQpH1gMfEd0a1lTVGzZ66AN4IWPE6n5u0gURngPoldJC7r04&#10;WenSjArS8ISS4qBDpLvCVikp0ielokzEdBSVpnLiEowP+WS7LW+PwMOgxUKBP4fCE02Wa4dLr1B7&#10;njg5gf4HymoBPnqVVsJbNgspjqCKunrizf3Agyxa0OoYrqbH/wcrPp7vgOi+o03VUOK4xSv/9fX7&#10;zx/fSK6gP2OILY7dhztYsohhFjspsPmLMshUPL1cPZVTIgKLbzev1+/QbYGtZrOu63XGZI8/B4jp&#10;vfSW5KCjgFdWnOTnDzHNow8jeZfzt9oYrPPWuL8KiJkrLPOdGeYoTYdpoX3w/QXFngLo44Cr6sIk&#10;D6G5hdPyEPLt/ZkX0MfH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q/35doAAAAJAQAADwAA&#10;AAAAAAABACAAAAAiAAAAZHJzL2Rvd25yZXYueG1sUEsBAhQAFAAAAAgAh07iQDybtd2iAQAARAMA&#10;AA4AAAAAAAAAAQAgAAAAKQEAAGRycy9lMm9Eb2MueG1sUEsFBgAAAAAGAAYAWQEAAD0FA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Cs/>
                <w:kern w:val="0"/>
                <w:sz w:val="18"/>
                <w:szCs w:val="18"/>
              </w:rPr>
              <w:t>检测日期</w:t>
            </w:r>
          </w:p>
        </w:tc>
        <w:tc>
          <w:tcPr>
            <w:tcW w:w="5743" w:type="dxa"/>
            <w:gridSpan w:val="4"/>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2023年12月22日-24日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8"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80768" behindDoc="0" locked="0" layoutInCell="1" allowOverlap="1">
                      <wp:simplePos x="0" y="0"/>
                      <wp:positionH relativeFrom="column">
                        <wp:posOffset>6350</wp:posOffset>
                      </wp:positionH>
                      <wp:positionV relativeFrom="paragraph">
                        <wp:posOffset>8890</wp:posOffset>
                      </wp:positionV>
                      <wp:extent cx="1655445" cy="701040"/>
                      <wp:effectExtent l="1905" t="4445" r="19050" b="18415"/>
                      <wp:wrapNone/>
                      <wp:docPr id="201" name="直接箭头连接符 201"/>
                      <wp:cNvGraphicFramePr/>
                      <a:graphic xmlns:a="http://schemas.openxmlformats.org/drawingml/2006/main">
                        <a:graphicData uri="http://schemas.microsoft.com/office/word/2010/wordprocessingShape">
                          <wps:wsp>
                            <wps:cNvCnPr/>
                            <wps:spPr>
                              <a:xfrm>
                                <a:off x="0" y="0"/>
                                <a:ext cx="1655445" cy="7010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5pt;margin-top:0.7pt;height:55.2pt;width:130.35pt;z-index:251680768;mso-width-relative:page;mso-height-relative:page;" filled="f" stroked="t" coordsize="21600,21600" o:gfxdata="UEsDBAoAAAAAAIdO4kAAAAAAAAAAAAAAAAAEAAAAZHJzL1BLAwQUAAAACACHTuJAxlmbYtUAAAAH&#10;AQAADwAAAGRycy9kb3ducmV2LnhtbE2PwU7DMAyG70i8Q2QkLoglqWCM0nSaJnHgyDaJa9aYtlvj&#10;VE26jj095sRO1qff+v25WJ59J044xDaQAT1TIJCq4FqqDey2748LEDFZcrYLhAZ+MMKyvL0pbO7C&#10;RJ942qRacAnF3BpoUupzKWPVoLdxFnokzr7D4G1iHGrpBjtxue9kptRcetsSX2hsj+sGq+Nm9AYw&#10;js9arV59vfu4TA9f2eUw9Vtj7u+0egOR8Jz+l+FPn9WhZKd9GMlF0THzJ4nHEwhOs7l+AbFn1noB&#10;sizktX/5C1BLAwQUAAAACACHTuJAZKm4cwMCAAD1AwAADgAAAGRycy9lMm9Eb2MueG1srVPNjtMw&#10;EL4j8Q6W7zRt1S4QNd1Dy3JBsBLwAFPHSSz5Tx5v074EL4DECTjBnvbO08DyGIyd0oXl0gM5OGPP&#10;zDfzfR4vzndGs60MqJyt+GQ05kxa4Wpl24q/fXPx6AlnGMHWoJ2VFd9L5OfLhw8WvS/l1HVO1zIw&#10;ArFY9r7iXYy+LAoUnTSAI+elJWfjgoFI29AWdYCe0I0upuPxWdG7UPvghESk0/Xg5AfEcAqgaxol&#10;5NqJKyNtHFCD1BCJEnbKI1/mbptGiviqaVBGpitOTGNeqQjZm7QWywWUbQDfKXFoAU5p4R4nA8pS&#10;0SPUGiKwq6D+gTJKBIeuiSPhTDEQyYoQi8n4njavO/AycyGp0R9Fx/8HK15uLwNTdcWpPmcWDF35&#10;7fubH+8+3V5//f7x5ue3D8n+8pmlAJKr91hS1spehsMO/WVI3HdNMOlPrNguS7w/Six3kQk6nJzN&#10;57PZnDNBvsdEeZbvoLjL9gHjc+kMS0bFMQZQbRdXzlq6TRcmWWfYvsBI9Snxd0IqrS3rK/50Pk0V&#10;gKazoakg03hiiLbNuei0qi+U1ikDQ7tZ6cC2kCYkf4kl4f4VloqsAbshLruG2ekk1M9szeLek3KW&#10;ngxPLRhZc6YlvbBkESCUEZQ+JZJKa0sdJKEHaZO1cfU+K57PaRpyj4fJTeP25z5n373W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GWZti1QAAAAcBAAAPAAAAAAAAAAEAIAAAACIAAABkcnMvZG93&#10;bnJldi54bWxQSwECFAAUAAAACACHTuJAZKm4cwMCAAD1AwAADgAAAAAAAAABACAAAAAk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82816" behindDoc="0" locked="0" layoutInCell="1" allowOverlap="1">
                      <wp:simplePos x="0" y="0"/>
                      <wp:positionH relativeFrom="column">
                        <wp:posOffset>7620</wp:posOffset>
                      </wp:positionH>
                      <wp:positionV relativeFrom="paragraph">
                        <wp:posOffset>12065</wp:posOffset>
                      </wp:positionV>
                      <wp:extent cx="704215" cy="697865"/>
                      <wp:effectExtent l="3175" t="3175" r="16510" b="3810"/>
                      <wp:wrapNone/>
                      <wp:docPr id="203" name="直接箭头连接符 203"/>
                      <wp:cNvGraphicFramePr/>
                      <a:graphic xmlns:a="http://schemas.openxmlformats.org/drawingml/2006/main">
                        <a:graphicData uri="http://schemas.microsoft.com/office/word/2010/wordprocessingShape">
                          <wps:wsp>
                            <wps:cNvCnPr/>
                            <wps:spPr>
                              <a:xfrm>
                                <a:off x="0" y="0"/>
                                <a:ext cx="704215" cy="6978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6pt;margin-top:0.95pt;height:54.95pt;width:55.45pt;z-index:251682816;mso-width-relative:page;mso-height-relative:page;" filled="f" stroked="t" coordsize="21600,21600" o:gfxdata="UEsDBAoAAAAAAIdO4kAAAAAAAAAAAAAAAAAEAAAAZHJzL1BLAwQUAAAACACHTuJAtTBwAtMAAAAH&#10;AQAADwAAAGRycy9kb3ducmV2LnhtbE2OwU7DMBBE70j9B2sr9YKo7UigNsSpEBIHjrSVuLrxkgTi&#10;dRQ7TduvZ3OC085oRrOv2F18J844xDaQAb1WIJCq4FqqDRwPbw8bEDFZcrYLhAauGGFXLu4Km7sw&#10;0Qee96kWPEIxtwaalPpcylg16G1chx6Js68weJvYDrV0g5143HcyU+pJetsSf2hsj68NVj/70RvA&#10;OD5q9bL19fH9Nt1/ZrfvqT8Ys1pq9Qwi4SX9lWHGZ3QomekURnJRdOwzLvLZgphTnWkQp1noDciy&#10;kP/5y19QSwMEFAAAAAgAh07iQJ74W90CAgAA9AMAAA4AAABkcnMvZTJvRG9jLnhtbK1TzY7TMBC+&#10;I/EOlu80aaHd3ajpHlqWC4JKwAO4tpNY8p883qZ9CV4AiRNwAk5752lgeQzGTunCcumBHJyxZ+ab&#10;+T6P55c7o8lWBlDO1nQ8KimRljuhbFvTN6+vHp1TApFZwbSzsqZ7CfRy8fDBvPeVnLjOaSEDQRAL&#10;Ve9r2sXoq6IA3knDYOS8tOhsXDAs4ja0hQisR3Sji0lZzoreBeGD4xIAT1eDkx4QwymArmkUlyvH&#10;r420cUANUrOIlKBTHugid9s0kseXTQMyEl1TZBrzikXQ3qS1WMxZ1QbmO8UPLbBTWrjHyTBlsegR&#10;asUiI9dB/QNlFA8OXBNH3JliIJIVQRbj8p42rzrmZeaCUoM/ig7/D5a/2K4DUaKmk/IxJZYZvPLb&#10;dzc/3n68/frl+4ebn9/eJ/vzJ5ICUK7eQ4VZS7sOhx34dUjcd00w6Y+syC5LvD9KLHeRcDw8K59M&#10;xlNKOLpmF2fns2nCLO6SfYD4TDpDklFTiIGptotLZy1epgvjLDPbPoc4JP5OSJW1JX1NL6aTVIHh&#10;cDY4FGgajwTBtjkXnFbiSmmdMiC0m6UOZMvSgOTv0NBfYanIikE3xGVXCmNVJ5l4agWJe4/CWXwx&#10;NLVgpKBES3xgycqRkSl9SiRqoS1KknQelE3Wxol9Fjyf4zBk0Q6Dm6btz33Ovnus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1MHAC0wAAAAcBAAAPAAAAAAAAAAEAIAAAACIAAABkcnMvZG93bnJl&#10;di54bWxQSwECFAAUAAAACACHTuJAnvhb3QICAAD0AwAADgAAAAAAAAABACAAAAAiAQAAZHJzL2Uy&#10;b0RvYy54bWxQSwUGAAAAAAYABgBZAQAAlg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81792" behindDoc="0" locked="0" layoutInCell="1" allowOverlap="1">
                      <wp:simplePos x="0" y="0"/>
                      <wp:positionH relativeFrom="column">
                        <wp:posOffset>31750</wp:posOffset>
                      </wp:positionH>
                      <wp:positionV relativeFrom="paragraph">
                        <wp:posOffset>12065</wp:posOffset>
                      </wp:positionV>
                      <wp:extent cx="1699895" cy="299085"/>
                      <wp:effectExtent l="635" t="4445" r="13970" b="20320"/>
                      <wp:wrapNone/>
                      <wp:docPr id="204" name="直接箭头连接符 204"/>
                      <wp:cNvGraphicFramePr/>
                      <a:graphic xmlns:a="http://schemas.openxmlformats.org/drawingml/2006/main">
                        <a:graphicData uri="http://schemas.microsoft.com/office/word/2010/wordprocessingShape">
                          <wps:wsp>
                            <wps:cNvCnPr/>
                            <wps:spPr>
                              <a:xfrm>
                                <a:off x="0" y="0"/>
                                <a:ext cx="1699895" cy="2990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pt;margin-top:0.95pt;height:23.55pt;width:133.85pt;z-index:251681792;mso-width-relative:page;mso-height-relative:page;" filled="f" stroked="t" coordsize="21600,21600" o:gfxdata="UEsDBAoAAAAAAIdO4kAAAAAAAAAAAAAAAAAEAAAAZHJzL1BLAwQUAAAACACHTuJA75FDatYAAAAG&#10;AQAADwAAAGRycy9kb3ducmV2LnhtbE2PzU7DMBCE70i8g7WVuCBqJ6K0CXEqhMSBY38krm68TULj&#10;dRQ7TenTdznBcWdGM98W64vrxBmH0HrSkMwVCKTK25ZqDfvdx9MKRIiGrOk8oYYfDLAu7+8Kk1s/&#10;0QbP21gLLqGQGw1NjH0uZagadCbMfY/E3tEPzkQ+h1rawUxc7jqZKvUinWmJFxrT43uD1Wk7Og0Y&#10;xkWi3jJX7z+v0+NXev2e+p3WD7NEvYKIeIl/YfjFZ3QomengR7JBdBoW/ElkOQPBbrpMlyAOGp4z&#10;BbIs5H/88gZQSwMEFAAAAAgAh07iQNOU7VgDAgAA9QMAAA4AAABkcnMvZTJvRG9jLnhtbK1TzY7T&#10;MBC+I/EOlu80aUVXTdR0Dy3LBUEl4AFcx0ks+U8eb9O+BC+AxAk4Aae979PA8hiMndCF5dIDOThj&#10;z8w3830eLy8PWpG98CCtqeh0klMiDLe1NG1F3765erKgBAIzNVPWiIoeBdDL1eNHy96VYmY7q2rh&#10;CYIYKHtX0S4EV2YZ8E5oBhPrhEFnY71mAbe+zWrPekTXKpvl+UXWW187b7kAwNPN4KQjoj8H0DaN&#10;5GJj+bUWJgyoXigWkBJ00gFdpW6bRvDwqmlABKIqikxDWrEI2ru4ZqslK1vPXCf52AI7p4UHnDST&#10;BoueoDYsMHLt5T9QWnJvwTZhwq3OBiJJEWQxzR9o87pjTiQuKDW4k+jw/2D5y/3WE1lXdJY/pcQw&#10;jVd+9/7mx7tPd9++fv948/P2Q7S/fCYxAOXqHZSYtTZbP+7AbX3kfmi8jn9kRQ5J4uNJYnEIhOPh&#10;9KIoFsWcEo6+WVHki3kEze6znYfwXFhNolFRCJ7JtgtrawzepvXTpDPbv4AwJP5OiKWVIX1Fi/ks&#10;VmA4nQ1OBZraIUMwbcoFq2R9JZWKGeDb3Vp5smdxQtI3NvRXWCyyYdANcckVw1jZCVY/MzUJR4fK&#10;GXwyNLagRU2JEvjCopUiA5PqnEjUQhmUJAo9SButna2PSfF0jtOQRBsnN47bn/uUff9aV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5FDatYAAAAGAQAADwAAAAAAAAABACAAAAAiAAAAZHJzL2Rv&#10;d25yZXYueG1sUEsBAhQAFAAAAAgAh07iQNOU7VgDAgAA9QMAAA4AAAAAAAAAAQAgAAAAJQEAAGRy&#10;cy9lMm9Eb2MueG1sUEsFBgAAAAAGAAYAWQEAAJo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79744" behindDoc="0" locked="0" layoutInCell="1" allowOverlap="1">
                      <wp:simplePos x="0" y="0"/>
                      <wp:positionH relativeFrom="column">
                        <wp:posOffset>-60960</wp:posOffset>
                      </wp:positionH>
                      <wp:positionV relativeFrom="paragraph">
                        <wp:posOffset>312420</wp:posOffset>
                      </wp:positionV>
                      <wp:extent cx="783590" cy="300355"/>
                      <wp:effectExtent l="0" t="0" r="0" b="0"/>
                      <wp:wrapNone/>
                      <wp:docPr id="205" name="矩形 205"/>
                      <wp:cNvGraphicFramePr/>
                      <a:graphic xmlns:a="http://schemas.openxmlformats.org/drawingml/2006/main">
                        <a:graphicData uri="http://schemas.microsoft.com/office/word/2010/wordprocessingShape">
                          <wps:wsp>
                            <wps:cNvSpPr/>
                            <wps:spPr>
                              <a:xfrm>
                                <a:off x="0" y="0"/>
                                <a:ext cx="783590" cy="300355"/>
                              </a:xfrm>
                              <a:prstGeom prst="rect">
                                <a:avLst/>
                              </a:prstGeom>
                              <a:noFill/>
                              <a:ln>
                                <a:noFill/>
                              </a:ln>
                            </wps:spPr>
                            <wps:txbx>
                              <w:txbxContent>
                                <w:p>
                                  <w:pPr>
                                    <w:rPr>
                                      <w:bCs/>
                                      <w:kern w:val="0"/>
                                      <w:sz w:val="18"/>
                                      <w:szCs w:val="18"/>
                                    </w:rPr>
                                  </w:pPr>
                                  <w:r>
                                    <w:rPr>
                                      <w:rFonts w:hint="eastAsia"/>
                                      <w:bCs/>
                                      <w:kern w:val="0"/>
                                      <w:sz w:val="18"/>
                                      <w:szCs w:val="18"/>
                                    </w:rPr>
                                    <w:t>采样点位</w:t>
                                  </w:r>
                                </w:p>
                              </w:txbxContent>
                            </wps:txbx>
                            <wps:bodyPr upright="1"/>
                          </wps:wsp>
                        </a:graphicData>
                      </a:graphic>
                    </wp:anchor>
                  </w:drawing>
                </mc:Choice>
                <mc:Fallback>
                  <w:pict>
                    <v:rect id="_x0000_s1026" o:spid="_x0000_s1026" o:spt="1" style="position:absolute;left:0pt;margin-left:-4.8pt;margin-top:24.6pt;height:23.65pt;width:61.7pt;z-index:251679744;mso-width-relative:page;mso-height-relative:page;" filled="f" stroked="f" coordsize="21600,21600" o:gfxdata="UEsDBAoAAAAAAIdO4kAAAAAAAAAAAAAAAAAEAAAAZHJzL1BLAwQUAAAACACHTuJARjiWjtkAAAAI&#10;AQAADwAAAGRycy9kb3ducmV2LnhtbE2PQUvDQBSE74L/YXmCF2k3qRpMzEsPBbGIUEy15232mQSz&#10;b9PsNqn/3u3JHocZZr7JlyfTiZEG11pGiOcRCOLK6pZrhM/ty+wJhPOKteosE8IvOVgW11e5yrSd&#10;+IPG0tcilLDLFELjfZ9J6aqGjHJz2xMH79sORvkgh1rqQU2h3HRyEUWJNKrlsNConlYNVT/l0SBM&#10;1Wbcbd9f5eZut7Z8WB9W5dcb4u1NHD2D8HTy/2E44wd0KALT3h5ZO9EhzNIkJBEe0gWIsx/fhyt7&#10;hDR5BFnk8vJA8QdQSwMEFAAAAAgAh07iQCUFoiOkAQAARAMAAA4AAABkcnMvZTJvRG9jLnhtbK1S&#10;S27bMBDdF+gdCO5ryjacpoLlbIx0UzQB0h6ApiiLAH+YoS35NAWyyyF6nKLX6JBWnTbdZNENNTN8&#10;ejPvDdc3o7PsqAFN8A2fzyrOtFehNX7f8K9fbt9dc4ZJ+lba4HXDTxr5zebtm/UQa70IfbCtBkYk&#10;HushNrxPKdZCoOq1kzgLUXu67AI4mSiFvWhBDsTurFhU1ZUYArQRgtKIVN2eL/nECK8hDF1nlN4G&#10;dXDapzMraCsTScLeROSbMm3XaZXuug51YrbhpDSVk5pQvMun2KxlvQcZe6OmEeRrRnihyUnjqemF&#10;aiuTZAcw/1A5oyBg6NJMBSfOQoojpGJevfDmoZdRFy1kNcaL6fj/aNXn4z0w0zZ8Ua0489LRyn9+&#10;e/rx/ZHlCvkzRKwJ9hDvYcqQwix27MDlL8lgY/H0dPFUj4kpKr6/Xq4+kNuKrpZVtVwVTvH8cwRM&#10;H3VwLAcNB1pZcVIeP2GihgT9Dcm9fLg11pa1Wf9XgYC5IvK85wlzlMbdOI29C+2JxB4imH1PreZZ&#10;XYGTuaXR9BDy9v7MC+r58W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Y4lo7ZAAAACAEAAA8A&#10;AAAAAAAAAQAgAAAAIgAAAGRycy9kb3ducmV2LnhtbFBLAQIUABQAAAAIAIdO4kAlBaIjpAEAAEQD&#10;AAAOAAAAAAAAAAEAIAAAACgBAABkcnMvZTJvRG9jLnhtbFBLBQYAAAAABgAGAFkBAAA+BQAAAAA=&#10;">
                      <v:fill on="f" focussize="0,0"/>
                      <v:stroke on="f"/>
                      <v:imagedata o:title=""/>
                      <o:lock v:ext="edit" aspectratio="f"/>
                      <v:textbox>
                        <w:txbxContent>
                          <w:p>
                            <w:pPr>
                              <w:rPr>
                                <w:bCs/>
                                <w:kern w:val="0"/>
                                <w:sz w:val="18"/>
                                <w:szCs w:val="18"/>
                              </w:rPr>
                            </w:pPr>
                            <w:r>
                              <w:rPr>
                                <w:rFonts w:hint="eastAsia"/>
                                <w:bCs/>
                                <w:kern w:val="0"/>
                                <w:sz w:val="18"/>
                                <w:szCs w:val="18"/>
                              </w:rPr>
                              <w:t>采样点位</w:t>
                            </w:r>
                          </w:p>
                        </w:txbxContent>
                      </v:textbox>
                    </v:rect>
                  </w:pict>
                </mc:Fallback>
              </mc:AlternateContent>
            </w:r>
            <w:r>
              <w:rPr>
                <w:rFonts w:hint="default" w:ascii="Times New Roman" w:hAnsi="Times New Roman" w:eastAsia="华文中宋" w:cs="Times New Roman"/>
                <w:b/>
                <w:spacing w:val="227"/>
                <w:sz w:val="30"/>
                <w:szCs w:val="30"/>
                <w:lang w:val="zh-CN"/>
              </w:rPr>
              <mc:AlternateContent>
                <mc:Choice Requires="wps">
                  <w:drawing>
                    <wp:anchor distT="0" distB="0" distL="114300" distR="114300" simplePos="0" relativeHeight="251684864" behindDoc="0" locked="0" layoutInCell="1" allowOverlap="1">
                      <wp:simplePos x="0" y="0"/>
                      <wp:positionH relativeFrom="column">
                        <wp:posOffset>996315</wp:posOffset>
                      </wp:positionH>
                      <wp:positionV relativeFrom="paragraph">
                        <wp:posOffset>142240</wp:posOffset>
                      </wp:positionV>
                      <wp:extent cx="783590" cy="255270"/>
                      <wp:effectExtent l="0" t="0" r="0" b="0"/>
                      <wp:wrapNone/>
                      <wp:docPr id="206" name="矩形 206"/>
                      <wp:cNvGraphicFramePr/>
                      <a:graphic xmlns:a="http://schemas.openxmlformats.org/drawingml/2006/main">
                        <a:graphicData uri="http://schemas.microsoft.com/office/word/2010/wordprocessingShape">
                          <wps:wsp>
                            <wps:cNvSpPr/>
                            <wps:spPr>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upright="1"/>
                          </wps:wsp>
                        </a:graphicData>
                      </a:graphic>
                    </wp:anchor>
                  </w:drawing>
                </mc:Choice>
                <mc:Fallback>
                  <w:pict>
                    <v:rect id="_x0000_s1026" o:spid="_x0000_s1026" o:spt="1" style="position:absolute;left:0pt;margin-left:78.45pt;margin-top:11.2pt;height:20.1pt;width:61.7pt;z-index:251684864;mso-width-relative:page;mso-height-relative:page;" filled="f" stroked="f" coordsize="21600,21600" o:gfxdata="UEsDBAoAAAAAAIdO4kAAAAAAAAAAAAAAAAAEAAAAZHJzL1BLAwQUAAAACACHTuJAcVOaOtkAAAAJ&#10;AQAADwAAAGRycy9kb3ducmV2LnhtbE2PQUvDQBCF74L/YRnBi9jdRg01ZtNDQSwiFFPteZsdk2B2&#10;Ns1uk/rvnZ70+JiP977JlyfXiRGH0HrSMJ8pEEiVty3VGj62z7cLECEasqbzhBp+MMCyuLzITWb9&#10;RO84lrEWXEIhMxqaGPtMylA16EyY+R6Jb19+cCZyHGppBzNxuetkolQqnWmJFxrT46rB6rs8Og1T&#10;tRl327cXubnZrT0d1odV+fmq9fXVXD2BiHiKfzCc9VkdCnba+yPZIDrOD+kjoxqS5B4EA8lC3YHY&#10;a0iTFGSRy/8fFL9QSwMEFAAAAAgAh07iQNOCMSekAQAARAMAAA4AAABkcnMvZTJvRG9jLnhtbK1S&#10;S27bMBDdF+gdCO5ryiqcpILlbIx0U7QB0h6ApiiLAH+YoS35NAW66yF6nKLX6JBWnDbdZNENNTN8&#10;ejPvDde3k7PsqAFN8C1fLirOtFehM37f8i+f797ccIZJ+k7a4HXLTxr57eb1q/UYG12HIdhOAyMS&#10;j80YWz6kFBshUA3aSVyEqD1d9gGcTJTCXnQgR2J3VtRVdSXGAF2EoDQiVbfnSz4zwksIQ98bpbdB&#10;HZz26cwK2spEknAwEfmmTNv3WqVPfY86MdtyUprKSU0o3uVTbNay2YOMg1HzCPIlIzzT5KTx1PRC&#10;tZVJsgOYf6icURAw9GmhghNnIcURUrGsnnnzMMioixayGuPFdPx/tOrj8R6Y6VpeV1eceelo5b++&#10;fv/54xvLFfJnjNgQ7CHew5whhVns1IPLX5LBpuLp6eKpnhJTVLy+ebt6R24ruqpXq/q6eC6efo6A&#10;6b0OjuWg5UArK07K4wdM1JCgj5Dcy4c7Y21Zm/V/FQiYKyLPe54wR2naTfPYu9CdSOwhgtkP1GqZ&#10;1RU4mVsazQ8hb+/PvKCeHv/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FTmjrZAAAACQEAAA8A&#10;AAAAAAAAAQAgAAAAIgAAAGRycy9kb3ducmV2LnhtbFBLAQIUABQAAAAIAIdO4kDTgjEnpAEAAEQD&#10;AAAOAAAAAAAAAAEAIAAAACgBAABkcnMvZTJvRG9jLnhtbFBLBQYAAAAABgAGAFkBAAA+BQ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83840" behindDoc="0" locked="0" layoutInCell="1" allowOverlap="1">
                      <wp:simplePos x="0" y="0"/>
                      <wp:positionH relativeFrom="column">
                        <wp:posOffset>594995</wp:posOffset>
                      </wp:positionH>
                      <wp:positionV relativeFrom="paragraph">
                        <wp:posOffset>304165</wp:posOffset>
                      </wp:positionV>
                      <wp:extent cx="783590" cy="276860"/>
                      <wp:effectExtent l="0" t="0" r="0" b="0"/>
                      <wp:wrapNone/>
                      <wp:docPr id="207" name="矩形 207"/>
                      <wp:cNvGraphicFramePr/>
                      <a:graphic xmlns:a="http://schemas.openxmlformats.org/drawingml/2006/main">
                        <a:graphicData uri="http://schemas.microsoft.com/office/word/2010/wordprocessingShape">
                          <wps:wsp>
                            <wps:cNvSpPr/>
                            <wps:spPr>
                              <a:xfrm>
                                <a:off x="0" y="0"/>
                                <a:ext cx="783590" cy="276860"/>
                              </a:xfrm>
                              <a:prstGeom prst="rect">
                                <a:avLst/>
                              </a:prstGeom>
                              <a:noFill/>
                              <a:ln>
                                <a:noFill/>
                              </a:ln>
                            </wps:spPr>
                            <wps:txbx>
                              <w:txbxContent>
                                <w:p>
                                  <w:pPr>
                                    <w:rPr>
                                      <w:rFonts w:hint="eastAsia"/>
                                      <w:bCs/>
                                      <w:kern w:val="0"/>
                                      <w:sz w:val="18"/>
                                      <w:szCs w:val="18"/>
                                    </w:rPr>
                                  </w:pPr>
                                  <w:r>
                                    <w:rPr>
                                      <w:rFonts w:hint="eastAsia"/>
                                      <w:bCs/>
                                      <w:kern w:val="0"/>
                                      <w:sz w:val="18"/>
                                      <w:szCs w:val="18"/>
                                    </w:rPr>
                                    <w:t>采样时间</w:t>
                                  </w:r>
                                </w:p>
                              </w:txbxContent>
                            </wps:txbx>
                            <wps:bodyPr upright="1"/>
                          </wps:wsp>
                        </a:graphicData>
                      </a:graphic>
                    </wp:anchor>
                  </w:drawing>
                </mc:Choice>
                <mc:Fallback>
                  <w:pict>
                    <v:rect id="_x0000_s1026" o:spid="_x0000_s1026" o:spt="1" style="position:absolute;left:0pt;margin-left:46.85pt;margin-top:23.95pt;height:21.8pt;width:61.7pt;z-index:251683840;mso-width-relative:page;mso-height-relative:page;" filled="f" stroked="f" coordsize="21600,21600" o:gfxdata="UEsDBAoAAAAAAIdO4kAAAAAAAAAAAAAAAAAEAAAAZHJzL1BLAwQUAAAACACHTuJAOWwX4tkAAAAI&#10;AQAADwAAAGRycy9kb3ducmV2LnhtbE2Py07DMBBF90j8gzVIbBB1XB6hIU4XlRAVQqpIoWs3HpKI&#10;eJzGblL+nmEFy9G5uvdMvjy5Tow4hNaTBjVLQCBV3rZUa3jfPl0/gAjRkDWdJ9TwjQGWxflZbjLr&#10;J3rDsYy14BIKmdHQxNhnUoaqQWfCzPdIzD794Ezkc6ilHczE5a6T8yS5l860xAuN6XHVYPVVHp2G&#10;qdqMu+3rs9xc7daeDuvDqvx40fryQiWPICKe4l8YfvVZHQp22vsj2SA6DYublJMabtMFCOZzlSoQ&#10;ewbqDmSRy/8PFD9QSwMEFAAAAAgAh07iQGEJ2LSkAQAARAMAAA4AAABkcnMvZTJvRG9jLnhtbK1S&#10;S44TMRDdI3EHy3viThBJaKUzm2jYIBhp4ACO25225J+qnHTnNEjsOATHQVyDstNkYGYzi9m4q8qv&#10;X9V75c3N6Cw7aUATfMPns4oz7VVojT80/OuX2zdrzjBJ30obvG74WSO/2b5+tRlirRehD7bVwIjE&#10;Yz3EhvcpxVoIVL12Emchak+XXQAnE6VwEC3IgdidFYuqWoohQBshKI1I1d3lkk+M8BzC0HVG6V1Q&#10;R6d9urCCtjKRJOxNRL4t03adVulz16FOzDaclKZyUhOK9/kU242sDyBjb9Q0gnzOCI80OWk8Nb1S&#10;7WSS7AjmCZUzCgKGLs1UcOIipDhCKubVI2/uexl10UJWY7yaji9Hqz6d7oCZtuGLasWZl45W/vvb&#10;j18/v7NcIX+GiDXB7uMdTBlSmMWOHbj8JRlsLJ6er57qMTFFxdX67bv35Laiq8VquV4Wz8XDzxEw&#10;fdDBsRw0HGhlxUl5+oiJGhL0LyT38uHWWFvWZv1/BQLmisjzXibMURr34zT2PrRnEnuMYA49tZpn&#10;dQVO5pZG00PI2/s3L6iHx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lsF+LZAAAACAEAAA8A&#10;AAAAAAAAAQAgAAAAIgAAAGRycy9kb3ducmV2LnhtbFBLAQIUABQAAAAIAIdO4kBhCdi0pAEAAEQD&#10;AAAOAAAAAAAAAAEAIAAAACgBAABkcnMvZTJvRG9jLnhtbFBLBQYAAAAABgAGAFkBAAA+BQAAAAA=&#10;">
                      <v:fill on="f" focussize="0,0"/>
                      <v:stroke on="f"/>
                      <v:imagedata o:title=""/>
                      <o:lock v:ext="edit" aspectratio="f"/>
                      <v:textbox>
                        <w:txbxContent>
                          <w:p>
                            <w:pPr>
                              <w:rPr>
                                <w:rFonts w:hint="eastAsia"/>
                                <w:bCs/>
                                <w:kern w:val="0"/>
                                <w:sz w:val="18"/>
                                <w:szCs w:val="18"/>
                              </w:rPr>
                            </w:pPr>
                            <w:r>
                              <w:rPr>
                                <w:rFonts w:hint="eastAsia"/>
                                <w:bCs/>
                                <w:kern w:val="0"/>
                                <w:sz w:val="18"/>
                                <w:szCs w:val="18"/>
                              </w:rPr>
                              <w:t>采样时间</w:t>
                            </w:r>
                          </w:p>
                        </w:txbxContent>
                      </v:textbox>
                    </v:rect>
                  </w:pict>
                </mc:Fallback>
              </mc:AlternateContent>
            </w:r>
          </w:p>
        </w:tc>
        <w:tc>
          <w:tcPr>
            <w:tcW w:w="1435" w:type="dxa"/>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颗粒物</w:t>
            </w:r>
          </w:p>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435" w:type="dxa"/>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二甲苯</w:t>
            </w:r>
          </w:p>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435" w:type="dxa"/>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非甲烷总烃</w:t>
            </w:r>
          </w:p>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1438" w:type="dxa"/>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乙酸丁酯</w:t>
            </w:r>
          </w:p>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厂界北侧</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G1</w:t>
            </w: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9:50-10:50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highlight w:val="yellow"/>
                <w:lang w:val="en-US" w:eastAsia="zh-CN" w:bidi="ar-SA"/>
              </w:rPr>
            </w:pPr>
            <w:r>
              <w:rPr>
                <w:rFonts w:hint="default" w:ascii="Times New Roman" w:hAnsi="Times New Roman" w:cs="Times New Roman"/>
                <w:bCs/>
                <w:kern w:val="0"/>
                <w:sz w:val="18"/>
                <w:szCs w:val="18"/>
              </w:rPr>
              <w:t>0.782</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0.96</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11:50-12:50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0.736</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0.89</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13:50-14:50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0.751</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0.88</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15:50-16:50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0.784</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0.87</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厂界北侧</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G2</w:t>
            </w: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9:50-10:50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0.808</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1.12</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11:50-12:50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0.793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1.49</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13:50-14:50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0.797</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1.43</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15:50-16:50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0.811</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1.21</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厂界北侧</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G3</w:t>
            </w: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9:50-10:50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0.827</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0.91</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11:50-12:50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0.804</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0.86</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13:50-14:50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0.817</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0.87</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15:50-16:50</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0.825</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0.88</w:t>
            </w:r>
          </w:p>
        </w:tc>
        <w:tc>
          <w:tcPr>
            <w:tcW w:w="143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厂界最大小时均值</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0.827</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＜1.5×10</w:t>
            </w:r>
            <w:r>
              <w:rPr>
                <w:rFonts w:hint="default" w:ascii="Times New Roman" w:hAnsi="Times New Roman" w:cs="Times New Roman"/>
                <w:bCs/>
                <w:kern w:val="0"/>
                <w:sz w:val="18"/>
                <w:szCs w:val="18"/>
                <w:vertAlign w:val="superscript"/>
              </w:rPr>
              <w:t>-3</w:t>
            </w:r>
          </w:p>
        </w:tc>
        <w:tc>
          <w:tcPr>
            <w:tcW w:w="143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1.49</w:t>
            </w:r>
          </w:p>
        </w:tc>
        <w:tc>
          <w:tcPr>
            <w:tcW w:w="1438" w:type="dxa"/>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＜7.7×10</w:t>
            </w:r>
            <w:r>
              <w:rPr>
                <w:rFonts w:hint="default" w:ascii="Times New Roman" w:hAnsi="Times New Roman" w:cs="Times New Roman"/>
                <w:bCs/>
                <w:kern w:val="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eastAsiaTheme="minorEastAsia"/>
                <w:kern w:val="0"/>
                <w:sz w:val="18"/>
                <w:szCs w:val="18"/>
                <w:lang w:val="en-US" w:eastAsia="zh-CN" w:bidi="ar"/>
              </w:rPr>
            </w:pPr>
            <w:r>
              <w:rPr>
                <w:rFonts w:hint="default" w:ascii="Times New Roman" w:hAnsi="Times New Roman" w:cs="Times New Roman"/>
                <w:bCs/>
                <w:kern w:val="0"/>
                <w:sz w:val="18"/>
                <w:szCs w:val="18"/>
              </w:rPr>
              <w:t>《工业涂装工序大气污染物排放标准》（DB 33/2146-2018）  表6</w:t>
            </w:r>
          </w:p>
        </w:tc>
        <w:tc>
          <w:tcPr>
            <w:tcW w:w="143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p>
        </w:tc>
        <w:tc>
          <w:tcPr>
            <w:tcW w:w="143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w:t>
            </w:r>
          </w:p>
        </w:tc>
        <w:tc>
          <w:tcPr>
            <w:tcW w:w="143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4.0</w:t>
            </w:r>
          </w:p>
        </w:tc>
        <w:tc>
          <w:tcPr>
            <w:tcW w:w="1438"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结果评价</w:t>
            </w:r>
          </w:p>
        </w:tc>
        <w:tc>
          <w:tcPr>
            <w:tcW w:w="143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c>
          <w:tcPr>
            <w:tcW w:w="143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c>
          <w:tcPr>
            <w:tcW w:w="1435"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c>
          <w:tcPr>
            <w:tcW w:w="1438"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5743" w:type="dxa"/>
            <w:gridSpan w:val="4"/>
            <w:noWrap w:val="0"/>
            <w:tcMar>
              <w:left w:w="0" w:type="dxa"/>
              <w:right w:w="0" w:type="dxa"/>
            </w:tcMar>
            <w:vAlign w:val="center"/>
          </w:tcPr>
          <w:p>
            <w:pPr>
              <w:widowControl/>
              <w:adjustRightInd w:val="0"/>
              <w:snapToGrid w:val="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pPr>
              <w:widowControl/>
              <w:adjustRightInd w:val="0"/>
              <w:snapToGrid w:val="0"/>
              <w:ind w:firstLine="360" w:firstLineChars="20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12月22日气象参数：天气：晴；气温：6.1-12.8℃；气压：103.0-103.70kPa；风向：北风；风速：1.3-1.6m/s。</w:t>
            </w:r>
          </w:p>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w:t>
            </w:r>
            <w:r>
              <w:rPr>
                <w:rFonts w:hint="default" w:ascii="Times New Roman" w:hAnsi="Times New Roman" w:cs="Times New Roman"/>
                <w:kern w:val="0"/>
                <w:sz w:val="18"/>
                <w:szCs w:val="18"/>
              </w:rPr>
              <w:t>“*</w:t>
            </w:r>
            <w:r>
              <w:rPr>
                <w:rFonts w:hint="default" w:ascii="Times New Roman" w:hAnsi="Times New Roman" w:cs="Times New Roman"/>
                <w:kern w:val="0"/>
                <w:sz w:val="18"/>
                <w:szCs w:val="18"/>
                <w:vertAlign w:val="superscript"/>
              </w:rPr>
              <w:t>2</w:t>
            </w:r>
            <w:r>
              <w:rPr>
                <w:rFonts w:hint="default" w:ascii="Times New Roman" w:hAnsi="Times New Roman" w:cs="Times New Roman"/>
                <w:kern w:val="0"/>
                <w:sz w:val="18"/>
                <w:szCs w:val="18"/>
              </w:rPr>
              <w:t>”表示该项目排放执行</w:t>
            </w:r>
            <w:r>
              <w:rPr>
                <w:rFonts w:hint="default" w:ascii="Times New Roman" w:hAnsi="Times New Roman" w:cs="Times New Roman"/>
                <w:bCs/>
                <w:kern w:val="0"/>
                <w:sz w:val="18"/>
                <w:szCs w:val="18"/>
              </w:rPr>
              <w:t>《大气污染物综合排放标准》（GB 16297-1996）表2无组织排放监控浓度限值。</w:t>
            </w:r>
          </w:p>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3、厂界东侧，南侧，西侧不具备采样条件，故未进行检测。</w:t>
            </w:r>
          </w:p>
        </w:tc>
      </w:tr>
    </w:tbl>
    <w:p>
      <w:pPr>
        <w:keepNext w:val="0"/>
        <w:keepLines w:val="0"/>
        <w:pageBreakBefore w:val="0"/>
        <w:widowControl w:val="0"/>
        <w:kinsoku/>
        <w:wordWrap/>
        <w:overflowPunct/>
        <w:topLinePunct w:val="0"/>
        <w:autoSpaceDE/>
        <w:autoSpaceDN/>
        <w:bidi w:val="0"/>
        <w:adjustRightInd/>
        <w:snapToGrid/>
        <w:spacing w:line="160" w:lineRule="exact"/>
        <w:ind w:firstLine="100" w:firstLineChars="100"/>
        <w:jc w:val="center"/>
        <w:textAlignment w:val="auto"/>
        <w:rPr>
          <w:rFonts w:ascii="Times New Roman" w:hAnsi="Times New Roman"/>
          <w:b/>
          <w:bCs/>
          <w:sz w:val="10"/>
          <w:szCs w:val="10"/>
        </w:rPr>
      </w:pPr>
    </w:p>
    <w:p>
      <w:pPr>
        <w:keepNext w:val="0"/>
        <w:keepLines w:val="0"/>
        <w:pageBreakBefore w:val="0"/>
        <w:widowControl w:val="0"/>
        <w:kinsoku/>
        <w:wordWrap/>
        <w:overflowPunct/>
        <w:topLinePunct w:val="0"/>
        <w:autoSpaceDE/>
        <w:autoSpaceDN/>
        <w:bidi w:val="0"/>
        <w:adjustRightInd/>
        <w:snapToGrid/>
        <w:spacing w:line="160" w:lineRule="exact"/>
        <w:ind w:firstLine="100" w:firstLineChars="100"/>
        <w:jc w:val="center"/>
        <w:textAlignment w:val="auto"/>
        <w:rPr>
          <w:rFonts w:ascii="Times New Roman" w:hAnsi="Times New Roman"/>
          <w:b/>
          <w:bCs/>
          <w:sz w:val="10"/>
          <w:szCs w:val="10"/>
        </w:rPr>
      </w:pPr>
    </w:p>
    <w:p>
      <w:pPr>
        <w:keepNext w:val="0"/>
        <w:keepLines w:val="0"/>
        <w:pageBreakBefore w:val="0"/>
        <w:widowControl w:val="0"/>
        <w:kinsoku/>
        <w:wordWrap/>
        <w:overflowPunct/>
        <w:topLinePunct w:val="0"/>
        <w:autoSpaceDE/>
        <w:autoSpaceDN/>
        <w:bidi w:val="0"/>
        <w:adjustRightInd/>
        <w:snapToGrid/>
        <w:spacing w:line="160" w:lineRule="exact"/>
        <w:ind w:firstLine="100" w:firstLineChars="100"/>
        <w:jc w:val="center"/>
        <w:textAlignment w:val="auto"/>
        <w:rPr>
          <w:rFonts w:ascii="Times New Roman" w:hAnsi="Times New Roman"/>
          <w:b/>
          <w:bCs/>
          <w:sz w:val="10"/>
          <w:szCs w:val="10"/>
        </w:rPr>
      </w:pPr>
    </w:p>
    <w:p>
      <w:pPr>
        <w:keepNext w:val="0"/>
        <w:keepLines w:val="0"/>
        <w:pageBreakBefore w:val="0"/>
        <w:widowControl w:val="0"/>
        <w:kinsoku/>
        <w:wordWrap/>
        <w:overflowPunct/>
        <w:topLinePunct w:val="0"/>
        <w:autoSpaceDE/>
        <w:autoSpaceDN/>
        <w:bidi w:val="0"/>
        <w:adjustRightInd/>
        <w:snapToGrid/>
        <w:spacing w:line="160" w:lineRule="exact"/>
        <w:ind w:firstLine="100" w:firstLineChars="100"/>
        <w:jc w:val="center"/>
        <w:textAlignment w:val="auto"/>
        <w:rPr>
          <w:rFonts w:ascii="Times New Roman" w:hAnsi="Times New Roman"/>
          <w:b/>
          <w:bCs/>
          <w:sz w:val="10"/>
          <w:szCs w:val="10"/>
        </w:rPr>
      </w:pPr>
    </w:p>
    <w:p>
      <w:pPr>
        <w:keepNext w:val="0"/>
        <w:keepLines w:val="0"/>
        <w:pageBreakBefore w:val="0"/>
        <w:widowControl w:val="0"/>
        <w:kinsoku/>
        <w:wordWrap/>
        <w:overflowPunct/>
        <w:topLinePunct w:val="0"/>
        <w:autoSpaceDE/>
        <w:autoSpaceDN/>
        <w:bidi w:val="0"/>
        <w:adjustRightInd/>
        <w:snapToGrid/>
        <w:spacing w:line="160" w:lineRule="exact"/>
        <w:ind w:firstLine="100" w:firstLineChars="100"/>
        <w:jc w:val="center"/>
        <w:textAlignment w:val="auto"/>
        <w:rPr>
          <w:rFonts w:ascii="Times New Roman" w:hAnsi="Times New Roman"/>
          <w:b/>
          <w:bCs/>
          <w:sz w:val="10"/>
          <w:szCs w:val="10"/>
        </w:rPr>
      </w:pPr>
    </w:p>
    <w:p>
      <w:pPr>
        <w:keepNext w:val="0"/>
        <w:keepLines w:val="0"/>
        <w:pageBreakBefore w:val="0"/>
        <w:widowControl w:val="0"/>
        <w:kinsoku/>
        <w:wordWrap/>
        <w:overflowPunct/>
        <w:topLinePunct w:val="0"/>
        <w:autoSpaceDE/>
        <w:autoSpaceDN/>
        <w:bidi w:val="0"/>
        <w:adjustRightInd/>
        <w:snapToGrid/>
        <w:spacing w:line="160" w:lineRule="exact"/>
        <w:ind w:firstLine="100" w:firstLineChars="100"/>
        <w:jc w:val="center"/>
        <w:textAlignment w:val="auto"/>
        <w:rPr>
          <w:rFonts w:ascii="Times New Roman" w:hAnsi="Times New Roman"/>
          <w:b/>
          <w:bCs/>
          <w:sz w:val="10"/>
          <w:szCs w:val="10"/>
        </w:rPr>
      </w:pPr>
    </w:p>
    <w:p>
      <w:pPr>
        <w:rPr>
          <w:rFonts w:ascii="Times New Roman" w:hAnsi="Times New Roman"/>
          <w:b/>
          <w:bCs/>
          <w:sz w:val="10"/>
          <w:szCs w:val="10"/>
        </w:rPr>
      </w:pPr>
      <w:r>
        <w:rPr>
          <w:rFonts w:ascii="Times New Roman" w:hAnsi="Times New Roman"/>
          <w:b/>
          <w:bCs/>
          <w:sz w:val="10"/>
          <w:szCs w:val="10"/>
        </w:rPr>
        <w:br w:type="page"/>
      </w:r>
    </w:p>
    <w:p>
      <w:pPr>
        <w:spacing w:line="360" w:lineRule="auto"/>
        <w:ind w:firstLine="211" w:firstLineChars="100"/>
        <w:jc w:val="center"/>
        <w:rPr>
          <w:rFonts w:ascii="Times New Roman" w:hAnsi="Times New Roman"/>
          <w:b/>
          <w:bCs/>
          <w:szCs w:val="21"/>
        </w:rPr>
      </w:pPr>
      <w:r>
        <w:rPr>
          <w:rFonts w:ascii="Times New Roman" w:hAnsi="Times New Roman"/>
          <w:b/>
          <w:bCs/>
          <w:szCs w:val="21"/>
        </w:rPr>
        <w:t>表</w:t>
      </w:r>
      <w:r>
        <w:rPr>
          <w:rFonts w:hint="eastAsia" w:ascii="Times New Roman" w:hAnsi="Times New Roman"/>
          <w:b/>
          <w:bCs/>
          <w:szCs w:val="21"/>
        </w:rPr>
        <w:t xml:space="preserve"> </w:t>
      </w:r>
      <w:r>
        <w:rPr>
          <w:rFonts w:ascii="Times New Roman" w:hAnsi="Times New Roman"/>
          <w:b/>
          <w:bCs/>
          <w:szCs w:val="21"/>
        </w:rPr>
        <w:t>9</w:t>
      </w:r>
      <w:r>
        <w:rPr>
          <w:rFonts w:hint="eastAsia" w:ascii="Times New Roman" w:hAnsi="Times New Roman"/>
          <w:b/>
          <w:bCs/>
          <w:szCs w:val="21"/>
        </w:rPr>
        <w:t>.2.</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3</w:t>
      </w:r>
      <w:r>
        <w:rPr>
          <w:rFonts w:ascii="Times New Roman" w:hAnsi="Times New Roman"/>
          <w:b/>
          <w:bCs/>
          <w:szCs w:val="21"/>
        </w:rPr>
        <w:t xml:space="preserve"> 无组织废气监测结果</w:t>
      </w:r>
      <w:r>
        <w:rPr>
          <w:rFonts w:hint="eastAsia" w:ascii="Times New Roman" w:hAnsi="Times New Roman"/>
          <w:b/>
          <w:bCs/>
          <w:szCs w:val="21"/>
        </w:rPr>
        <w:t>（</w:t>
      </w:r>
      <w:r>
        <w:rPr>
          <w:rFonts w:hint="eastAsia" w:ascii="Times New Roman" w:hAnsi="Times New Roman"/>
          <w:b/>
          <w:bCs/>
          <w:szCs w:val="21"/>
          <w:lang w:val="en-US" w:eastAsia="zh-CN"/>
        </w:rPr>
        <w:t>3</w:t>
      </w:r>
      <w:r>
        <w:rPr>
          <w:rFonts w:hint="eastAsia" w:ascii="Times New Roman" w:hAnsi="Times New Roman"/>
          <w:b/>
          <w:bCs/>
          <w:szCs w:val="21"/>
        </w:rPr>
        <w:t>）</w:t>
      </w:r>
    </w:p>
    <w:tbl>
      <w:tblPr>
        <w:tblStyle w:val="31"/>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5"/>
        <w:gridCol w:w="1595"/>
        <w:gridCol w:w="2871"/>
        <w:gridCol w:w="1"/>
        <w:gridCol w:w="2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2023年12月21日</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60" w:lineRule="exact"/>
              <w:jc w:val="center"/>
              <w:textAlignment w:val="auto"/>
              <w:rPr>
                <w:rFonts w:hint="default" w:ascii="Times New Roman" w:hAnsi="Times New Roman" w:cs="Times New Roman"/>
                <w:bCs/>
                <w:kern w:val="0"/>
                <w:sz w:val="18"/>
                <w:szCs w:val="18"/>
              </w:rPr>
            </w:pP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eastAsia="仿宋_GB2312" w:cs="Times New Roman"/>
                <w:b/>
                <w:sz w:val="24"/>
              </w:rPr>
              <mc:AlternateContent>
                <mc:Choice Requires="wps">
                  <w:drawing>
                    <wp:anchor distT="0" distB="0" distL="114300" distR="114300" simplePos="0" relativeHeight="251722752" behindDoc="0" locked="0" layoutInCell="1" allowOverlap="1">
                      <wp:simplePos x="0" y="0"/>
                      <wp:positionH relativeFrom="column">
                        <wp:posOffset>1137920</wp:posOffset>
                      </wp:positionH>
                      <wp:positionV relativeFrom="paragraph">
                        <wp:posOffset>215900</wp:posOffset>
                      </wp:positionV>
                      <wp:extent cx="783590" cy="285115"/>
                      <wp:effectExtent l="0" t="0" r="0" b="0"/>
                      <wp:wrapNone/>
                      <wp:docPr id="64" name="矩形 64"/>
                      <wp:cNvGraphicFramePr/>
                      <a:graphic xmlns:a="http://schemas.openxmlformats.org/drawingml/2006/main">
                        <a:graphicData uri="http://schemas.microsoft.com/office/word/2010/wordprocessingShape">
                          <wps:wsp>
                            <wps:cNvSpPr/>
                            <wps:spPr>
                              <a:xfrm>
                                <a:off x="0" y="0"/>
                                <a:ext cx="783590" cy="285115"/>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upright="1"/>
                          </wps:wsp>
                        </a:graphicData>
                      </a:graphic>
                    </wp:anchor>
                  </w:drawing>
                </mc:Choice>
                <mc:Fallback>
                  <w:pict>
                    <v:rect id="_x0000_s1026" o:spid="_x0000_s1026" o:spt="1" style="position:absolute;left:0pt;margin-left:89.6pt;margin-top:17pt;height:22.45pt;width:61.7pt;z-index:251722752;mso-width-relative:page;mso-height-relative:page;" filled="f" stroked="f" coordsize="21600,21600" o:gfxdata="UEsDBAoAAAAAAIdO4kAAAAAAAAAAAAAAAAAEAAAAZHJzL1BLAwQUAAAACACHTuJALq/35doAAAAJ&#10;AQAADwAAAGRycy9kb3ducmV2LnhtbE2Py07DMBBF90j8gzVIbBC1m6I+QpwuKiEqhFSRQtduPCQR&#10;8TiN3aT8PcMKlldzdOfcbH1xrRiwD40nDdOJAoFUettQpeF9/3S/BBGiIWtaT6jhGwOs8+urzKTW&#10;j/SGQxErwSUUUqOhjrFLpQxljc6Eie+Q+Pbpe2cix76Stjcjl7tWJkrNpTMN8YfadLipsfwqzk7D&#10;WO6Gw/71We7uDltPp+1pU3y8aH17M1WPICJe4h8Mv/qsDjk7Hf2ZbBAt58UqYVTD7IE3MTBTyRzE&#10;UcNiuQKZZ/L/gvwHUEsDBBQAAAAIAIdO4kBdPktzogEAAEIDAAAOAAAAZHJzL2Uyb0RvYy54bWyt&#10;Uktu2zAU3BfIHQjua1punbqC5WyMZFO0AdIcgKZIiwB/eKQt+TQFuushepyi1+gjpThpsskiG+r9&#10;NG9myPXVYA05Sojau4ZWszkl0gnfardv6P336/crSmLiruXGO9nQk4z0anPxbt2HWi58500rgSCI&#10;i3UfGtqlFGrGouik5XHmg3TYVB4sT5jCnrXAe0S3hi3m80vWe2gDeCFjxOp2bNIJEV4D6JXSQm69&#10;OFjp0ogK0vCEkmKnQ6SbwlYpKdI3paJMxDQUlaZy4hKMd/lkmzWv98BDp8VEgb+GwjNNlmuHS89Q&#10;W544OYB+AWW1AB+9SjPhLRuFFEdQRTV/5s1dx4MsWtDqGM6mx7eDFV+Pt0B029DLj5Q4bvHG//74&#10;9ef3T4IFdKcPscahu3ALUxYxzFIHBTZ/UQQZiqOns6NySERg8dPqw/Izei2wtVgtq2qZMdnjzwFi&#10;upHekhw0FPDCio/8+CWmcfRhJO9y/lobg3VeG/dfATFzhWW+I8McpWE3TLR3vj2h1EMAve9wVVWY&#10;5CG0tnCankG+u6d5AX18+p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q/35doAAAAJAQAADwAA&#10;AAAAAAABACAAAAAiAAAAZHJzL2Rvd25yZXYueG1sUEsBAhQAFAAAAAgAh07iQF0+S3OiAQAAQgMA&#10;AA4AAAAAAAAAAQAgAAAAKQEAAGRycy9lMm9Eb2MueG1sUEsFBgAAAAAGAAYAWQEAAD0FA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Cs/>
                <w:kern w:val="0"/>
                <w:sz w:val="18"/>
                <w:szCs w:val="18"/>
              </w:rPr>
              <w:t>检测日期</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2023年12月21日</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8"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17632" behindDoc="0" locked="0" layoutInCell="1" allowOverlap="1">
                      <wp:simplePos x="0" y="0"/>
                      <wp:positionH relativeFrom="column">
                        <wp:posOffset>6350</wp:posOffset>
                      </wp:positionH>
                      <wp:positionV relativeFrom="paragraph">
                        <wp:posOffset>8890</wp:posOffset>
                      </wp:positionV>
                      <wp:extent cx="1655445" cy="701040"/>
                      <wp:effectExtent l="1905" t="4445" r="19050" b="18415"/>
                      <wp:wrapNone/>
                      <wp:docPr id="65" name="直接箭头连接符 65"/>
                      <wp:cNvGraphicFramePr/>
                      <a:graphic xmlns:a="http://schemas.openxmlformats.org/drawingml/2006/main">
                        <a:graphicData uri="http://schemas.microsoft.com/office/word/2010/wordprocessingShape">
                          <wps:wsp>
                            <wps:cNvCnPr/>
                            <wps:spPr>
                              <a:xfrm>
                                <a:off x="0" y="0"/>
                                <a:ext cx="1655445" cy="7010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5pt;margin-top:0.7pt;height:55.2pt;width:130.35pt;z-index:251717632;mso-width-relative:page;mso-height-relative:page;" filled="f" stroked="t" coordsize="21600,21600" o:gfxdata="UEsDBAoAAAAAAIdO4kAAAAAAAAAAAAAAAAAEAAAAZHJzL1BLAwQUAAAACACHTuJAxlmbYtUAAAAH&#10;AQAADwAAAGRycy9kb3ducmV2LnhtbE2PwU7DMAyG70i8Q2QkLoglqWCM0nSaJnHgyDaJa9aYtlvj&#10;VE26jj095sRO1qff+v25WJ59J044xDaQAT1TIJCq4FqqDey2748LEDFZcrYLhAZ+MMKyvL0pbO7C&#10;RJ942qRacAnF3BpoUupzKWPVoLdxFnokzr7D4G1iHGrpBjtxue9kptRcetsSX2hsj+sGq+Nm9AYw&#10;js9arV59vfu4TA9f2eUw9Vtj7u+0egOR8Jz+l+FPn9WhZKd9GMlF0THzJ4nHEwhOs7l+AbFn1noB&#10;sizktX/5C1BLAwQUAAAACACHTuJAZVHzYgICAADzAwAADgAAAGRycy9lMm9Eb2MueG1srVNLjhMx&#10;EN0jcQfLe9JJlARopTOLhGGDIBJwgIrbnbbkn1yedHIJLoDECljBrGbPaWA4BmV3yMCwyYIsOmWX&#10;6716z+X5xd5otpMBlbMVHw2GnEkrXK3stuJv31w+esIZRrA1aGdlxQ8S+cXi4YN550s5dq3TtQyM&#10;QCyWna94G6MviwJFKw3gwHlpKdm4YCDSMmyLOkBH6EYX4+FwVnQu1D44IRFpd9Un+RExnAPomkYJ&#10;uXLiykgbe9QgNUSShK3yyBe526aRIr5qGpSR6YqT0pi/RELxJn2LxRzKbQDfKnFsAc5p4Z4mA8oS&#10;6QlqBRHYVVD/QBklgkPXxIFwpuiFZEdIxWh4z5vXLXiZtZDV6E+m4/+DFS9368BUXfHZlDMLhm78&#10;9v3Nj3efbq+/fv948/PbhxR/+cwoT2Z1HkuqWdp1OK7Qr0NSvm+CSf+kie2zwYeTwXIfmaDN0Ww6&#10;nUyISFDuMQme5Bso7qp9wPhcOsNSUHGMAdS2jUtnLd2lC6PsMuxeYCR+KvxdkKi1ZV3Fn07HiQFo&#10;NhuaCQqNJ31ot7kWnVb1pdI6VWDYbpY6sB2k+ci/pJJw/zqWSFaAbX8up/rJaSXUz2zN4sGTcZYe&#10;DE8tGFlzpiW9rxQRIJQRlD7nJFFrSx0ko3trU7Rx9SE7nvdpFnKPx7lNw/bnOlffvdX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ZZm2LVAAAABwEAAA8AAAAAAAAAAQAgAAAAIgAAAGRycy9kb3du&#10;cmV2LnhtbFBLAQIUABQAAAAIAIdO4kBlUfNiAgIAAPMDAAAOAAAAAAAAAAEAIAAAACQBAABkcnMv&#10;ZTJvRG9jLnhtbFBLBQYAAAAABgAGAFkBAACY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19680" behindDoc="0" locked="0" layoutInCell="1" allowOverlap="1">
                      <wp:simplePos x="0" y="0"/>
                      <wp:positionH relativeFrom="column">
                        <wp:posOffset>7620</wp:posOffset>
                      </wp:positionH>
                      <wp:positionV relativeFrom="paragraph">
                        <wp:posOffset>12065</wp:posOffset>
                      </wp:positionV>
                      <wp:extent cx="704215" cy="697865"/>
                      <wp:effectExtent l="3175" t="3175" r="16510" b="3810"/>
                      <wp:wrapNone/>
                      <wp:docPr id="66" name="直接箭头连接符 66"/>
                      <wp:cNvGraphicFramePr/>
                      <a:graphic xmlns:a="http://schemas.openxmlformats.org/drawingml/2006/main">
                        <a:graphicData uri="http://schemas.microsoft.com/office/word/2010/wordprocessingShape">
                          <wps:wsp>
                            <wps:cNvCnPr/>
                            <wps:spPr>
                              <a:xfrm>
                                <a:off x="0" y="0"/>
                                <a:ext cx="704215" cy="6978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6pt;margin-top:0.95pt;height:54.95pt;width:55.45pt;z-index:251719680;mso-width-relative:page;mso-height-relative:page;" filled="f" stroked="t" coordsize="21600,21600" o:gfxdata="UEsDBAoAAAAAAIdO4kAAAAAAAAAAAAAAAAAEAAAAZHJzL1BLAwQUAAAACACHTuJAtTBwAtMAAAAH&#10;AQAADwAAAGRycy9kb3ducmV2LnhtbE2OwU7DMBBE70j9B2sr9YKo7UigNsSpEBIHjrSVuLrxkgTi&#10;dRQ7TduvZ3OC085oRrOv2F18J844xDaQAb1WIJCq4FqqDRwPbw8bEDFZcrYLhAauGGFXLu4Km7sw&#10;0Qee96kWPEIxtwaalPpcylg16G1chx6Js68weJvYDrV0g5143HcyU+pJetsSf2hsj68NVj/70RvA&#10;OD5q9bL19fH9Nt1/ZrfvqT8Ys1pq9Qwi4SX9lWHGZ3QomekURnJRdOwzLvLZgphTnWkQp1noDciy&#10;kP/5y19QSwMEFAAAAAgAh07iQKV8qT0BAgAA8gMAAA4AAABkcnMvZTJvRG9jLnhtbK1TzY7TMBC+&#10;I/EOlu80bUWzu1HTPbQsFwSVgAdwbSex5D95vE37ErwAEifgBHvaO08Dy2MwdkoXlksP5OCMPTPf&#10;zPd5PL/cGU22MoBytqaT0ZgSabkTyrY1ffvm6sk5JRCZFUw7K2u6l0AvF48fzXtfyanrnBYyEASx&#10;UPW+pl2MvioK4J00DEbOS4vOxgXDIm5DW4jAekQ3upiOx2XRuyB8cFwC4OlqcNIDYjgF0DWN4nLl&#10;+LWRNg6oQWoWkRJ0ygNd5G6bRvL4qmlARqJrikxjXrEI2pu0Fos5q9rAfKf4oQV2SgsPOBmmLBY9&#10;Qq1YZOQ6qH+gjOLBgWviiDtTDESyIshiMn6gzeuOeZm5oNTgj6LD/4PlL7frQJSoaVlSYpnBG797&#10;f/vj3ae7m6/fP97+/PYh2V8+E/SjWL2HCnOWdh0OO/DrkJjvmmDSHzmRXRZ4fxRY7iLheHg2fjqd&#10;zCjh6Covzs7LWcIs7pN9gPhcOkOSUVOIgam2i0tnLV6lC5MsMtu+gDgk/k5IlbUlfU0vZtNUgeFo&#10;NjgSaBqP9MC2ORecVuJKaZ0yILSbpQ5ky9J45O/Q0F9hqciKQTfEZVcKY1UnmXhmBYl7j7pZfC80&#10;tWCkoERLfF7JypGRKX1KJGqhLUqSdB6UTdbGiX0WPJ/jKGTRDmObZu3Pfc6+f6q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UwcALTAAAABwEAAA8AAAAAAAAAAQAgAAAAIgAAAGRycy9kb3ducmV2&#10;LnhtbFBLAQIUABQAAAAIAIdO4kClfKk9AQIAAPIDAAAOAAAAAAAAAAEAIAAAACIBAABkcnMvZTJv&#10;RG9jLnhtbFBLBQYAAAAABgAGAFkBAACV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718656" behindDoc="0" locked="0" layoutInCell="1" allowOverlap="1">
                      <wp:simplePos x="0" y="0"/>
                      <wp:positionH relativeFrom="column">
                        <wp:posOffset>31750</wp:posOffset>
                      </wp:positionH>
                      <wp:positionV relativeFrom="paragraph">
                        <wp:posOffset>12065</wp:posOffset>
                      </wp:positionV>
                      <wp:extent cx="1699895" cy="299085"/>
                      <wp:effectExtent l="635" t="4445" r="13970" b="20320"/>
                      <wp:wrapNone/>
                      <wp:docPr id="67" name="直接箭头连接符 67"/>
                      <wp:cNvGraphicFramePr/>
                      <a:graphic xmlns:a="http://schemas.openxmlformats.org/drawingml/2006/main">
                        <a:graphicData uri="http://schemas.microsoft.com/office/word/2010/wordprocessingShape">
                          <wps:wsp>
                            <wps:cNvCnPr/>
                            <wps:spPr>
                              <a:xfrm>
                                <a:off x="0" y="0"/>
                                <a:ext cx="1699895" cy="2990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pt;margin-top:0.95pt;height:23.55pt;width:133.85pt;z-index:251718656;mso-width-relative:page;mso-height-relative:page;" filled="f" stroked="t" coordsize="21600,21600" o:gfxdata="UEsDBAoAAAAAAIdO4kAAAAAAAAAAAAAAAAAEAAAAZHJzL1BLAwQUAAAACACHTuJA75FDatYAAAAG&#10;AQAADwAAAGRycy9kb3ducmV2LnhtbE2PzU7DMBCE70i8g7WVuCBqJ6K0CXEqhMSBY38krm68TULj&#10;dRQ7TenTdznBcWdGM98W64vrxBmH0HrSkMwVCKTK25ZqDfvdx9MKRIiGrOk8oYYfDLAu7+8Kk1s/&#10;0QbP21gLLqGQGw1NjH0uZagadCbMfY/E3tEPzkQ+h1rawUxc7jqZKvUinWmJFxrT43uD1Wk7Og0Y&#10;xkWi3jJX7z+v0+NXev2e+p3WD7NEvYKIeIl/YfjFZ3QomengR7JBdBoW/ElkOQPBbrpMlyAOGp4z&#10;BbIs5H/88gZQSwMEFAAAAAgAh07iQACew/sCAgAA8wMAAA4AAABkcnMvZTJvRG9jLnhtbK1TzY7T&#10;MBC+I/EOlu80baWWJmq6h5blgqAS8ACu7SSW/CePt2lfghdA4gScgNPe92lgeQzGTunCctkDOThj&#10;z8w3830eLy8ORpO9DKCcrelkNKZEWu6Esm1N3765fLKgBCKzgmlnZU2PEujF6vGjZe8rOXWd00IG&#10;giAWqt7XtIvRV0UBvJOGwch5adHZuGBYxG1oCxFYj+hGF9PxeF70LggfHJcAeLoZnPSEGB4C6JpG&#10;cblx/MpIGwfUIDWLSAk65YGucrdNI3l81TQgI9E1RaYxr1gE7V1ai9WSVW1gvlP81AJ7SAv3OBmm&#10;LBY9Q21YZOQqqH+gjOLBgWviiDtTDESyIshiMr6nzeuOeZm5oNTgz6LD/4PlL/fbQJSo6fwpJZYZ&#10;vPHb99c/3n26/fb1+8frnzcfkv3lM0E/itV7qDBnbbfhtAO/DYn5oQkm/ZETOWSBj2eB5SESjoeT&#10;eVkuyhklHH3TshwvZgm0uMv2AeJz6QxJRk0hBqbaLq6dtXiXLkyyymz/AuKQ+DshldaW9DUtZ9NU&#10;geFsNjgTaBqP/MC2ORecVuJSaZ0yILS7tQ5kz9J85O/U0F9hqciGQTfEZVcKY1UnmXhmBYlHj8JZ&#10;fDA0tWCkoERLfF/JypGRKf2QSNRCW5QkCT1Im6ydE8eseD7HWciineY2Dduf+5x991Z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kUNq1gAAAAYBAAAPAAAAAAAAAAEAIAAAACIAAABkcnMvZG93&#10;bnJldi54bWxQSwECFAAUAAAACACHTuJAAJ7D+wICAADzAwAADgAAAAAAAAABACAAAAAl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716608" behindDoc="0" locked="0" layoutInCell="1" allowOverlap="1">
                      <wp:simplePos x="0" y="0"/>
                      <wp:positionH relativeFrom="column">
                        <wp:posOffset>-60960</wp:posOffset>
                      </wp:positionH>
                      <wp:positionV relativeFrom="paragraph">
                        <wp:posOffset>312420</wp:posOffset>
                      </wp:positionV>
                      <wp:extent cx="783590" cy="300355"/>
                      <wp:effectExtent l="0" t="0" r="0" b="0"/>
                      <wp:wrapNone/>
                      <wp:docPr id="68" name="矩形 68"/>
                      <wp:cNvGraphicFramePr/>
                      <a:graphic xmlns:a="http://schemas.openxmlformats.org/drawingml/2006/main">
                        <a:graphicData uri="http://schemas.microsoft.com/office/word/2010/wordprocessingShape">
                          <wps:wsp>
                            <wps:cNvSpPr/>
                            <wps:spPr>
                              <a:xfrm>
                                <a:off x="0" y="0"/>
                                <a:ext cx="783590" cy="300355"/>
                              </a:xfrm>
                              <a:prstGeom prst="rect">
                                <a:avLst/>
                              </a:prstGeom>
                              <a:noFill/>
                              <a:ln>
                                <a:noFill/>
                              </a:ln>
                            </wps:spPr>
                            <wps:txbx>
                              <w:txbxContent>
                                <w:p>
                                  <w:pPr>
                                    <w:rPr>
                                      <w:bCs/>
                                      <w:kern w:val="0"/>
                                      <w:sz w:val="18"/>
                                      <w:szCs w:val="18"/>
                                    </w:rPr>
                                  </w:pPr>
                                  <w:r>
                                    <w:rPr>
                                      <w:rFonts w:hint="eastAsia"/>
                                      <w:bCs/>
                                      <w:kern w:val="0"/>
                                      <w:sz w:val="18"/>
                                      <w:szCs w:val="18"/>
                                    </w:rPr>
                                    <w:t>采样点位</w:t>
                                  </w:r>
                                </w:p>
                              </w:txbxContent>
                            </wps:txbx>
                            <wps:bodyPr upright="1"/>
                          </wps:wsp>
                        </a:graphicData>
                      </a:graphic>
                    </wp:anchor>
                  </w:drawing>
                </mc:Choice>
                <mc:Fallback>
                  <w:pict>
                    <v:rect id="_x0000_s1026" o:spid="_x0000_s1026" o:spt="1" style="position:absolute;left:0pt;margin-left:-4.8pt;margin-top:24.6pt;height:23.65pt;width:61.7pt;z-index:251716608;mso-width-relative:page;mso-height-relative:page;" filled="f" stroked="f" coordsize="21600,21600" o:gfxdata="UEsDBAoAAAAAAIdO4kAAAAAAAAAAAAAAAAAEAAAAZHJzL1BLAwQUAAAACACHTuJARjiWjtkAAAAI&#10;AQAADwAAAGRycy9kb3ducmV2LnhtbE2PQUvDQBSE74L/YXmCF2k3qRpMzEsPBbGIUEy15232mQSz&#10;b9PsNqn/3u3JHocZZr7JlyfTiZEG11pGiOcRCOLK6pZrhM/ty+wJhPOKteosE8IvOVgW11e5yrSd&#10;+IPG0tcilLDLFELjfZ9J6aqGjHJz2xMH79sORvkgh1rqQU2h3HRyEUWJNKrlsNConlYNVT/l0SBM&#10;1Wbcbd9f5eZut7Z8WB9W5dcb4u1NHD2D8HTy/2E44wd0KALT3h5ZO9EhzNIkJBEe0gWIsx/fhyt7&#10;hDR5BFnk8vJA8QdQSwMEFAAAAAgAh07iQOzr6/6jAQAAQgMAAA4AAABkcnMvZTJvRG9jLnhtbK1S&#10;S27bMBDdF+gdCO5ryjGcpoLlbIx0U7QB0h6ApiiLAH+YoS35NAW66yF6nKLX6JBSnDbdZNENNTMc&#10;vXnvDTe3o7PspAFN8A1fLirOtFehNf7Q8C+f797ccIZJ+lba4HXDzxr57fb1q80Qa30V+mBbDYxA&#10;PNZDbHifUqyFQNVrJ3ERovZ02QVwMlEKB9GCHAjdWXFVVddiCNBGCEojUnU3XfIZEV4CGLrOKL0L&#10;6ui0TxMqaCsTScLeROTbwrbrtEqfug51YrbhpDSVk4ZQvM+n2G5kfQAZe6NmCvIlFJ5pctJ4GnqB&#10;2skk2RHMP1DOKAgYurRQwYlJSHGEVCyrZ9489DLqooWsxngxHf8frPp4ugdm2oZf0969dLTxX1+/&#10;//zxjVGB3Bki1tT0EO9hzpDCLHXswOUviWBjcfR8cVSPiSkqvr1Zrd+R14quVlW1Wq8zpnj6OQKm&#10;9zo4loOGAy2s+ChPHzBNrY8teZYPd8Zaqsva+r8KhJkrIvOdGOYojftxpr0P7ZmkHiOYQ0+jloVJ&#10;biJrC6f5GeTd/ZkX0Kenv/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jiWjtkAAAAIAQAADwAA&#10;AAAAAAABACAAAAAiAAAAZHJzL2Rvd25yZXYueG1sUEsBAhQAFAAAAAgAh07iQOzr6/6jAQAAQgMA&#10;AA4AAAAAAAAAAQAgAAAAKAEAAGRycy9lMm9Eb2MueG1sUEsFBgAAAAAGAAYAWQEAAD0FAAAAAA==&#10;">
                      <v:fill on="f" focussize="0,0"/>
                      <v:stroke on="f"/>
                      <v:imagedata o:title=""/>
                      <o:lock v:ext="edit" aspectratio="f"/>
                      <v:textbox>
                        <w:txbxContent>
                          <w:p>
                            <w:pPr>
                              <w:rPr>
                                <w:bCs/>
                                <w:kern w:val="0"/>
                                <w:sz w:val="18"/>
                                <w:szCs w:val="18"/>
                              </w:rPr>
                            </w:pPr>
                            <w:r>
                              <w:rPr>
                                <w:rFonts w:hint="eastAsia"/>
                                <w:bCs/>
                                <w:kern w:val="0"/>
                                <w:sz w:val="18"/>
                                <w:szCs w:val="18"/>
                              </w:rPr>
                              <w:t>采样点位</w:t>
                            </w:r>
                          </w:p>
                        </w:txbxContent>
                      </v:textbox>
                    </v:rect>
                  </w:pict>
                </mc:Fallback>
              </mc:AlternateContent>
            </w:r>
            <w:r>
              <w:rPr>
                <w:rFonts w:hint="default" w:ascii="Times New Roman" w:hAnsi="Times New Roman" w:eastAsia="华文中宋" w:cs="Times New Roman"/>
                <w:b/>
                <w:spacing w:val="227"/>
                <w:sz w:val="30"/>
                <w:szCs w:val="30"/>
                <w:lang w:val="zh-CN"/>
              </w:rPr>
              <mc:AlternateContent>
                <mc:Choice Requires="wps">
                  <w:drawing>
                    <wp:anchor distT="0" distB="0" distL="114300" distR="114300" simplePos="0" relativeHeight="251721728" behindDoc="0" locked="0" layoutInCell="1" allowOverlap="1">
                      <wp:simplePos x="0" y="0"/>
                      <wp:positionH relativeFrom="column">
                        <wp:posOffset>996315</wp:posOffset>
                      </wp:positionH>
                      <wp:positionV relativeFrom="paragraph">
                        <wp:posOffset>142240</wp:posOffset>
                      </wp:positionV>
                      <wp:extent cx="783590" cy="255270"/>
                      <wp:effectExtent l="0" t="0" r="0" b="0"/>
                      <wp:wrapNone/>
                      <wp:docPr id="69" name="矩形 69"/>
                      <wp:cNvGraphicFramePr/>
                      <a:graphic xmlns:a="http://schemas.openxmlformats.org/drawingml/2006/main">
                        <a:graphicData uri="http://schemas.microsoft.com/office/word/2010/wordprocessingShape">
                          <wps:wsp>
                            <wps:cNvSpPr/>
                            <wps:spPr>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upright="1"/>
                          </wps:wsp>
                        </a:graphicData>
                      </a:graphic>
                    </wp:anchor>
                  </w:drawing>
                </mc:Choice>
                <mc:Fallback>
                  <w:pict>
                    <v:rect id="_x0000_s1026" o:spid="_x0000_s1026" o:spt="1" style="position:absolute;left:0pt;margin-left:78.45pt;margin-top:11.2pt;height:20.1pt;width:61.7pt;z-index:251721728;mso-width-relative:page;mso-height-relative:page;" filled="f" stroked="f" coordsize="21600,21600" o:gfxdata="UEsDBAoAAAAAAIdO4kAAAAAAAAAAAAAAAAAEAAAAZHJzL1BLAwQUAAAACACHTuJAcVOaOtkAAAAJ&#10;AQAADwAAAGRycy9kb3ducmV2LnhtbE2PQUvDQBCF74L/YRnBi9jdRg01ZtNDQSwiFFPteZsdk2B2&#10;Ns1uk/rvnZ70+JiP977JlyfXiRGH0HrSMJ8pEEiVty3VGj62z7cLECEasqbzhBp+MMCyuLzITWb9&#10;RO84lrEWXEIhMxqaGPtMylA16EyY+R6Jb19+cCZyHGppBzNxuetkolQqnWmJFxrT46rB6rs8Og1T&#10;tRl327cXubnZrT0d1odV+fmq9fXVXD2BiHiKfzCc9VkdCnba+yPZIDrOD+kjoxqS5B4EA8lC3YHY&#10;a0iTFGSRy/8fFL9QSwMEFAAAAAgAh07iQIW2NlKjAQAAQgMAAA4AAABkcnMvZTJvRG9jLnhtbK1S&#10;S44TMRDdI3EHy3viJCjzaaUzm2jYIBhp4ACO205b8k9VTrpzGiR2HILjIK5B2WkyMGxmwcZdVX79&#10;qt4rr+9G79hRA9oYWr6YzTnTQcXOhn3LP3+6f3PDGWYZOuli0C0/aeR3m9ev1kNq9DL20XUaGJEE&#10;bIbU8j7n1AiBqtde4iwmHejSRPAyUwp70YEciN07sZzPr8QQoUsQlUak6vZ8ySdGeAlhNMYqvY3q&#10;4HXIZ1bQTmaShL1NyDd1WmO0yh+NQZ2ZazkpzfWkJhTvyik2a9nsQabeqmkE+ZIRnmny0gZqeqHa&#10;yizZAew/VN4qiBhNnqnoxVlIdYRULObPvHnsZdJVC1mN6WI6/j9a9eH4AMx2Lb+65SxITxv/+eXb&#10;j+9fGRXInSFhQ6DH9ABThhQWqaMBX74kgo3V0dPFUT1mpqh4ffN2dUteK7parlbL6+q4ePo5AeZ3&#10;OnpWgpYDLaz6KI/vMVNDgv6GlF4h3lvn6tJc+KtAwFIRZd7zhCXK426cxt7F7kRSDwnsvqdWi6Ku&#10;wsna2mh6BmV3f+YV9fT0N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cVOaOtkAAAAJAQAADwAA&#10;AAAAAAABACAAAAAiAAAAZHJzL2Rvd25yZXYueG1sUEsBAhQAFAAAAAgAh07iQIW2NlKjAQAAQgMA&#10;AA4AAAAAAAAAAQAgAAAAKAEAAGRycy9lMm9Eb2MueG1sUEsFBgAAAAAGAAYAWQEAAD0FA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720704" behindDoc="0" locked="0" layoutInCell="1" allowOverlap="1">
                      <wp:simplePos x="0" y="0"/>
                      <wp:positionH relativeFrom="column">
                        <wp:posOffset>594995</wp:posOffset>
                      </wp:positionH>
                      <wp:positionV relativeFrom="paragraph">
                        <wp:posOffset>304165</wp:posOffset>
                      </wp:positionV>
                      <wp:extent cx="783590" cy="276860"/>
                      <wp:effectExtent l="0" t="0" r="0" b="0"/>
                      <wp:wrapNone/>
                      <wp:docPr id="76" name="矩形 76"/>
                      <wp:cNvGraphicFramePr/>
                      <a:graphic xmlns:a="http://schemas.openxmlformats.org/drawingml/2006/main">
                        <a:graphicData uri="http://schemas.microsoft.com/office/word/2010/wordprocessingShape">
                          <wps:wsp>
                            <wps:cNvSpPr/>
                            <wps:spPr>
                              <a:xfrm>
                                <a:off x="0" y="0"/>
                                <a:ext cx="783590" cy="276860"/>
                              </a:xfrm>
                              <a:prstGeom prst="rect">
                                <a:avLst/>
                              </a:prstGeom>
                              <a:noFill/>
                              <a:ln>
                                <a:noFill/>
                              </a:ln>
                            </wps:spPr>
                            <wps:txbx>
                              <w:txbxContent>
                                <w:p>
                                  <w:pPr>
                                    <w:rPr>
                                      <w:rFonts w:hint="eastAsia" w:eastAsiaTheme="minorEastAsia"/>
                                      <w:bCs/>
                                      <w:kern w:val="0"/>
                                      <w:sz w:val="18"/>
                                      <w:szCs w:val="18"/>
                                      <w:lang w:eastAsia="zh-CN"/>
                                    </w:rPr>
                                  </w:pPr>
                                  <w:r>
                                    <w:rPr>
                                      <w:rFonts w:hint="eastAsia"/>
                                      <w:bCs/>
                                      <w:kern w:val="0"/>
                                      <w:sz w:val="18"/>
                                      <w:szCs w:val="18"/>
                                    </w:rPr>
                                    <w:t>采样</w:t>
                                  </w:r>
                                  <w:r>
                                    <w:rPr>
                                      <w:rFonts w:hint="eastAsia"/>
                                      <w:bCs/>
                                      <w:kern w:val="0"/>
                                      <w:sz w:val="18"/>
                                      <w:szCs w:val="18"/>
                                      <w:lang w:val="en-US" w:eastAsia="zh-CN"/>
                                    </w:rPr>
                                    <w:t>频次</w:t>
                                  </w:r>
                                </w:p>
                              </w:txbxContent>
                            </wps:txbx>
                            <wps:bodyPr upright="1"/>
                          </wps:wsp>
                        </a:graphicData>
                      </a:graphic>
                    </wp:anchor>
                  </w:drawing>
                </mc:Choice>
                <mc:Fallback>
                  <w:pict>
                    <v:rect id="_x0000_s1026" o:spid="_x0000_s1026" o:spt="1" style="position:absolute;left:0pt;margin-left:46.85pt;margin-top:23.95pt;height:21.8pt;width:61.7pt;z-index:251720704;mso-width-relative:page;mso-height-relative:page;" filled="f" stroked="f" coordsize="21600,21600" o:gfxdata="UEsDBAoAAAAAAIdO4kAAAAAAAAAAAAAAAAAEAAAAZHJzL1BLAwQUAAAACACHTuJAOWwX4tkAAAAI&#10;AQAADwAAAGRycy9kb3ducmV2LnhtbE2Py07DMBBF90j8gzVIbBB1XB6hIU4XlRAVQqpIoWs3HpKI&#10;eJzGblL+nmEFy9G5uvdMvjy5Tow4hNaTBjVLQCBV3rZUa3jfPl0/gAjRkDWdJ9TwjQGWxflZbjLr&#10;J3rDsYy14BIKmdHQxNhnUoaqQWfCzPdIzD794Ezkc6ilHczE5a6T8yS5l860xAuN6XHVYPVVHp2G&#10;qdqMu+3rs9xc7daeDuvDqvx40fryQiWPICKe4l8YfvVZHQp22vsj2SA6DYublJMabtMFCOZzlSoQ&#10;ewbqDmSRy/8PFD9QSwMEFAAAAAgAh07iQIy8ZKajAQAAQgMAAA4AAABkcnMvZTJvRG9jLnhtbK1S&#10;S27bMBDdF8gdCO5r2i5qu4LlbIxkUzQB0h6ApiiLAH+YoS35NAWy6yF6nKLX6JBWnTbZZJENNTN8&#10;ejPvDdfXg7PsqAFN8DWfTaacaa9CY/y+5t++3rxfcYZJ+kba4HXNTxr59ebq3bqPlZ6HLthGAyMS&#10;j1Ufa96lFCshUHXaSZyEqD1dtgGcTJTCXjQge2J3Vsyn04XoAzQRgtKIVN2eL/nICK8hDG1rlN4G&#10;dXDapzMraCsTScLOROSbMm3bapXu2hZ1YrbmpDSVk5pQvMun2KxltQcZO6PGEeRrRnimyUnjqemF&#10;aiuTZAcwL6icURAwtGmighNnIcURUjGbPvPmoZNRFy1kNcaL6fh2tOrL8R6YaWq+XHDmpaON//7+&#10;49fPR0YFcqePWBHoId7DmCGFWerQgstfEsGG4ujp4qgeElNUXK4+fPxEXiu6mi8Xq0VxXDz9HAHT&#10;rQ6O5aDmQAsrPsrjZ0zUkKB/IbmXDzfG2rI06/8rEDBXRJ73PGGO0rAbxrF3oTmR1EMEs++o1Syr&#10;K3CytjQan0He3b95QT09/c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WwX4tkAAAAIAQAADwAA&#10;AAAAAAABACAAAAAiAAAAZHJzL2Rvd25yZXYueG1sUEsBAhQAFAAAAAgAh07iQIy8ZKajAQAAQgMA&#10;AA4AAAAAAAAAAQAgAAAAKAEAAGRycy9lMm9Eb2MueG1sUEsFBgAAAAAGAAYAWQEAAD0FAAAAAA==&#10;">
                      <v:fill on="f" focussize="0,0"/>
                      <v:stroke on="f"/>
                      <v:imagedata o:title=""/>
                      <o:lock v:ext="edit" aspectratio="f"/>
                      <v:textbox>
                        <w:txbxContent>
                          <w:p>
                            <w:pPr>
                              <w:rPr>
                                <w:rFonts w:hint="eastAsia" w:eastAsiaTheme="minorEastAsia"/>
                                <w:bCs/>
                                <w:kern w:val="0"/>
                                <w:sz w:val="18"/>
                                <w:szCs w:val="18"/>
                                <w:lang w:eastAsia="zh-CN"/>
                              </w:rPr>
                            </w:pPr>
                            <w:r>
                              <w:rPr>
                                <w:rFonts w:hint="eastAsia"/>
                                <w:bCs/>
                                <w:kern w:val="0"/>
                                <w:sz w:val="18"/>
                                <w:szCs w:val="18"/>
                              </w:rPr>
                              <w:t>采样</w:t>
                            </w:r>
                            <w:r>
                              <w:rPr>
                                <w:rFonts w:hint="eastAsia"/>
                                <w:bCs/>
                                <w:kern w:val="0"/>
                                <w:sz w:val="18"/>
                                <w:szCs w:val="18"/>
                                <w:lang w:val="en-US" w:eastAsia="zh-CN"/>
                              </w:rPr>
                              <w:t>频次</w:t>
                            </w:r>
                          </w:p>
                        </w:txbxContent>
                      </v:textbox>
                    </v:rect>
                  </w:pict>
                </mc:Fallback>
              </mc:AlternateContent>
            </w:r>
          </w:p>
        </w:tc>
        <w:tc>
          <w:tcPr>
            <w:tcW w:w="2872" w:type="dxa"/>
            <w:gridSpan w:val="2"/>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臭气浓度</w:t>
            </w:r>
          </w:p>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（无量纲）</w:t>
            </w:r>
          </w:p>
        </w:tc>
        <w:tc>
          <w:tcPr>
            <w:tcW w:w="2871" w:type="dxa"/>
            <w:noWrap w:val="0"/>
            <w:vAlign w:val="center"/>
          </w:tcPr>
          <w:p>
            <w:pPr>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臭气浓度</w:t>
            </w:r>
          </w:p>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厂界北侧</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G1</w:t>
            </w: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第四次</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厂界北侧</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G2</w:t>
            </w: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第四次</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厂界北侧</w:t>
            </w:r>
          </w:p>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G3</w:t>
            </w: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25"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595"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第四次</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厂界最大值</w:t>
            </w:r>
          </w:p>
        </w:tc>
        <w:tc>
          <w:tcPr>
            <w:tcW w:w="287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w:t>
            </w:r>
          </w:p>
        </w:tc>
        <w:tc>
          <w:tcPr>
            <w:tcW w:w="287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eastAsiaTheme="minorEastAsia"/>
                <w:kern w:val="0"/>
                <w:sz w:val="18"/>
                <w:szCs w:val="18"/>
                <w:lang w:val="en-US" w:eastAsia="zh-CN" w:bidi="ar"/>
              </w:rPr>
            </w:pPr>
            <w:r>
              <w:rPr>
                <w:rFonts w:hint="default" w:ascii="Times New Roman" w:hAnsi="Times New Roman" w:cs="Times New Roman"/>
                <w:bCs/>
                <w:kern w:val="0"/>
                <w:sz w:val="18"/>
                <w:szCs w:val="18"/>
              </w:rPr>
              <w:t>《工业涂装工序大气污染物排放标准》（DB 33/2146-2018）  表6</w:t>
            </w:r>
          </w:p>
        </w:tc>
        <w:tc>
          <w:tcPr>
            <w:tcW w:w="2872" w:type="dxa"/>
            <w:gridSpan w:val="2"/>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w:t>
            </w:r>
          </w:p>
        </w:tc>
        <w:tc>
          <w:tcPr>
            <w:tcW w:w="2871"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结果评价</w:t>
            </w:r>
          </w:p>
        </w:tc>
        <w:tc>
          <w:tcPr>
            <w:tcW w:w="2872" w:type="dxa"/>
            <w:gridSpan w:val="2"/>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c>
          <w:tcPr>
            <w:tcW w:w="2871"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720"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5743" w:type="dxa"/>
            <w:gridSpan w:val="3"/>
            <w:noWrap w:val="0"/>
            <w:tcMar>
              <w:left w:w="0" w:type="dxa"/>
              <w:right w:w="0" w:type="dxa"/>
            </w:tcMar>
            <w:vAlign w:val="center"/>
          </w:tcPr>
          <w:p>
            <w:pPr>
              <w:widowControl/>
              <w:adjustRightInd w:val="0"/>
              <w:snapToGrid w:val="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pPr>
              <w:widowControl/>
              <w:adjustRightInd w:val="0"/>
              <w:snapToGrid w:val="0"/>
              <w:ind w:firstLine="36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12月21日气象参数：天气：晴；气温：4.3-5.7℃；气压：102.73-103.2kPa；风向：北风；风速：1.5-1.7m/s。</w:t>
            </w:r>
          </w:p>
          <w:p>
            <w:pPr>
              <w:widowControl/>
              <w:adjustRightInd w:val="0"/>
              <w:snapToGrid w:val="0"/>
              <w:ind w:firstLine="360" w:firstLineChars="20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12月22日气象参数：天气：晴；气温：6.1-12.8℃；气压：103.0-103.70kPa；风向：北风；风速：1.3-1.6m/s。</w:t>
            </w:r>
          </w:p>
          <w:p>
            <w:pPr>
              <w:widowControl/>
              <w:adjustRightInd w:val="0"/>
              <w:snapToGrid w:val="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2、厂界东侧，南侧，西侧不具备采样条件，故未进行检测。</w:t>
            </w:r>
          </w:p>
        </w:tc>
      </w:tr>
    </w:tbl>
    <w:p>
      <w:pPr>
        <w:spacing w:line="360" w:lineRule="auto"/>
        <w:ind w:firstLine="211" w:firstLineChars="100"/>
        <w:jc w:val="center"/>
        <w:rPr>
          <w:rFonts w:ascii="Times New Roman" w:hAnsi="Times New Roman"/>
          <w:b/>
          <w:bCs/>
          <w:szCs w:val="21"/>
        </w:rPr>
      </w:pPr>
    </w:p>
    <w:p>
      <w:pPr>
        <w:spacing w:line="360" w:lineRule="auto"/>
        <w:ind w:firstLine="211" w:firstLineChars="100"/>
        <w:jc w:val="center"/>
        <w:rPr>
          <w:rFonts w:ascii="Times New Roman" w:hAnsi="Times New Roman"/>
          <w:b/>
          <w:bCs/>
          <w:szCs w:val="21"/>
        </w:rPr>
      </w:pPr>
    </w:p>
    <w:p>
      <w:pPr>
        <w:spacing w:line="360" w:lineRule="auto"/>
        <w:ind w:firstLine="211" w:firstLineChars="100"/>
        <w:jc w:val="center"/>
        <w:rPr>
          <w:rFonts w:ascii="Times New Roman" w:hAnsi="Times New Roman"/>
          <w:b/>
          <w:bCs/>
          <w:szCs w:val="21"/>
        </w:rPr>
      </w:pPr>
    </w:p>
    <w:p>
      <w:pPr>
        <w:spacing w:line="360" w:lineRule="auto"/>
        <w:ind w:firstLine="211" w:firstLineChars="100"/>
        <w:jc w:val="center"/>
        <w:rPr>
          <w:rFonts w:ascii="Times New Roman" w:hAnsi="Times New Roman"/>
          <w:b/>
          <w:bCs/>
          <w:szCs w:val="21"/>
        </w:rPr>
      </w:pPr>
    </w:p>
    <w:p>
      <w:pPr>
        <w:spacing w:line="360" w:lineRule="auto"/>
        <w:ind w:firstLine="211" w:firstLineChars="100"/>
        <w:jc w:val="center"/>
        <w:rPr>
          <w:rFonts w:ascii="Times New Roman" w:hAnsi="Times New Roman"/>
          <w:b/>
          <w:bCs/>
          <w:szCs w:val="21"/>
        </w:rPr>
      </w:pPr>
    </w:p>
    <w:p>
      <w:pPr>
        <w:rPr>
          <w:rFonts w:ascii="Times New Roman" w:hAnsi="Times New Roman"/>
          <w:b/>
          <w:bCs/>
          <w:szCs w:val="21"/>
        </w:rPr>
      </w:pPr>
      <w:r>
        <w:rPr>
          <w:rFonts w:ascii="Times New Roman" w:hAnsi="Times New Roman"/>
          <w:b/>
          <w:bCs/>
          <w:szCs w:val="21"/>
        </w:rPr>
        <w:br w:type="page"/>
      </w:r>
    </w:p>
    <w:p>
      <w:pPr>
        <w:spacing w:line="360" w:lineRule="auto"/>
        <w:ind w:firstLine="211" w:firstLineChars="100"/>
        <w:jc w:val="center"/>
        <w:rPr>
          <w:rFonts w:ascii="Times New Roman" w:hAnsi="Times New Roman"/>
          <w:b/>
          <w:bCs/>
          <w:szCs w:val="21"/>
        </w:rPr>
      </w:pPr>
      <w:r>
        <w:rPr>
          <w:rFonts w:ascii="Times New Roman" w:hAnsi="Times New Roman"/>
          <w:b/>
          <w:bCs/>
          <w:szCs w:val="21"/>
        </w:rPr>
        <w:t>表</w:t>
      </w:r>
      <w:r>
        <w:rPr>
          <w:rFonts w:hint="eastAsia" w:ascii="Times New Roman" w:hAnsi="Times New Roman"/>
          <w:b/>
          <w:bCs/>
          <w:szCs w:val="21"/>
        </w:rPr>
        <w:t xml:space="preserve"> </w:t>
      </w:r>
      <w:r>
        <w:rPr>
          <w:rFonts w:ascii="Times New Roman" w:hAnsi="Times New Roman"/>
          <w:b/>
          <w:bCs/>
          <w:szCs w:val="21"/>
        </w:rPr>
        <w:t>9</w:t>
      </w:r>
      <w:r>
        <w:rPr>
          <w:rFonts w:hint="eastAsia" w:ascii="Times New Roman" w:hAnsi="Times New Roman"/>
          <w:b/>
          <w:bCs/>
          <w:szCs w:val="21"/>
        </w:rPr>
        <w:t>.2.</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4</w:t>
      </w:r>
      <w:r>
        <w:rPr>
          <w:rFonts w:ascii="Times New Roman" w:hAnsi="Times New Roman"/>
          <w:b/>
          <w:bCs/>
          <w:szCs w:val="21"/>
        </w:rPr>
        <w:t xml:space="preserve"> 无组织废气监测结果</w:t>
      </w:r>
      <w:r>
        <w:rPr>
          <w:rFonts w:hint="eastAsia" w:ascii="Times New Roman" w:hAnsi="Times New Roman"/>
          <w:b/>
          <w:bCs/>
          <w:szCs w:val="21"/>
        </w:rPr>
        <w:t>（</w:t>
      </w:r>
      <w:r>
        <w:rPr>
          <w:rFonts w:hint="eastAsia" w:ascii="Times New Roman" w:hAnsi="Times New Roman"/>
          <w:b/>
          <w:bCs/>
          <w:szCs w:val="21"/>
          <w:lang w:val="en-US" w:eastAsia="zh-CN"/>
        </w:rPr>
        <w:t>4</w:t>
      </w:r>
      <w:r>
        <w:rPr>
          <w:rFonts w:hint="eastAsia" w:ascii="Times New Roman" w:hAnsi="Times New Roman"/>
          <w:b/>
          <w:bCs/>
          <w:szCs w:val="21"/>
        </w:rPr>
        <w:t>）</w:t>
      </w:r>
    </w:p>
    <w:tbl>
      <w:tblPr>
        <w:tblStyle w:val="31"/>
        <w:tblW w:w="81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31"/>
        <w:gridCol w:w="1191"/>
        <w:gridCol w:w="2839"/>
        <w:gridCol w:w="2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采样日期</w:t>
            </w:r>
          </w:p>
        </w:tc>
        <w:tc>
          <w:tcPr>
            <w:tcW w:w="28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2023年12月21日</w:t>
            </w:r>
          </w:p>
        </w:tc>
        <w:tc>
          <w:tcPr>
            <w:tcW w:w="258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72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100" w:lineRule="exact"/>
              <w:jc w:val="center"/>
              <w:textAlignment w:val="auto"/>
              <w:rPr>
                <w:rFonts w:hint="default" w:ascii="Times New Roman" w:hAnsi="Times New Roman" w:cs="Times New Roman"/>
                <w:bCs/>
                <w:kern w:val="0"/>
                <w:sz w:val="18"/>
                <w:szCs w:val="18"/>
                <w:lang w:val="en-US" w:eastAsia="zh-CN"/>
              </w:rPr>
            </w:pP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eastAsia="仿宋_GB2312" w:cs="Times New Roman"/>
                <w:b/>
                <w:sz w:val="24"/>
              </w:rPr>
              <mc:AlternateContent>
                <mc:Choice Requires="wps">
                  <w:drawing>
                    <wp:anchor distT="0" distB="0" distL="114300" distR="114300" simplePos="0" relativeHeight="251667456" behindDoc="0" locked="0" layoutInCell="1" allowOverlap="1">
                      <wp:simplePos x="0" y="0"/>
                      <wp:positionH relativeFrom="column">
                        <wp:posOffset>1144905</wp:posOffset>
                      </wp:positionH>
                      <wp:positionV relativeFrom="paragraph">
                        <wp:posOffset>129540</wp:posOffset>
                      </wp:positionV>
                      <wp:extent cx="783590" cy="237490"/>
                      <wp:effectExtent l="0" t="0" r="0" b="0"/>
                      <wp:wrapNone/>
                      <wp:docPr id="117" name="矩形 117"/>
                      <wp:cNvGraphicFramePr/>
                      <a:graphic xmlns:a="http://schemas.openxmlformats.org/drawingml/2006/main">
                        <a:graphicData uri="http://schemas.microsoft.com/office/word/2010/wordprocessingShape">
                          <wps:wsp>
                            <wps:cNvSpPr/>
                            <wps:spPr>
                              <a:xfrm>
                                <a:off x="0" y="0"/>
                                <a:ext cx="783590" cy="23749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upright="1"/>
                          </wps:wsp>
                        </a:graphicData>
                      </a:graphic>
                    </wp:anchor>
                  </w:drawing>
                </mc:Choice>
                <mc:Fallback>
                  <w:pict>
                    <v:rect id="_x0000_s1026" o:spid="_x0000_s1026" o:spt="1" style="position:absolute;left:0pt;margin-left:90.15pt;margin-top:10.2pt;height:18.7pt;width:61.7pt;z-index:251667456;mso-width-relative:page;mso-height-relative:page;" filled="f" stroked="f" coordsize="21600,21600" o:gfxdata="UEsDBAoAAAAAAIdO4kAAAAAAAAAAAAAAAAAEAAAAZHJzL1BLAwQUAAAACACHTuJAlx4HZ9kAAAAJ&#10;AQAADwAAAGRycy9kb3ducmV2LnhtbE2PQUvDQBCF74L/YRnBi9jdNmpDzKaHglhEKKba8zY7JsHs&#10;bJrdJvXfO570+JiP977JV2fXiRGH0HrSMJ8pEEiVty3VGt53T7cpiBANWdN5Qg3fGGBVXF7kJrN+&#10;ojccy1gLLqGQGQ1NjH0mZagadCbMfI/Et08/OBM5DrW0g5m43HVyodSDdKYlXmhMj+sGq6/y5DRM&#10;1Xbc716f5fZmv/F03BzX5ceL1tdXc/UIIuI5/sHwq8/qULDTwZ/IBtFxTlXCqIaFugPBQKKSJYiD&#10;hvtlCrLI5f8Pih9QSwMEFAAAAAgAh07iQNGtYqyjAQAARAMAAA4AAABkcnMvZTJvRG9jLnhtbK1S&#10;S27bMBDdF+gdCO5r2U5Tp4LlbIx0U6QB0hyApkiLAH+YoS35NAW66yF6nKLX6JBSnDTdZNENNT+9&#10;ee+R6+vBWXZUgCb4hi9mc86Ul6E1ft/wh6837644wyR8K2zwquEnhfx68/bNuo+1WoYu2FYBIxCP&#10;dR8b3qUU66pC2SkncBai8tTUAZxIlMK+akH0hO5stZzPP1R9gDZCkAqRqtuxySdEeA1g0NpItQ3y&#10;4JRPIyooKxJJws5E5JvCVmsl0xetUSVmG05KUzlpCcW7fFabtaj3IGJn5ERBvIbCC01OGE9Lz1Bb&#10;kQQ7gPkHyhkJAYNOMxlcNQopjpCKxfyFN/ediKpoIasxnk3H/wcrb493wExLL2Gx4swLR1f++9uP&#10;Xz+/s1whf/qINY3dxzuYMqQwix00uPwlGWwonp7OnqohMUnF1dXF5UdyW1JrebF6TzGhVE8/R8D0&#10;SQXHctBwoCsrTorjZ0zj6ONI3uXDjbGW6qK2/q8CYeZKlfmODHOUht0w0d6F9kRiDxHMvqNVi8Ik&#10;D5G5hdP0EPLtPc8L6NPj3/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x4HZ9kAAAAJAQAADwAA&#10;AAAAAAABACAAAAAiAAAAZHJzL2Rvd25yZXYueG1sUEsBAhQAFAAAAAgAh07iQNGtYqyjAQAARAMA&#10;AA4AAAAAAAAAAQAgAAAAKAEAAGRycy9lMm9Eb2MueG1sUEsFBgAAAAAGAAYAWQEAAD0FA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w:hAnsi="Times New Roman" w:cs="Times New Roman"/>
                <w:bCs/>
                <w:kern w:val="0"/>
                <w:sz w:val="18"/>
                <w:szCs w:val="18"/>
                <w:lang w:val="en-US" w:eastAsia="zh-CN"/>
              </w:rPr>
              <w:t>检测</w:t>
            </w:r>
            <w:r>
              <w:rPr>
                <w:rFonts w:hint="default" w:ascii="Times New Roman" w:hAnsi="Times New Roman" w:cs="Times New Roman"/>
                <w:bCs/>
                <w:kern w:val="0"/>
                <w:sz w:val="18"/>
                <w:szCs w:val="18"/>
              </w:rPr>
              <w:t>日期</w:t>
            </w:r>
          </w:p>
        </w:tc>
        <w:tc>
          <w:tcPr>
            <w:tcW w:w="28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2023年12月22日</w:t>
            </w:r>
          </w:p>
        </w:tc>
        <w:tc>
          <w:tcPr>
            <w:tcW w:w="258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2023年12月23日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
                <w:bCs/>
                <w:kern w:val="0"/>
                <w:szCs w:val="21"/>
              </w:rPr>
              <mc:AlternateContent>
                <mc:Choice Requires="wps">
                  <w:drawing>
                    <wp:anchor distT="0" distB="0" distL="114300" distR="114300" simplePos="0" relativeHeight="251662336" behindDoc="0" locked="0" layoutInCell="1" allowOverlap="1">
                      <wp:simplePos x="0" y="0"/>
                      <wp:positionH relativeFrom="column">
                        <wp:posOffset>6350</wp:posOffset>
                      </wp:positionH>
                      <wp:positionV relativeFrom="paragraph">
                        <wp:posOffset>8890</wp:posOffset>
                      </wp:positionV>
                      <wp:extent cx="1732915" cy="513715"/>
                      <wp:effectExtent l="1270" t="4445" r="18415" b="15240"/>
                      <wp:wrapNone/>
                      <wp:docPr id="116" name="直接箭头连接符 116"/>
                      <wp:cNvGraphicFramePr/>
                      <a:graphic xmlns:a="http://schemas.openxmlformats.org/drawingml/2006/main">
                        <a:graphicData uri="http://schemas.microsoft.com/office/word/2010/wordprocessingShape">
                          <wps:wsp>
                            <wps:cNvCnPr/>
                            <wps:spPr>
                              <a:xfrm>
                                <a:off x="0" y="0"/>
                                <a:ext cx="1732915" cy="5137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5pt;margin-top:0.7pt;height:40.45pt;width:136.45pt;z-index:251662336;mso-width-relative:page;mso-height-relative:page;" filled="f" stroked="t" coordsize="21600,21600" o:gfxdata="UEsDBAoAAAAAAIdO4kAAAAAAAAAAAAAAAAAEAAAAZHJzL1BLAwQUAAAACACHTuJABysixtYAAAAG&#10;AQAADwAAAGRycy9kb3ducmV2LnhtbE2PzU7DMBCE70i8g7WVuCBqJwXahjgVQuLAsT8SVzfeJqHx&#10;OoqdpvTp2Z7oaTSa1cy3+ersWnHCPjSeNCRTBQKp9LahSsNu+/m0ABGiIWtaT6jhFwOsivu73GTW&#10;j7TG0yZWgksoZEZDHWOXSRnKGp0JU98hcXbwvTORbV9J25uRy10rU6VepTMN8UJtOvyosTxuBqcB&#10;w/CSqPelq3Zfl/HxO738jN1W64dJot5ARDzH/2O44jM6FMy09wPZIFr2/ElkeQbBaTqfLUHsNSzS&#10;Gcgil7f4xR9QSwMEFAAAAAgAh07iQIrBPL4DAgAA9QMAAA4AAABkcnMvZTJvRG9jLnhtbK1TzW4T&#10;MRC+I/EOlu9ks6nS0lU2PSSUC4JIwAM4tnfXkv/kcbPJS/ACSJyAE/TUO09D28dg7A0plEsO7ME7&#10;9sx8M9/n8exiazTZyADK2ZqWozEl0nInlG1r+v7d5bPnlEBkVjDtrKzpTgK9mD99Mut9JSeuc1rI&#10;QBDEQtX7mnYx+qoogHfSMBg5Ly06GxcMi7gNbSEC6xHd6GIyHp8WvQvCB8clAJ4uByfdI4ZjAF3T&#10;KC6Xjl8ZaeOAGqRmESlBpzzQee62aSSPb5oGZCS6psg05hWLoL1OazGfsaoNzHeK71tgx7TwiJNh&#10;ymLRA9SSRUaugvoHyigeHLgmjrgzxUAkK4IsyvEjbd52zMvMBaUGfxAd/h8sf71ZBaIETkJ5Soll&#10;Bq/87uPN7Ycvd9fff36+uf/xKdnfvpIUgHL1HirMWthV2O/Ar0Livm2CSX9kRbZZ4t1BYrmNhONh&#10;eXYyOS+nlHD0TcuTM7QRpnjI9gHiS+kMSUZNIQam2i4unLV4my6UWWe2eQVxSPydkEprS/qank8n&#10;qQLD6WxwKtA0HhmCbXMuOK3EpdI6ZUBo1wsdyIalCcnfvqG/wlKRJYNuiMuuFMaqTjLxwgoSdx6V&#10;s/hkaGrBSEGJlvjCkpUjI1P6mEjUQluUJAk9SJustRO7rHg+x2nIou0nN43bn/uc/fBa5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ysixtYAAAAGAQAADwAAAAAAAAABACAAAAAiAAAAZHJzL2Rv&#10;d25yZXYueG1sUEsBAhQAFAAAAAgAh07iQIrBPL4DAgAA9QMAAA4AAAAAAAAAAQAgAAAAJQEAAGRy&#10;cy9lMm9Eb2MueG1sUEsFBgAAAAAGAAYAWQEAAJoFA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12065</wp:posOffset>
                      </wp:positionV>
                      <wp:extent cx="709295" cy="505460"/>
                      <wp:effectExtent l="2540" t="3810" r="12065" b="5080"/>
                      <wp:wrapNone/>
                      <wp:docPr id="118" name="直接箭头连接符 118"/>
                      <wp:cNvGraphicFramePr/>
                      <a:graphic xmlns:a="http://schemas.openxmlformats.org/drawingml/2006/main">
                        <a:graphicData uri="http://schemas.microsoft.com/office/word/2010/wordprocessingShape">
                          <wps:wsp>
                            <wps:cNvCnPr/>
                            <wps:spPr>
                              <a:xfrm>
                                <a:off x="0" y="0"/>
                                <a:ext cx="709295" cy="5054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6pt;margin-top:0.95pt;height:39.8pt;width:55.85pt;z-index:251664384;mso-width-relative:page;mso-height-relative:page;" filled="f" stroked="t" coordsize="21600,21600" o:gfxdata="UEsDBAoAAAAAAIdO4kAAAAAAAAAAAAAAAAAEAAAAZHJzL1BLAwQUAAAACACHTuJAmLWFc9MAAAAG&#10;AQAADwAAAGRycy9kb3ducmV2LnhtbE2OwW7CMBBE75X4B2sr9VKB7UhUkMZBqFIPPRaQuJp4SdLG&#10;6yh2COXru5za085oRrOv2Fx9Jy44xDaQAb1QIJCq4FqqDRz27/MViJgsOdsFQgM/GGFTzh4Km7sw&#10;0SdedqkWPEIxtwaalPpcylg16G1chB6Js3MYvE1sh1q6wU487juZKfUivW2JPzS2x7cGq+/d6A1g&#10;HJdabde+Pnzcpudjdvua+r0xT49avYJIeE1/ZbjjMzqUzHQKI7koOvYZF/msQdxTnbE4GVjpJciy&#10;kP/xy19QSwMEFAAAAAgAh07iQDdUiDkEAgAA9AMAAA4AAABkcnMvZTJvRG9jLnhtbK1TzY7TMBC+&#10;I/EOlu80aUUXGjXdQ8tyQVAJeADXdhJL/pPH27QvwQsgcQJOsKe98zTs7mMwdkoXlksP5OCM7Zlv&#10;5vtmPD/fGU22MoBytqbjUUmJtNwJZduavn938eQ5JRCZFUw7K2u6l0DPF48fzXtfyYnrnBYyEASx&#10;UPW+pl2MvioK4J00DEbOS4uXjQuGRdyGthCB9YhudDEpy7Oid0H44LgEwNPVcEkPiOEUQNc0isuV&#10;45dG2jigBqlZRErQKQ90kattGsnjm6YBGYmuKTKNecUkaG/SWizmrGoD853ihxLYKSU84GSYspj0&#10;CLVikZHLoP6BMooHB66JI+5MMRDJiiCLcflAm7cd8zJzQanBH0WH/wfLX2/XgSiBkzDGxltmsOW3&#10;H69vPny5vfr+8/P13Y9Pyf72lSQHlKv3UGHU0q7DYQd+HRL3XRNM+iMrsssS748Sy10kHA+flbPJ&#10;bEoJx6tpOX16lltQ3Af7APGldIYko6YQA1NtF5fOWmymC+MsM9u+gojpMfB3QMqsLelrOptOUgaG&#10;w9ngUKBpPBIE2+ZYcFqJC6V1ioDQbpY6kC1LA5K/RBJx/3JLSVYMusEvXw2j00kmXlhB4t6jcBZf&#10;DE0lGCko0RIfWLIQkFWRKX2KJ6bWFitIOg/KJmvjxD4Lns9xGHKNh8FN0/bnPkffP9b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i1hXPTAAAABgEAAA8AAAAAAAAAAQAgAAAAIgAAAGRycy9kb3du&#10;cmV2LnhtbFBLAQIUABQAAAAIAIdO4kA3VIg5BAIAAPQDAAAOAAAAAAAAAAEAIAAAACIBAABkcnMv&#10;ZTJvRG9jLnhtbFBLBQYAAAAABgAGAFkBAACYBQ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mc:AlternateContent>
                <mc:Choice Requires="wps">
                  <w:drawing>
                    <wp:anchor distT="0" distB="0" distL="114300" distR="114300" simplePos="0" relativeHeight="251663360" behindDoc="0" locked="0" layoutInCell="1" allowOverlap="1">
                      <wp:simplePos x="0" y="0"/>
                      <wp:positionH relativeFrom="column">
                        <wp:posOffset>3175</wp:posOffset>
                      </wp:positionH>
                      <wp:positionV relativeFrom="paragraph">
                        <wp:posOffset>-5080</wp:posOffset>
                      </wp:positionV>
                      <wp:extent cx="1732915" cy="260985"/>
                      <wp:effectExtent l="635" t="4445" r="19050" b="20320"/>
                      <wp:wrapNone/>
                      <wp:docPr id="119" name="直接箭头连接符 119"/>
                      <wp:cNvGraphicFramePr/>
                      <a:graphic xmlns:a="http://schemas.openxmlformats.org/drawingml/2006/main">
                        <a:graphicData uri="http://schemas.microsoft.com/office/word/2010/wordprocessingShape">
                          <wps:wsp>
                            <wps:cNvCnPr/>
                            <wps:spPr>
                              <a:xfrm>
                                <a:off x="0" y="0"/>
                                <a:ext cx="1732915" cy="2609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25pt;margin-top:-0.4pt;height:20.55pt;width:136.45pt;z-index:251663360;mso-width-relative:page;mso-height-relative:page;" filled="f" stroked="t" coordsize="21600,21600" o:gfxdata="UEsDBAoAAAAAAIdO4kAAAAAAAAAAAAAAAAAEAAAAZHJzL1BLAwQUAAAACACHTuJAVW4OmdUAAAAF&#10;AQAADwAAAGRycy9kb3ducmV2LnhtbE3Oy27CMBAF0D1S/8GaSt2gYidAHyETVFXqgiUPqVsTT5OU&#10;eBzFDqF8fc2qXY7u1Z2Try+2FWfqfeMYIZkpEMSlMw1XCIf9x+MLCB80G906JoQf8rAu7ia5zowb&#10;eUvnXahEHGGfaYQ6hC6T0pc1We1nriOO2ZfrrQ7x7Ctpej3GcdvKVKknaXXD8UOtO3qvqTztBotA&#10;flgm6u3VVofNdZx+ptfvsdsjPtwnagUi0CX8leHGj3QoounoBjZetAjL2EO48WOYPs8XII4ICzUH&#10;WeTyv774BVBLAwQUAAAACACHTuJAKU/b0QMCAAD1AwAADgAAAGRycy9lMm9Eb2MueG1srVPNjtMw&#10;EL4j8Q6W7zRNUZdt1HQPLcsFQSXYB3BtJ7HkP3m8TfsSvAASJ+AEnPbO07DLYzB2SheWSw/k4Iw9&#10;M9/M93k8v9gZTbYygHK2puVoTIm03All25pevb18ck4JRGYF087Kmu4l0IvF40fz3ldy4jqnhQwE&#10;QSxUva9pF6OvigJ4Jw2DkfPSorNxwbCI29AWIrAe0Y0uJuPxWdG7IHxwXALg6Wpw0gNiOAXQNY3i&#10;cuX4tZE2DqhBahaREnTKA13kbptG8vi6aUBGomuKTGNesQjam7QWizmr2sB8p/ihBXZKCw84GaYs&#10;Fj1CrVhk5Dqof6CM4sGBa+KIO1MMRLIiyKIcP9DmTce8zFxQavBH0eH/wfJX23UgSuAklDNKLDN4&#10;5Xfvb27ffbr79vXHx5uf3z8k+8tnkgJQrt5DhVlLuw6HHfh1SNx3TTDpj6zILku8P0osd5FwPCyf&#10;PZ3MyiklHH2Ts/HsfJpAi/tsHyC+kM6QZNQUYmCq7eLSWYu36UKZdWbblxCHxN8JqbS2pK/pbDpJ&#10;FRhOZ4NTgabxyBBsm3PBaSUuldYpA0K7WepAtixNSP4ODf0VloqsGHRDXHalMFZ1konnVpC496ic&#10;xSdDUwtGCkq0xBeWrBwZmdKnRKIW2qIkSehB2mRtnNhnxfM5TkMW7TC5adz+3Ofs+9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bg6Z1QAAAAUBAAAPAAAAAAAAAAEAIAAAACIAAABkcnMvZG93&#10;bnJldi54bWxQSwECFAAUAAAACACHTuJAKU/b0QMCAAD1AwAADgAAAAAAAAABACAAAAAk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cs="Times New Roman"/>
                <w:bCs/>
                <w:kern w:val="0"/>
                <w:sz w:val="18"/>
                <w:szCs w:val="18"/>
              </w:rPr>
              <w:t xml:space="preserve">  </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eastAsia="华文中宋" w:cs="Times New Roman"/>
                <w:b/>
                <w:spacing w:val="227"/>
                <w:sz w:val="30"/>
                <w:szCs w:val="30"/>
                <w:lang w:val="zh-CN"/>
              </w:rPr>
              <mc:AlternateContent>
                <mc:Choice Requires="wps">
                  <w:drawing>
                    <wp:anchor distT="0" distB="0" distL="114300" distR="114300" simplePos="0" relativeHeight="251666432" behindDoc="0" locked="0" layoutInCell="1" allowOverlap="1">
                      <wp:simplePos x="0" y="0"/>
                      <wp:positionH relativeFrom="column">
                        <wp:posOffset>1116965</wp:posOffset>
                      </wp:positionH>
                      <wp:positionV relativeFrom="paragraph">
                        <wp:posOffset>20955</wp:posOffset>
                      </wp:positionV>
                      <wp:extent cx="783590" cy="255270"/>
                      <wp:effectExtent l="0" t="0" r="0" b="0"/>
                      <wp:wrapNone/>
                      <wp:docPr id="115" name="矩形 115"/>
                      <wp:cNvGraphicFramePr/>
                      <a:graphic xmlns:a="http://schemas.openxmlformats.org/drawingml/2006/main">
                        <a:graphicData uri="http://schemas.microsoft.com/office/word/2010/wordprocessingShape">
                          <wps:wsp>
                            <wps:cNvSpPr/>
                            <wps:spPr>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upright="1"/>
                          </wps:wsp>
                        </a:graphicData>
                      </a:graphic>
                    </wp:anchor>
                  </w:drawing>
                </mc:Choice>
                <mc:Fallback>
                  <w:pict>
                    <v:rect id="_x0000_s1026" o:spid="_x0000_s1026" o:spt="1" style="position:absolute;left:0pt;margin-left:87.95pt;margin-top:1.65pt;height:20.1pt;width:61.7pt;z-index:251666432;mso-width-relative:page;mso-height-relative:page;" filled="f" stroked="f" coordsize="21600,21600" o:gfxdata="UEsDBAoAAAAAAIdO4kAAAAAAAAAAAAAAAAAEAAAAZHJzL1BLAwQUAAAACACHTuJA167aPtoAAAAI&#10;AQAADwAAAGRycy9kb3ducmV2LnhtbE2PwU7DMBBE70j8g7VIXFDrtKFAQpweKiEqVKkiLT278ZJE&#10;xOs0dpPy9ywnuO1oRrNvsuXFtmLA3jeOFMymEQik0pmGKgX73cvkCYQPmoxuHaGCb/SwzK+vMp0a&#10;N9I7DkWoBJeQT7WCOoQuldKXNVrtp65DYu/T9VYHln0lTa9HLretnEfRg7S6If5Q6w5XNZZfxdkq&#10;GMvtcNhtXuX27rB2dFqfVsXHm1K3N7PoGUTAS/gLwy8+o0POTEd3JuNFy/pxkXBUQRyDYH+eJHwc&#10;FdzHC5B5Jv8PyH8AUEsDBBQAAAAIAIdO4kDY1BPnowEAAEQDAAAOAAAAZHJzL2Uyb0RvYy54bWyt&#10;UkuOEzEQ3SNxB8t74iQozNBKZzbRsEEw0sABHLedtuSfqpx05zRI7DgEx0Fcg7LTZGBmM4vZuOvX&#10;r+q9qvXN6B07akAbQ8sXszlnOqjY2bBv+dcvt2+uOcMsQyddDLrlJ438ZvP61XpIjV7GPrpOAyOQ&#10;gM2QWt7nnBohUPXaS5zFpAMlTQQvM7mwFx3IgdC9E8v5/J0YInQJotKIFN2ek3xChOcARmOs0tuo&#10;Dl6HfEYF7WQmStjbhHxTpzVGq/zZGNSZuZYT01xfakL2rrxis5bNHmTqrZpGkM8Z4REnL22gpheo&#10;rcySHcA+gfJWQcRo8kxFL85EqiLEYjF/pM19L5OuXEhqTBfR8eVg1afjHTDb0SUsVpwF6Wnlv7/9&#10;+PXzOysR0mdI2FDZfbqDyUMyC9nRgC9fosHGqunpoqkeM1MUvLp+u3pPaitKLVer5VXVXDz8nADz&#10;Bx09K0bLgVZWlZTHj5ipIZX+LSm9Qry1ztW1ufBfgApLRJR5zxMWK4+7cRp7F7sTkT0ksPueWi0K&#10;u1pO4tZG0yGU7f3r16qH49/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eu2j7aAAAACAEAAA8A&#10;AAAAAAAAAQAgAAAAIgAAAGRycy9kb3ducmV2LnhtbFBLAQIUABQAAAAIAIdO4kDY1BPnowEAAEQD&#10;AAAOAAAAAAAAAAEAIAAAACkBAABkcnMvZTJvRG9jLnhtbFBLBQYAAAAABgAGAFkBAAA+BQ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65408" behindDoc="0" locked="0" layoutInCell="1" allowOverlap="1">
                      <wp:simplePos x="0" y="0"/>
                      <wp:positionH relativeFrom="column">
                        <wp:posOffset>576580</wp:posOffset>
                      </wp:positionH>
                      <wp:positionV relativeFrom="paragraph">
                        <wp:posOffset>130810</wp:posOffset>
                      </wp:positionV>
                      <wp:extent cx="783590" cy="281940"/>
                      <wp:effectExtent l="0" t="0" r="0" b="0"/>
                      <wp:wrapNone/>
                      <wp:docPr id="120" name="矩形 120"/>
                      <wp:cNvGraphicFramePr/>
                      <a:graphic xmlns:a="http://schemas.openxmlformats.org/drawingml/2006/main">
                        <a:graphicData uri="http://schemas.microsoft.com/office/word/2010/wordprocessingShape">
                          <wps:wsp>
                            <wps:cNvSpPr/>
                            <wps:spPr>
                              <a:xfrm>
                                <a:off x="0" y="0"/>
                                <a:ext cx="783590" cy="281940"/>
                              </a:xfrm>
                              <a:prstGeom prst="rect">
                                <a:avLst/>
                              </a:prstGeom>
                              <a:noFill/>
                              <a:ln>
                                <a:noFill/>
                              </a:ln>
                            </wps:spPr>
                            <wps:txbx>
                              <w:txbxContent>
                                <w:p>
                                  <w:pPr>
                                    <w:rPr>
                                      <w:bCs/>
                                      <w:kern w:val="0"/>
                                      <w:sz w:val="18"/>
                                      <w:szCs w:val="18"/>
                                    </w:rPr>
                                  </w:pPr>
                                  <w:r>
                                    <w:rPr>
                                      <w:rFonts w:hint="eastAsia"/>
                                      <w:bCs/>
                                      <w:kern w:val="0"/>
                                      <w:sz w:val="18"/>
                                      <w:szCs w:val="18"/>
                                    </w:rPr>
                                    <w:t>采样频次</w:t>
                                  </w:r>
                                </w:p>
                              </w:txbxContent>
                            </wps:txbx>
                            <wps:bodyPr upright="1"/>
                          </wps:wsp>
                        </a:graphicData>
                      </a:graphic>
                    </wp:anchor>
                  </w:drawing>
                </mc:Choice>
                <mc:Fallback>
                  <w:pict>
                    <v:rect id="_x0000_s1026" o:spid="_x0000_s1026" o:spt="1" style="position:absolute;left:0pt;margin-left:45.4pt;margin-top:10.3pt;height:22.2pt;width:61.7pt;z-index:251665408;mso-width-relative:page;mso-height-relative:page;" filled="f" stroked="f" coordsize="21600,21600" o:gfxdata="UEsDBAoAAAAAAIdO4kAAAAAAAAAAAAAAAAAEAAAAZHJzL1BLAwQUAAAACACHTuJArEb+j9gAAAAI&#10;AQAADwAAAGRycy9kb3ducmV2LnhtbE2PQUvDQBSE74L/YXmCF7G7CRo05qWHglhEKE215232mQSz&#10;b9PsNqn/3vWkx2GGmW+K5dn2YqLRd44RkoUCQVw703GD8L57vn0A4YNmo3vHhPBNHpbl5UWhc+Nm&#10;3tJUhUbEEva5RmhDGHIpfd2S1X7hBuLofbrR6hDl2Egz6jmW216mSmXS6o7jQqsHWrVUf1UnizDX&#10;m2m/e3uRm5v92vFxfVxVH6+I11eJegIR6Bz+wvCLH9GhjEwHd2LjRY/wqCJ5QEhVBiL6aXKXgjgg&#10;ZPcKZFnI/wfKH1BLAwQUAAAACACHTuJAubq7V6IBAABEAwAADgAAAGRycy9lMm9Eb2MueG1srVJL&#10;jhMxEN0jcQfLe+Ik/DKtdGYTDRsEIw0cwHHbaUv+qcpJd06DxI5DcBzENSg7TQZmNrOYjbt+/are&#10;q1pfj96xowa0MbR8MZtzpoOKnQ37ln/9cvNqxRlmGTrpYtAtP2nk15uXL9ZDavQy9tF1GhiBBGyG&#10;1PI+59QIgarXXuIsJh0oaSJ4mcmFvehADoTunVjO5+/EEKFLEJVGpOj2nOQTIjwFMBpjld5GdfA6&#10;5DMqaCczUcLeJuSbOq0xWuXPxqDOzLWcmOb6UhOyd+UVm7Vs9iBTb9U0gnzKCA84eWkDNb1AbWWW&#10;7AD2EZS3CiJGk2cqenEmUhUhFov5A23uepl05UJSY7qIjs8Hqz4db4HZji5hSZoE6Wnlv7/9+PXz&#10;OysR0mdI2FDZXbqFyUMyC9nRgC9fosHGqunpoqkeM1MUfL96/faKkBWllqvF1ZuKKe5/ToD5g46e&#10;FaPlQCurSsrjR8zUkEr/lpReId5Y5+raXPgvQIUlIsq85wmLlcfdOI29i92JyB4S2H1PrRaFXS0n&#10;cWuj6RDK9v71a9X98W/+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KxG/o/YAAAACAEAAA8AAAAA&#10;AAAAAQAgAAAAIgAAAGRycy9kb3ducmV2LnhtbFBLAQIUABQAAAAIAIdO4kC5urtXogEAAEQDAAAO&#10;AAAAAAAAAAEAIAAAACcBAABkcnMvZTJvRG9jLnhtbFBLBQYAAAAABgAGAFkBAAA7BQAAAAA=&#10;">
                      <v:fill on="f" focussize="0,0"/>
                      <v:stroke on="f"/>
                      <v:imagedata o:title=""/>
                      <o:lock v:ext="edit" aspectratio="f"/>
                      <v:textbox>
                        <w:txbxContent>
                          <w:p>
                            <w:pPr>
                              <w:rPr>
                                <w:bCs/>
                                <w:kern w:val="0"/>
                                <w:sz w:val="18"/>
                                <w:szCs w:val="18"/>
                              </w:rPr>
                            </w:pPr>
                            <w:r>
                              <w:rPr>
                                <w:rFonts w:hint="eastAsia"/>
                                <w:bCs/>
                                <w:kern w:val="0"/>
                                <w:sz w:val="18"/>
                                <w:szCs w:val="18"/>
                              </w:rPr>
                              <w:t>采样频次</w:t>
                            </w:r>
                          </w:p>
                        </w:txbxContent>
                      </v:textbox>
                    </v:rect>
                  </w:pict>
                </mc:Fallback>
              </mc:AlternateContent>
            </w:r>
            <w:r>
              <w:rPr>
                <w:rFonts w:hint="default" w:ascii="Times New Roman" w:hAnsi="Times New Roman" w:cs="Times New Roman"/>
                <w:b/>
                <w:bCs/>
                <w:kern w:val="0"/>
                <w:szCs w:val="21"/>
              </w:rPr>
              <mc:AlternateContent>
                <mc:Choice Requires="wps">
                  <w:drawing>
                    <wp:anchor distT="0" distB="0" distL="114300" distR="114300" simplePos="0" relativeHeight="251668480" behindDoc="0" locked="0" layoutInCell="1" allowOverlap="1">
                      <wp:simplePos x="0" y="0"/>
                      <wp:positionH relativeFrom="column">
                        <wp:posOffset>-40640</wp:posOffset>
                      </wp:positionH>
                      <wp:positionV relativeFrom="paragraph">
                        <wp:posOffset>158115</wp:posOffset>
                      </wp:positionV>
                      <wp:extent cx="783590" cy="265430"/>
                      <wp:effectExtent l="0" t="0" r="0" b="0"/>
                      <wp:wrapNone/>
                      <wp:docPr id="121" name="矩形 121"/>
                      <wp:cNvGraphicFramePr/>
                      <a:graphic xmlns:a="http://schemas.openxmlformats.org/drawingml/2006/main">
                        <a:graphicData uri="http://schemas.microsoft.com/office/word/2010/wordprocessingShape">
                          <wps:wsp>
                            <wps:cNvSpPr/>
                            <wps:spPr>
                              <a:xfrm>
                                <a:off x="0" y="0"/>
                                <a:ext cx="783590" cy="265430"/>
                              </a:xfrm>
                              <a:prstGeom prst="rect">
                                <a:avLst/>
                              </a:prstGeom>
                              <a:noFill/>
                              <a:ln>
                                <a:noFill/>
                              </a:ln>
                            </wps:spPr>
                            <wps:txbx>
                              <w:txbxContent>
                                <w:p>
                                  <w:pPr>
                                    <w:rPr>
                                      <w:bCs/>
                                      <w:kern w:val="0"/>
                                      <w:sz w:val="18"/>
                                      <w:szCs w:val="18"/>
                                    </w:rPr>
                                  </w:pPr>
                                  <w:r>
                                    <w:rPr>
                                      <w:rFonts w:hint="eastAsia"/>
                                      <w:bCs/>
                                      <w:kern w:val="0"/>
                                      <w:sz w:val="18"/>
                                      <w:szCs w:val="18"/>
                                    </w:rPr>
                                    <w:t>采样点位</w:t>
                                  </w:r>
                                </w:p>
                              </w:txbxContent>
                            </wps:txbx>
                            <wps:bodyPr upright="1"/>
                          </wps:wsp>
                        </a:graphicData>
                      </a:graphic>
                    </wp:anchor>
                  </w:drawing>
                </mc:Choice>
                <mc:Fallback>
                  <w:pict>
                    <v:rect id="_x0000_s1026" o:spid="_x0000_s1026" o:spt="1" style="position:absolute;left:0pt;margin-left:-3.2pt;margin-top:12.45pt;height:20.9pt;width:61.7pt;z-index:251668480;mso-width-relative:page;mso-height-relative:page;" filled="f" stroked="f" coordsize="21600,21600" o:gfxdata="UEsDBAoAAAAAAIdO4kAAAAAAAAAAAAAAAAAEAAAAZHJzL1BLAwQUAAAACACHTuJAokFBW9kAAAAI&#10;AQAADwAAAGRycy9kb3ducmV2LnhtbE2PQWvCQBSE74X+h+UVeim6iUisMS8ehFIpBTG2ntfsaxKa&#10;fRuza2L/fddTexxmmPkmW19NKwbqXWMZIZ5GIIhLqxuuED4OL5NnEM4r1qq1TAg/5GCd399lKtV2&#10;5D0Nha9EKGGXKoTa+y6V0pU1GeWmtiMO3pftjfJB9pXUvRpDuWnlLIoSaVTDYaFWHW1qKr+Li0EY&#10;y91wPLy/yt3TcWv5vD1vis83xMeHOFqB8HT1f2G44Qd0yAPTyV5YO9EiTJJ5SCLM5ksQNz9ehG8n&#10;hCRZgMwz+f9A/gtQSwMEFAAAAAgAh07iQNg38AmiAQAARAMAAA4AAABkcnMvZTJvRG9jLnhtbK1S&#10;zW4TMRC+I/EOlu/ESUpLu8qml6hcEFQqPIDjtbOW/KcZJ7t5GiRuPASPg3gNxs6SQnvpgYt3/vab&#10;+b6Z1e3oHTtoQBtDyxezOWc6qNjZsGv5l893b645wyxDJ10MuuVHjfx2/frVakiNXsY+uk4DI5CA&#10;zZBa3uecGiFQ9dpLnMWkAyVNBC8zubATHciB0L0Ty/n8SgwRugRRaUSKbk5JPiHCSwCjMVbpTVR7&#10;r0M+oYJ2MhMl7G1Cvq7TGqNV/mQM6sxcy4lpri81IXtbXrFeyWYHMvVWTSPIl4zwhJOXNlDTM9RG&#10;Zsn2YJ9BeasgYjR5pqIXJyJVEWKxmD/R5qGXSVcuJDWms+j4/2DVx8M9MNvRJSwXnAXpaeW/vn7/&#10;+eMbKxHSZ0jYUNlDuofJQzIL2dGAL1+iwcaq6fGsqR4zUxR8d31xeUNqK0otry7fXlTNxePPCTC/&#10;19GzYrQcaGVVSXn4gJkaUumfktIrxDvrXF2bC/8EqLBERJn3NGGx8rgdp7G3sTsS2X0Cu+upVWVX&#10;y0nc2mg6hLK9v/0K+nj8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iQUFb2QAAAAgBAAAPAAAA&#10;AAAAAAEAIAAAACIAAABkcnMvZG93bnJldi54bWxQSwECFAAUAAAACACHTuJA2DfwCaIBAABEAwAA&#10;DgAAAAAAAAABACAAAAAoAQAAZHJzL2Uyb0RvYy54bWxQSwUGAAAAAAYABgBZAQAAPAUAAAAA&#10;">
                      <v:fill on="f" focussize="0,0"/>
                      <v:stroke on="f"/>
                      <v:imagedata o:title=""/>
                      <o:lock v:ext="edit" aspectratio="f"/>
                      <v:textbox>
                        <w:txbxContent>
                          <w:p>
                            <w:pPr>
                              <w:rPr>
                                <w:bCs/>
                                <w:kern w:val="0"/>
                                <w:sz w:val="18"/>
                                <w:szCs w:val="18"/>
                              </w:rPr>
                            </w:pPr>
                            <w:r>
                              <w:rPr>
                                <w:rFonts w:hint="eastAsia"/>
                                <w:bCs/>
                                <w:kern w:val="0"/>
                                <w:sz w:val="18"/>
                                <w:szCs w:val="18"/>
                              </w:rPr>
                              <w:t>采样点位</w:t>
                            </w:r>
                          </w:p>
                        </w:txbxContent>
                      </v:textbox>
                    </v:rect>
                  </w:pict>
                </mc:Fallback>
              </mc:AlternateContent>
            </w:r>
          </w:p>
        </w:tc>
        <w:tc>
          <w:tcPr>
            <w:tcW w:w="2839"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非甲烷总烃（mg/m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c>
          <w:tcPr>
            <w:tcW w:w="2588"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非甲烷总烃（mg/m</w:t>
            </w:r>
            <w:r>
              <w:rPr>
                <w:rFonts w:hint="default" w:ascii="Times New Roman" w:hAnsi="Times New Roman" w:cs="Times New Roman"/>
                <w:bCs/>
                <w:kern w:val="0"/>
                <w:sz w:val="18"/>
                <w:szCs w:val="18"/>
                <w:vertAlign w:val="superscript"/>
              </w:rPr>
              <w:t>3</w:t>
            </w:r>
            <w:r>
              <w:rPr>
                <w:rFonts w:hint="default" w:ascii="Times New Roman" w:hAnsi="Times New Roman"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1531" w:type="dxa"/>
            <w:vMerge w:val="restart"/>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lang w:val="en-US" w:eastAsia="zh-CN"/>
              </w:rPr>
              <w:t>喷漆</w:t>
            </w:r>
            <w:r>
              <w:rPr>
                <w:rFonts w:hint="default" w:ascii="Times New Roman" w:hAnsi="Times New Roman" w:cs="Times New Roman"/>
                <w:bCs/>
                <w:kern w:val="0"/>
                <w:sz w:val="18"/>
                <w:szCs w:val="18"/>
              </w:rPr>
              <w:t>车间</w:t>
            </w:r>
            <w:r>
              <w:rPr>
                <w:rFonts w:hint="default" w:ascii="Times New Roman" w:hAnsi="Times New Roman" w:cs="Times New Roman"/>
                <w:bCs/>
                <w:kern w:val="0"/>
                <w:sz w:val="18"/>
                <w:szCs w:val="18"/>
                <w:lang w:val="en-US" w:eastAsia="zh-CN"/>
              </w:rPr>
              <w:t>外</w:t>
            </w:r>
          </w:p>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G4</w:t>
            </w:r>
          </w:p>
        </w:tc>
        <w:tc>
          <w:tcPr>
            <w:tcW w:w="119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第一次</w:t>
            </w:r>
          </w:p>
        </w:tc>
        <w:tc>
          <w:tcPr>
            <w:tcW w:w="28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1.86</w:t>
            </w:r>
          </w:p>
        </w:tc>
        <w:tc>
          <w:tcPr>
            <w:tcW w:w="258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1531"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19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第二次</w:t>
            </w:r>
          </w:p>
        </w:tc>
        <w:tc>
          <w:tcPr>
            <w:tcW w:w="28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1.67</w:t>
            </w:r>
          </w:p>
        </w:tc>
        <w:tc>
          <w:tcPr>
            <w:tcW w:w="258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1531"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19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第三次</w:t>
            </w:r>
          </w:p>
        </w:tc>
        <w:tc>
          <w:tcPr>
            <w:tcW w:w="28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1.89</w:t>
            </w:r>
          </w:p>
        </w:tc>
        <w:tc>
          <w:tcPr>
            <w:tcW w:w="258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1531" w:type="dxa"/>
            <w:vMerge w:val="continue"/>
            <w:noWrap w:val="0"/>
            <w:vAlign w:val="center"/>
          </w:tcPr>
          <w:p>
            <w:pPr>
              <w:widowControl/>
              <w:adjustRightInd w:val="0"/>
              <w:snapToGrid w:val="0"/>
              <w:jc w:val="center"/>
              <w:rPr>
                <w:rFonts w:hint="default" w:ascii="Times New Roman" w:hAnsi="Times New Roman" w:cs="Times New Roman"/>
                <w:bCs/>
                <w:kern w:val="0"/>
                <w:sz w:val="18"/>
                <w:szCs w:val="18"/>
              </w:rPr>
            </w:pPr>
          </w:p>
        </w:tc>
        <w:tc>
          <w:tcPr>
            <w:tcW w:w="119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第四次</w:t>
            </w:r>
          </w:p>
        </w:tc>
        <w:tc>
          <w:tcPr>
            <w:tcW w:w="28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2.43</w:t>
            </w:r>
          </w:p>
        </w:tc>
        <w:tc>
          <w:tcPr>
            <w:tcW w:w="258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1531" w:type="dxa"/>
            <w:vMerge w:val="continue"/>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p>
        </w:tc>
        <w:tc>
          <w:tcPr>
            <w:tcW w:w="1191"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最大小时均值</w:t>
            </w:r>
          </w:p>
        </w:tc>
        <w:tc>
          <w:tcPr>
            <w:tcW w:w="2839"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2.43</w:t>
            </w:r>
          </w:p>
        </w:tc>
        <w:tc>
          <w:tcPr>
            <w:tcW w:w="2588" w:type="dxa"/>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《工业涂装工序大气污染物排放标准》（DB33/ 2146-2018）  表5</w:t>
            </w:r>
          </w:p>
        </w:tc>
        <w:tc>
          <w:tcPr>
            <w:tcW w:w="2839"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lang w:val="en-US" w:eastAsia="zh-CN"/>
              </w:rPr>
              <w:t>10</w:t>
            </w:r>
          </w:p>
        </w:tc>
        <w:tc>
          <w:tcPr>
            <w:tcW w:w="2588"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结果评价</w:t>
            </w:r>
          </w:p>
        </w:tc>
        <w:tc>
          <w:tcPr>
            <w:tcW w:w="2839"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c>
          <w:tcPr>
            <w:tcW w:w="2588" w:type="dxa"/>
            <w:noWrap w:val="0"/>
            <w:vAlign w:val="center"/>
          </w:tcPr>
          <w:p>
            <w:pPr>
              <w:adjustRightInd w:val="0"/>
              <w:snapToGrid w:val="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722" w:type="dxa"/>
            <w:gridSpan w:val="2"/>
            <w:noWrap w:val="0"/>
            <w:vAlign w:val="center"/>
          </w:tcPr>
          <w:p>
            <w:pPr>
              <w:widowControl/>
              <w:adjustRightInd w:val="0"/>
              <w:snapToGrid w:val="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5427" w:type="dxa"/>
            <w:gridSpan w:val="2"/>
            <w:noWrap w:val="0"/>
            <w:tcMar>
              <w:left w:w="0" w:type="dxa"/>
              <w:right w:w="0" w:type="dxa"/>
            </w:tcMar>
            <w:vAlign w:val="center"/>
          </w:tcPr>
          <w:p>
            <w:pPr>
              <w:widowControl/>
              <w:adjustRightInd w:val="0"/>
              <w:snapToGrid w:val="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pPr>
              <w:widowControl/>
              <w:adjustRightInd w:val="0"/>
              <w:snapToGrid w:val="0"/>
              <w:ind w:firstLine="36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12月21日气象参数：天气：晴；气温：4.3-5.7℃；气压：102.73-103.2kPa；风向：北风；风速：1.5-1.7m/s。</w:t>
            </w:r>
          </w:p>
          <w:p>
            <w:pPr>
              <w:widowControl/>
              <w:adjustRightInd w:val="0"/>
              <w:snapToGrid w:val="0"/>
              <w:ind w:firstLine="360" w:firstLineChars="200"/>
              <w:jc w:val="left"/>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12月22日气象参数：天气：晴；气温：6.1-12.8℃；气压：103.0-103.70kPa；风向：北风；风速：1.3-1.6m/s。</w:t>
            </w:r>
          </w:p>
        </w:tc>
      </w:tr>
    </w:tbl>
    <w:p>
      <w:pPr>
        <w:keepNext w:val="0"/>
        <w:keepLines w:val="0"/>
        <w:pageBreakBefore w:val="0"/>
        <w:widowControl w:val="0"/>
        <w:kinsoku/>
        <w:wordWrap/>
        <w:overflowPunct/>
        <w:topLinePunct w:val="0"/>
        <w:autoSpaceDE/>
        <w:autoSpaceDN/>
        <w:bidi w:val="0"/>
        <w:adjustRightInd/>
        <w:snapToGrid/>
        <w:spacing w:line="240" w:lineRule="exact"/>
        <w:ind w:firstLine="100" w:firstLineChars="100"/>
        <w:jc w:val="center"/>
        <w:textAlignment w:val="auto"/>
        <w:rPr>
          <w:rFonts w:ascii="Times New Roman" w:hAnsi="Times New Roman"/>
          <w:b/>
          <w:bCs/>
          <w:sz w:val="10"/>
          <w:szCs w:val="10"/>
        </w:rPr>
      </w:pPr>
    </w:p>
    <w:p>
      <w:pPr>
        <w:spacing w:line="360" w:lineRule="auto"/>
        <w:ind w:firstLine="482" w:firstLineChars="200"/>
        <w:rPr>
          <w:rFonts w:ascii="Times New Roman" w:hAnsi="Times New Roman"/>
          <w:b/>
          <w:sz w:val="24"/>
          <w:szCs w:val="24"/>
        </w:rPr>
      </w:pPr>
      <w:r>
        <w:rPr>
          <w:rFonts w:ascii="Times New Roman" w:hAnsi="Times New Roman"/>
          <w:b/>
          <w:sz w:val="24"/>
          <w:szCs w:val="24"/>
        </w:rPr>
        <w:t>监测结果分析与评价</w:t>
      </w:r>
      <w:r>
        <w:rPr>
          <w:rFonts w:hint="eastAsia" w:ascii="Times New Roman" w:hAnsi="Times New Roman"/>
          <w:b/>
          <w:sz w:val="24"/>
          <w:szCs w:val="24"/>
        </w:rPr>
        <w:t>：</w:t>
      </w:r>
    </w:p>
    <w:p>
      <w:pPr>
        <w:spacing w:line="360" w:lineRule="auto"/>
        <w:ind w:firstLine="480" w:firstLineChars="200"/>
        <w:rPr>
          <w:rFonts w:hint="default" w:ascii="Times New Roman" w:hAnsi="Times New Roman" w:eastAsia="宋体" w:cs="Times New Roman"/>
          <w:kern w:val="22"/>
          <w:sz w:val="24"/>
          <w:szCs w:val="24"/>
          <w:highlight w:val="none"/>
          <w:lang w:eastAsia="zh-CN"/>
        </w:rPr>
      </w:pPr>
      <w:bookmarkStart w:id="105" w:name="_Hlk523340017"/>
      <w:r>
        <w:rPr>
          <w:rFonts w:hint="default" w:ascii="Times New Roman" w:hAnsi="Times New Roman" w:eastAsia="宋体" w:cs="Times New Roman"/>
          <w:kern w:val="22"/>
          <w:sz w:val="24"/>
          <w:szCs w:val="24"/>
        </w:rPr>
        <w:t>验收监测期间，</w:t>
      </w:r>
      <w:r>
        <w:rPr>
          <w:rFonts w:hint="default" w:ascii="Times New Roman" w:hAnsi="Times New Roman" w:eastAsia="宋体" w:cs="Times New Roman"/>
          <w:kern w:val="22"/>
          <w:sz w:val="24"/>
          <w:szCs w:val="24"/>
          <w:highlight w:val="none"/>
          <w:lang w:val="en-US" w:eastAsia="zh-CN"/>
        </w:rPr>
        <w:t>厂界颗粒物</w:t>
      </w:r>
      <w:r>
        <w:rPr>
          <w:rFonts w:hint="default" w:ascii="Times New Roman" w:hAnsi="Times New Roman" w:eastAsia="宋体" w:cs="Times New Roman"/>
          <w:kern w:val="22"/>
          <w:sz w:val="24"/>
          <w:szCs w:val="24"/>
          <w:highlight w:val="none"/>
        </w:rPr>
        <w:t>的最大小时浓度值为</w:t>
      </w:r>
      <w:r>
        <w:rPr>
          <w:rFonts w:hint="default" w:ascii="Times New Roman" w:hAnsi="Times New Roman" w:eastAsia="宋体" w:cs="Times New Roman"/>
          <w:kern w:val="22"/>
          <w:sz w:val="24"/>
          <w:szCs w:val="24"/>
          <w:highlight w:val="none"/>
          <w:lang w:val="en-US" w:eastAsia="zh-CN"/>
        </w:rPr>
        <w:t>0.872</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default" w:ascii="Times New Roman" w:hAnsi="Times New Roman" w:eastAsia="宋体" w:cs="Times New Roman"/>
          <w:kern w:val="22"/>
          <w:sz w:val="24"/>
          <w:szCs w:val="24"/>
          <w:highlight w:val="none"/>
        </w:rPr>
        <w:t>，</w:t>
      </w:r>
      <w:r>
        <w:rPr>
          <w:rFonts w:hint="default" w:ascii="Times New Roman" w:hAnsi="Times New Roman" w:eastAsia="宋体" w:cs="Times New Roman"/>
          <w:kern w:val="22"/>
          <w:sz w:val="24"/>
          <w:szCs w:val="24"/>
          <w:highlight w:val="none"/>
          <w:lang w:val="en-US" w:eastAsia="zh-CN"/>
        </w:rPr>
        <w:t>二甲苯</w:t>
      </w:r>
      <w:r>
        <w:rPr>
          <w:rFonts w:hint="default" w:ascii="Times New Roman" w:hAnsi="Times New Roman" w:eastAsia="宋体" w:cs="Times New Roman"/>
          <w:kern w:val="22"/>
          <w:sz w:val="24"/>
          <w:szCs w:val="24"/>
          <w:highlight w:val="none"/>
        </w:rPr>
        <w:t>的最大小时浓度值为</w:t>
      </w:r>
      <w:r>
        <w:rPr>
          <w:rFonts w:hint="default" w:ascii="Times New Roman" w:hAnsi="Times New Roman" w:eastAsia="宋体" w:cs="Times New Roman"/>
          <w:kern w:val="22"/>
          <w:sz w:val="24"/>
          <w:szCs w:val="24"/>
          <w:highlight w:val="none"/>
          <w:lang w:val="en-US" w:eastAsia="zh-CN"/>
        </w:rPr>
        <w:t>＜1.5×10</w:t>
      </w:r>
      <w:r>
        <w:rPr>
          <w:rFonts w:hint="default" w:ascii="Times New Roman" w:hAnsi="Times New Roman" w:eastAsia="宋体" w:cs="Times New Roman"/>
          <w:kern w:val="22"/>
          <w:sz w:val="24"/>
          <w:szCs w:val="24"/>
          <w:highlight w:val="none"/>
          <w:vertAlign w:val="superscript"/>
          <w:lang w:val="en-US" w:eastAsia="zh-CN"/>
        </w:rPr>
        <w:t>-3</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default" w:ascii="Times New Roman" w:hAnsi="Times New Roman" w:eastAsia="宋体" w:cs="Times New Roman"/>
          <w:kern w:val="22"/>
          <w:sz w:val="24"/>
          <w:szCs w:val="24"/>
          <w:highlight w:val="none"/>
        </w:rPr>
        <w:t>，</w:t>
      </w:r>
      <w:r>
        <w:rPr>
          <w:rFonts w:hint="default" w:ascii="Times New Roman" w:hAnsi="Times New Roman" w:eastAsia="宋体" w:cs="Times New Roman"/>
          <w:kern w:val="22"/>
          <w:sz w:val="24"/>
          <w:szCs w:val="24"/>
          <w:highlight w:val="none"/>
          <w:lang w:val="en-US" w:eastAsia="zh-CN"/>
        </w:rPr>
        <w:t>乙酸丁酯</w:t>
      </w:r>
      <w:r>
        <w:rPr>
          <w:rFonts w:hint="default" w:ascii="Times New Roman" w:hAnsi="Times New Roman" w:eastAsia="宋体" w:cs="Times New Roman"/>
          <w:kern w:val="22"/>
          <w:sz w:val="24"/>
          <w:szCs w:val="24"/>
          <w:highlight w:val="none"/>
        </w:rPr>
        <w:t>的最大小时浓度值为</w:t>
      </w:r>
      <w:r>
        <w:rPr>
          <w:rFonts w:hint="default" w:ascii="Times New Roman" w:hAnsi="Times New Roman" w:eastAsia="宋体" w:cs="Times New Roman"/>
          <w:kern w:val="22"/>
          <w:sz w:val="24"/>
          <w:szCs w:val="24"/>
          <w:highlight w:val="none"/>
          <w:lang w:val="en-US" w:eastAsia="zh-CN"/>
        </w:rPr>
        <w:t>＜7.7×10</w:t>
      </w:r>
      <w:r>
        <w:rPr>
          <w:rFonts w:hint="default" w:ascii="Times New Roman" w:hAnsi="Times New Roman" w:eastAsia="宋体" w:cs="Times New Roman"/>
          <w:kern w:val="22"/>
          <w:sz w:val="24"/>
          <w:szCs w:val="24"/>
          <w:highlight w:val="none"/>
          <w:vertAlign w:val="superscript"/>
          <w:lang w:val="en-US" w:eastAsia="zh-CN"/>
        </w:rPr>
        <w:t>-3</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default" w:ascii="Times New Roman" w:hAnsi="Times New Roman" w:eastAsia="宋体" w:cs="Times New Roman"/>
          <w:kern w:val="22"/>
          <w:sz w:val="24"/>
          <w:szCs w:val="24"/>
          <w:highlight w:val="none"/>
        </w:rPr>
        <w:t>，</w:t>
      </w:r>
      <w:r>
        <w:rPr>
          <w:rFonts w:hint="default" w:ascii="Times New Roman" w:hAnsi="Times New Roman" w:eastAsia="宋体" w:cs="Times New Roman"/>
          <w:kern w:val="22"/>
          <w:sz w:val="24"/>
          <w:szCs w:val="24"/>
          <w:highlight w:val="none"/>
          <w:lang w:val="en-US" w:eastAsia="zh-CN"/>
        </w:rPr>
        <w:t>非甲烷总烃</w:t>
      </w:r>
      <w:r>
        <w:rPr>
          <w:rFonts w:hint="default" w:ascii="Times New Roman" w:hAnsi="Times New Roman" w:eastAsia="宋体" w:cs="Times New Roman"/>
          <w:kern w:val="22"/>
          <w:sz w:val="24"/>
          <w:szCs w:val="24"/>
          <w:highlight w:val="none"/>
        </w:rPr>
        <w:t>的最大小时浓度值为</w:t>
      </w:r>
      <w:r>
        <w:rPr>
          <w:rFonts w:hint="default" w:ascii="Times New Roman" w:hAnsi="Times New Roman" w:eastAsia="宋体" w:cs="Times New Roman"/>
          <w:kern w:val="22"/>
          <w:sz w:val="24"/>
          <w:szCs w:val="24"/>
          <w:highlight w:val="none"/>
          <w:lang w:val="en-US" w:eastAsia="zh-CN"/>
        </w:rPr>
        <w:t>1.61</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default" w:ascii="Times New Roman" w:hAnsi="Times New Roman" w:eastAsia="宋体" w:cs="Times New Roman"/>
          <w:kern w:val="22"/>
          <w:sz w:val="24"/>
          <w:szCs w:val="24"/>
          <w:highlight w:val="none"/>
        </w:rPr>
        <w:t>，</w:t>
      </w:r>
      <w:r>
        <w:rPr>
          <w:rFonts w:hint="default" w:ascii="Times New Roman" w:hAnsi="Times New Roman" w:eastAsia="宋体" w:cs="Times New Roman"/>
          <w:kern w:val="22"/>
          <w:sz w:val="24"/>
          <w:szCs w:val="24"/>
          <w:highlight w:val="none"/>
          <w:lang w:val="en-US" w:eastAsia="zh-CN"/>
        </w:rPr>
        <w:t>臭气浓度</w:t>
      </w:r>
      <w:r>
        <w:rPr>
          <w:rFonts w:hint="default" w:ascii="Times New Roman" w:hAnsi="Times New Roman" w:eastAsia="宋体" w:cs="Times New Roman"/>
          <w:kern w:val="22"/>
          <w:sz w:val="24"/>
          <w:szCs w:val="24"/>
          <w:highlight w:val="none"/>
        </w:rPr>
        <w:t>的最大值为</w:t>
      </w:r>
      <w:r>
        <w:rPr>
          <w:rFonts w:hint="default" w:ascii="Times New Roman" w:hAnsi="Times New Roman" w:eastAsia="宋体" w:cs="Times New Roman"/>
          <w:kern w:val="22"/>
          <w:sz w:val="24"/>
          <w:szCs w:val="24"/>
          <w:highlight w:val="none"/>
          <w:lang w:val="en-US" w:eastAsia="zh-CN"/>
        </w:rPr>
        <w:t>11（无量纲）</w:t>
      </w:r>
      <w:r>
        <w:rPr>
          <w:rFonts w:hint="default" w:ascii="Times New Roman" w:hAnsi="Times New Roman" w:eastAsia="宋体" w:cs="Times New Roman"/>
          <w:kern w:val="22"/>
          <w:sz w:val="24"/>
          <w:szCs w:val="24"/>
          <w:highlight w:val="none"/>
        </w:rPr>
        <w:t>，</w:t>
      </w:r>
      <w:r>
        <w:rPr>
          <w:rFonts w:hint="default" w:ascii="Times New Roman" w:hAnsi="Times New Roman" w:eastAsia="宋体" w:cs="Times New Roman"/>
          <w:kern w:val="22"/>
          <w:sz w:val="24"/>
          <w:szCs w:val="24"/>
          <w:highlight w:val="none"/>
          <w:lang w:val="en-US" w:eastAsia="zh-CN"/>
        </w:rPr>
        <w:t>均</w:t>
      </w:r>
      <w:r>
        <w:rPr>
          <w:rFonts w:hint="default" w:ascii="Times New Roman" w:hAnsi="Times New Roman" w:eastAsia="宋体" w:cs="Times New Roman"/>
          <w:kern w:val="22"/>
          <w:sz w:val="24"/>
          <w:szCs w:val="24"/>
          <w:highlight w:val="none"/>
        </w:rPr>
        <w:t>符合《工业涂装工序大气污染物排放标准》（DB 33/2146-2018）表6中</w:t>
      </w:r>
      <w:r>
        <w:rPr>
          <w:rFonts w:hint="default" w:ascii="Times New Roman" w:hAnsi="Times New Roman" w:eastAsia="宋体" w:cs="Times New Roman"/>
          <w:bCs/>
          <w:kern w:val="0"/>
          <w:sz w:val="24"/>
          <w:szCs w:val="21"/>
          <w:highlight w:val="none"/>
        </w:rPr>
        <w:t>相关标准限值要求</w:t>
      </w:r>
      <w:r>
        <w:rPr>
          <w:rFonts w:hint="default" w:ascii="Times New Roman" w:hAnsi="Times New Roman" w:eastAsia="宋体" w:cs="Times New Roman"/>
          <w:bCs/>
          <w:kern w:val="0"/>
          <w:sz w:val="24"/>
          <w:szCs w:val="21"/>
          <w:highlight w:val="none"/>
          <w:lang w:eastAsia="zh-CN"/>
        </w:rPr>
        <w:t>。</w:t>
      </w:r>
    </w:p>
    <w:bookmarkEnd w:id="105"/>
    <w:p>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color w:val="auto"/>
          <w:kern w:val="0"/>
          <w:sz w:val="24"/>
          <w:szCs w:val="21"/>
          <w:lang w:val="en-US" w:eastAsia="zh-CN"/>
        </w:rPr>
        <w:t>厂区内喷漆车间外</w:t>
      </w:r>
      <w:r>
        <w:rPr>
          <w:rFonts w:hint="eastAsia" w:ascii="Times New Roman" w:hAnsi="Times New Roman" w:eastAsia="宋体" w:cs="Times New Roman"/>
          <w:color w:val="auto"/>
          <w:kern w:val="22"/>
          <w:sz w:val="24"/>
          <w:szCs w:val="24"/>
          <w:lang w:eastAsia="zh-CN"/>
        </w:rPr>
        <w:t>非甲烷总烃</w:t>
      </w:r>
      <w:r>
        <w:rPr>
          <w:rFonts w:hint="eastAsia" w:ascii="Times New Roman" w:hAnsi="Times New Roman" w:eastAsia="宋体" w:cs="Times New Roman"/>
          <w:color w:val="auto"/>
          <w:kern w:val="22"/>
          <w:sz w:val="24"/>
          <w:szCs w:val="24"/>
        </w:rPr>
        <w:t>的最大小时浓度值</w:t>
      </w:r>
      <w:r>
        <w:rPr>
          <w:rFonts w:hint="eastAsia" w:ascii="Times New Roman" w:hAnsi="Times New Roman" w:eastAsia="宋体" w:cs="Times New Roman"/>
          <w:color w:val="auto"/>
          <w:kern w:val="22"/>
          <w:sz w:val="24"/>
          <w:szCs w:val="24"/>
          <w:highlight w:val="none"/>
        </w:rPr>
        <w:t>为</w:t>
      </w:r>
      <w:r>
        <w:rPr>
          <w:rFonts w:hint="eastAsia" w:ascii="Times New Roman" w:hAnsi="Times New Roman" w:eastAsia="宋体" w:cs="Times New Roman"/>
          <w:color w:val="auto"/>
          <w:kern w:val="22"/>
          <w:sz w:val="24"/>
          <w:szCs w:val="24"/>
          <w:highlight w:val="none"/>
          <w:lang w:val="en-US" w:eastAsia="zh-CN"/>
        </w:rPr>
        <w:t>2.59</w:t>
      </w:r>
      <w:r>
        <w:rPr>
          <w:rFonts w:ascii="Times New Roman" w:hAnsi="Times New Roman" w:eastAsia="宋体" w:cs="Times New Roman"/>
          <w:color w:val="auto"/>
          <w:kern w:val="22"/>
          <w:sz w:val="24"/>
          <w:szCs w:val="24"/>
          <w:highlight w:val="none"/>
        </w:rPr>
        <w:t>m</w:t>
      </w:r>
      <w:r>
        <w:rPr>
          <w:rFonts w:ascii="Times New Roman" w:hAnsi="Times New Roman" w:eastAsia="宋体" w:cs="Times New Roman"/>
          <w:color w:val="auto"/>
          <w:kern w:val="22"/>
          <w:sz w:val="24"/>
          <w:szCs w:val="24"/>
        </w:rPr>
        <w:t>g/m</w:t>
      </w:r>
      <w:r>
        <w:rPr>
          <w:rFonts w:ascii="Times New Roman" w:hAnsi="Times New Roman" w:eastAsia="宋体" w:cs="Times New Roman"/>
          <w:color w:val="auto"/>
          <w:kern w:val="22"/>
          <w:sz w:val="24"/>
          <w:szCs w:val="24"/>
          <w:vertAlign w:val="superscript"/>
        </w:rPr>
        <w:t>3</w:t>
      </w:r>
      <w:r>
        <w:rPr>
          <w:rFonts w:hint="eastAsia" w:ascii="Times New Roman" w:hAnsi="Times New Roman" w:eastAsia="宋体" w:cs="Times New Roman"/>
          <w:color w:val="auto"/>
          <w:kern w:val="22"/>
          <w:sz w:val="24"/>
          <w:szCs w:val="24"/>
        </w:rPr>
        <w:t>，符合《工业涂装工序大气污染物排放标准》（DB</w:t>
      </w:r>
      <w:r>
        <w:rPr>
          <w:rFonts w:hint="eastAsia" w:ascii="Times New Roman" w:hAnsi="Times New Roman" w:eastAsia="宋体" w:cs="Times New Roman"/>
          <w:color w:val="auto"/>
          <w:kern w:val="22"/>
          <w:sz w:val="24"/>
          <w:szCs w:val="24"/>
          <w:lang w:val="en-US" w:eastAsia="zh-CN"/>
        </w:rPr>
        <w:t xml:space="preserve"> </w:t>
      </w:r>
      <w:r>
        <w:rPr>
          <w:rFonts w:hint="eastAsia" w:ascii="Times New Roman" w:hAnsi="Times New Roman" w:eastAsia="宋体" w:cs="Times New Roman"/>
          <w:color w:val="auto"/>
          <w:kern w:val="22"/>
          <w:sz w:val="24"/>
          <w:szCs w:val="24"/>
        </w:rPr>
        <w:t>33/2146-2018）</w:t>
      </w:r>
      <w:r>
        <w:rPr>
          <w:rFonts w:hint="eastAsia" w:ascii="Times New Roman" w:hAnsi="Times New Roman" w:eastAsia="宋体" w:cs="Times New Roman"/>
          <w:color w:val="auto"/>
          <w:kern w:val="22"/>
          <w:sz w:val="24"/>
          <w:szCs w:val="24"/>
          <w:lang w:val="en-US" w:eastAsia="zh-CN"/>
        </w:rPr>
        <w:t>表5中</w:t>
      </w:r>
      <w:r>
        <w:rPr>
          <w:rFonts w:ascii="Times New Roman" w:hAnsi="Times New Roman" w:eastAsia="宋体" w:cs="Times New Roman"/>
          <w:bCs/>
          <w:color w:val="auto"/>
          <w:kern w:val="0"/>
          <w:sz w:val="24"/>
          <w:szCs w:val="21"/>
        </w:rPr>
        <w:t>相关标准</w:t>
      </w:r>
      <w:r>
        <w:rPr>
          <w:rFonts w:hint="eastAsia" w:ascii="Times New Roman" w:hAnsi="Times New Roman" w:eastAsia="宋体" w:cs="Times New Roman"/>
          <w:bCs/>
          <w:color w:val="auto"/>
          <w:kern w:val="0"/>
          <w:sz w:val="24"/>
          <w:szCs w:val="21"/>
        </w:rPr>
        <w:t>限值要求</w:t>
      </w:r>
      <w:r>
        <w:rPr>
          <w:rFonts w:hint="eastAsia" w:ascii="Times New Roman" w:hAnsi="Times New Roman" w:eastAsia="宋体" w:cs="Times New Roman"/>
          <w:bCs/>
          <w:color w:val="auto"/>
          <w:kern w:val="0"/>
          <w:sz w:val="24"/>
          <w:szCs w:val="21"/>
          <w:lang w:eastAsia="zh-CN"/>
        </w:rPr>
        <w:t>。</w:t>
      </w:r>
    </w:p>
    <w:p>
      <w:pPr>
        <w:pStyle w:val="6"/>
        <w:rPr>
          <w:kern w:val="22"/>
        </w:rPr>
      </w:pPr>
      <w:bookmarkStart w:id="106" w:name="_Toc22488"/>
      <w:r>
        <w:rPr>
          <w:rFonts w:hint="eastAsia"/>
          <w:kern w:val="22"/>
        </w:rPr>
        <w:t>9.2.</w:t>
      </w:r>
      <w:r>
        <w:rPr>
          <w:rFonts w:hint="eastAsia"/>
          <w:kern w:val="22"/>
          <w:lang w:val="en-US" w:eastAsia="zh-CN"/>
        </w:rPr>
        <w:t>4</w:t>
      </w:r>
      <w:r>
        <w:rPr>
          <w:rFonts w:hint="eastAsia"/>
          <w:kern w:val="22"/>
        </w:rPr>
        <w:t>厂界噪声检测结果及评价</w:t>
      </w:r>
      <w:bookmarkEnd w:id="106"/>
    </w:p>
    <w:p>
      <w:pPr>
        <w:spacing w:line="360" w:lineRule="auto"/>
        <w:ind w:firstLine="240" w:firstLineChars="100"/>
        <w:rPr>
          <w:rFonts w:ascii="Times New Roman" w:hAnsi="Times New Roman" w:cs="Times New Roman"/>
          <w:sz w:val="24"/>
        </w:rPr>
      </w:pPr>
      <w:r>
        <w:rPr>
          <w:rFonts w:hint="eastAsia" w:ascii="Times New Roman" w:hAnsi="Times New Roman" w:cs="Times New Roman"/>
          <w:sz w:val="24"/>
        </w:rPr>
        <w:t>厂界噪声检测结果见表9.2</w:t>
      </w:r>
      <w:r>
        <w:rPr>
          <w:rFonts w:ascii="Times New Roman" w:hAnsi="Times New Roman" w:cs="Times New Roman"/>
          <w:sz w:val="24"/>
        </w:rPr>
        <w:t>.</w:t>
      </w:r>
      <w:r>
        <w:rPr>
          <w:rFonts w:hint="eastAsia" w:ascii="Times New Roman" w:hAnsi="Times New Roman" w:cs="Times New Roman"/>
          <w:sz w:val="24"/>
          <w:lang w:val="en-US" w:eastAsia="zh-CN"/>
        </w:rPr>
        <w:t>4</w:t>
      </w:r>
      <w:r>
        <w:rPr>
          <w:rFonts w:ascii="Times New Roman" w:hAnsi="Times New Roman" w:cs="Times New Roman"/>
          <w:sz w:val="24"/>
        </w:rPr>
        <w:t>-1</w:t>
      </w:r>
      <w:r>
        <w:rPr>
          <w:rFonts w:hint="eastAsia" w:ascii="Times New Roman" w:hAnsi="Times New Roman" w:cs="Times New Roman"/>
          <w:sz w:val="24"/>
        </w:rPr>
        <w:t>。</w:t>
      </w:r>
    </w:p>
    <w:p>
      <w:pPr>
        <w:wordWrap w:val="0"/>
        <w:spacing w:line="360" w:lineRule="auto"/>
        <w:jc w:val="center"/>
        <w:rPr>
          <w:rFonts w:ascii="Times New Roman" w:hAnsi="Times New Roman" w:cs="Times New Roman"/>
          <w:b/>
          <w:bCs/>
          <w:szCs w:val="21"/>
        </w:rPr>
      </w:pPr>
    </w:p>
    <w:p>
      <w:pPr>
        <w:wordWrap w:val="0"/>
        <w:spacing w:line="360" w:lineRule="auto"/>
        <w:jc w:val="center"/>
        <w:rPr>
          <w:rFonts w:ascii="Times New Roman" w:hAnsi="Times New Roman" w:cs="Times New Roman"/>
          <w:b/>
          <w:bCs/>
          <w:szCs w:val="21"/>
        </w:rPr>
      </w:pPr>
    </w:p>
    <w:p>
      <w:pPr>
        <w:wordWrap w:val="0"/>
        <w:spacing w:line="360" w:lineRule="auto"/>
        <w:jc w:val="center"/>
        <w:rPr>
          <w:rFonts w:ascii="Times New Roman" w:hAnsi="Times New Roman" w:cs="Times New Roman"/>
          <w:b/>
          <w:bCs/>
          <w:szCs w:val="21"/>
        </w:rPr>
      </w:pPr>
    </w:p>
    <w:p>
      <w:pPr>
        <w:wordWrap w:val="0"/>
        <w:spacing w:line="360" w:lineRule="auto"/>
        <w:jc w:val="center"/>
        <w:rPr>
          <w:rFonts w:ascii="Times New Roman" w:hAnsi="Times New Roman" w:cs="Times New Roman"/>
          <w:b/>
          <w:bCs/>
          <w:szCs w:val="21"/>
        </w:rPr>
      </w:pPr>
      <w:r>
        <w:rPr>
          <w:rFonts w:ascii="Times New Roman" w:hAnsi="Times New Roman" w:cs="Times New Roman"/>
          <w:b/>
          <w:bCs/>
          <w:szCs w:val="21"/>
        </w:rPr>
        <w:t>表9</w:t>
      </w:r>
      <w:r>
        <w:rPr>
          <w:rFonts w:hint="eastAsia" w:ascii="Times New Roman" w:hAnsi="Times New Roman" w:cs="Times New Roman"/>
          <w:b/>
          <w:bCs/>
          <w:szCs w:val="21"/>
        </w:rPr>
        <w:t>.2.</w:t>
      </w:r>
      <w:r>
        <w:rPr>
          <w:rFonts w:hint="eastAsia" w:ascii="Times New Roman" w:hAnsi="Times New Roman" w:cs="Times New Roman"/>
          <w:b/>
          <w:bCs/>
          <w:szCs w:val="21"/>
          <w:lang w:val="en-US" w:eastAsia="zh-CN"/>
        </w:rPr>
        <w:t>4</w:t>
      </w:r>
      <w:r>
        <w:rPr>
          <w:rFonts w:hint="eastAsia" w:ascii="Times New Roman" w:hAnsi="Times New Roman" w:cs="Times New Roman"/>
          <w:b/>
          <w:bCs/>
          <w:szCs w:val="21"/>
        </w:rPr>
        <w:t>-</w:t>
      </w:r>
      <w:r>
        <w:rPr>
          <w:rFonts w:ascii="Times New Roman" w:hAnsi="Times New Roman" w:cs="Times New Roman"/>
          <w:b/>
          <w:bCs/>
          <w:szCs w:val="21"/>
        </w:rPr>
        <w:t>1 厂界噪声监测结果</w:t>
      </w:r>
    </w:p>
    <w:tbl>
      <w:tblPr>
        <w:tblStyle w:val="31"/>
        <w:tblW w:w="8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1246"/>
        <w:gridCol w:w="1420"/>
        <w:gridCol w:w="1421"/>
        <w:gridCol w:w="1344"/>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检测日期</w:t>
            </w:r>
          </w:p>
        </w:tc>
        <w:tc>
          <w:tcPr>
            <w:tcW w:w="6775" w:type="dxa"/>
            <w:gridSpan w:val="5"/>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2023年12月21日-22日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6" w:type="dxa"/>
            <w:vMerge w:val="restart"/>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检测点位</w:t>
            </w:r>
          </w:p>
        </w:tc>
        <w:tc>
          <w:tcPr>
            <w:tcW w:w="1246" w:type="dxa"/>
            <w:vMerge w:val="restart"/>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主要声源</w:t>
            </w:r>
          </w:p>
        </w:tc>
        <w:tc>
          <w:tcPr>
            <w:tcW w:w="2841" w:type="dxa"/>
            <w:gridSpan w:val="2"/>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检测结果 Leq[dB(A)]</w:t>
            </w:r>
          </w:p>
        </w:tc>
        <w:tc>
          <w:tcPr>
            <w:tcW w:w="2688" w:type="dxa"/>
            <w:gridSpan w:val="2"/>
            <w:vMerge w:val="restart"/>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 xml:space="preserve">《工业企业厂界环境噪声排放标准》（GB 12348-2008）表1 </w:t>
            </w:r>
            <w:r>
              <w:rPr>
                <w:rFonts w:hint="default" w:ascii="Times New Roman" w:hAnsi="Times New Roman" w:cs="Times New Roman"/>
                <w:bCs/>
                <w:kern w:val="0"/>
                <w:sz w:val="18"/>
                <w:szCs w:val="18"/>
                <w:lang w:val="en-US" w:eastAsia="zh-CN"/>
              </w:rPr>
              <w:t>3</w:t>
            </w:r>
            <w:r>
              <w:rPr>
                <w:rFonts w:hint="default" w:ascii="Times New Roman" w:hAnsi="Times New Roman" w:cs="Times New Roman"/>
                <w:bCs/>
                <w:kern w:val="0"/>
                <w:sz w:val="18"/>
                <w:szCs w:val="18"/>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6" w:type="dxa"/>
            <w:vMerge w:val="continue"/>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p>
        </w:tc>
        <w:tc>
          <w:tcPr>
            <w:tcW w:w="1246" w:type="dxa"/>
            <w:vMerge w:val="continue"/>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p>
        </w:tc>
        <w:tc>
          <w:tcPr>
            <w:tcW w:w="1420" w:type="dxa"/>
            <w:noWrap w:val="0"/>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lang w:eastAsia="zh-CN"/>
              </w:rPr>
              <w:t>12月21日</w:t>
            </w:r>
          </w:p>
        </w:tc>
        <w:tc>
          <w:tcPr>
            <w:tcW w:w="1421" w:type="dxa"/>
            <w:noWrap w:val="0"/>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lang w:eastAsia="zh-CN"/>
              </w:rPr>
              <w:t>12月22日</w:t>
            </w:r>
          </w:p>
        </w:tc>
        <w:tc>
          <w:tcPr>
            <w:tcW w:w="2688" w:type="dxa"/>
            <w:gridSpan w:val="2"/>
            <w:vMerge w:val="continue"/>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6" w:type="dxa"/>
            <w:vMerge w:val="continue"/>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p>
        </w:tc>
        <w:tc>
          <w:tcPr>
            <w:tcW w:w="1246" w:type="dxa"/>
            <w:vMerge w:val="continue"/>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p>
        </w:tc>
        <w:tc>
          <w:tcPr>
            <w:tcW w:w="1420" w:type="dxa"/>
            <w:noWrap w:val="0"/>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昼间</w:t>
            </w:r>
          </w:p>
        </w:tc>
        <w:tc>
          <w:tcPr>
            <w:tcW w:w="1421" w:type="dxa"/>
            <w:noWrap w:val="0"/>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昼间</w:t>
            </w:r>
          </w:p>
        </w:tc>
        <w:tc>
          <w:tcPr>
            <w:tcW w:w="1344" w:type="dxa"/>
            <w:noWrap w:val="0"/>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昼间</w:t>
            </w:r>
          </w:p>
        </w:tc>
        <w:tc>
          <w:tcPr>
            <w:tcW w:w="1344" w:type="dxa"/>
            <w:noWrap w:val="0"/>
            <w:vAlign w:val="center"/>
          </w:tcPr>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1516" w:type="dxa"/>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厂界北外1m处</w:t>
            </w:r>
          </w:p>
          <w:p>
            <w:pPr>
              <w:widowControl/>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N4</w:t>
            </w:r>
          </w:p>
        </w:tc>
        <w:tc>
          <w:tcPr>
            <w:tcW w:w="1246" w:type="dxa"/>
            <w:noWrap w:val="0"/>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工业生产</w:t>
            </w:r>
          </w:p>
        </w:tc>
        <w:tc>
          <w:tcPr>
            <w:tcW w:w="1420" w:type="dxa"/>
            <w:noWrap w:val="0"/>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lang w:val="en-US" w:eastAsia="zh-CN"/>
              </w:rPr>
              <w:t>58</w:t>
            </w:r>
          </w:p>
        </w:tc>
        <w:tc>
          <w:tcPr>
            <w:tcW w:w="1421" w:type="dxa"/>
            <w:noWrap w:val="0"/>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lang w:val="en-US" w:eastAsia="zh-CN"/>
              </w:rPr>
              <w:t>59</w:t>
            </w:r>
          </w:p>
        </w:tc>
        <w:tc>
          <w:tcPr>
            <w:tcW w:w="1344" w:type="dxa"/>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65</w:t>
            </w:r>
          </w:p>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[dB(A)]</w:t>
            </w:r>
          </w:p>
        </w:tc>
        <w:tc>
          <w:tcPr>
            <w:tcW w:w="1344" w:type="dxa"/>
            <w:noWrap w:val="0"/>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18"/>
                <w:szCs w:val="18"/>
                <w:lang w:val="en-US" w:eastAsia="zh-CN" w:bidi="ar-SA"/>
              </w:rPr>
            </w:pPr>
            <w:r>
              <w:rPr>
                <w:rFonts w:hint="default" w:ascii="Times New Roman" w:hAnsi="Times New Roman" w:cs="Times New Roman"/>
                <w:bCs/>
                <w:kern w:val="0"/>
                <w:sz w:val="18"/>
                <w:szCs w:val="18"/>
              </w:rPr>
              <w:t xml:space="preserve">达标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pPr>
              <w:widowControl/>
              <w:adjustRightInd w:val="0"/>
              <w:snapToGrid w:val="0"/>
              <w:ind w:left="-105" w:leftChars="-50" w:right="-105" w:rightChars="-50"/>
              <w:jc w:val="center"/>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备注</w:t>
            </w:r>
          </w:p>
        </w:tc>
        <w:tc>
          <w:tcPr>
            <w:tcW w:w="6775" w:type="dxa"/>
            <w:gridSpan w:val="5"/>
            <w:noWrap w:val="0"/>
            <w:vAlign w:val="center"/>
          </w:tcPr>
          <w:p>
            <w:pPr>
              <w:widowControl/>
              <w:adjustRightInd w:val="0"/>
              <w:snapToGrid w:val="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1、检测期间气象参数：</w:t>
            </w:r>
          </w:p>
          <w:p>
            <w:pPr>
              <w:widowControl/>
              <w:adjustRightInd w:val="0"/>
              <w:snapToGrid w:val="0"/>
              <w:ind w:firstLine="36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12月21日气象参数：天气：晴；气温：4.3-5.7℃；气压：102.73-103.2kPa；风向：北风；风速：1.5-1.7m/s。</w:t>
            </w:r>
          </w:p>
          <w:p>
            <w:pPr>
              <w:widowControl/>
              <w:adjustRightInd w:val="0"/>
              <w:snapToGrid w:val="0"/>
              <w:ind w:firstLine="360" w:firstLineChars="20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12月22日气象参数：天气：晴；气温：6.1-12.8℃；气压：103.0-103.70kPa；风向：北风；风速：1.3-1.6m/s。</w:t>
            </w:r>
          </w:p>
          <w:p>
            <w:pPr>
              <w:widowControl/>
              <w:adjustRightInd w:val="0"/>
              <w:snapToGrid w:val="0"/>
              <w:ind w:right="-105" w:rightChars="-5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2、企业夜间不生产，故夜间噪声不检测。</w:t>
            </w:r>
          </w:p>
          <w:p>
            <w:pPr>
              <w:widowControl/>
              <w:adjustRightInd w:val="0"/>
              <w:snapToGrid w:val="0"/>
              <w:ind w:right="-105" w:rightChars="-50"/>
              <w:jc w:val="left"/>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3、厂界东外1m处（N1）、厂界南外1m处（N2）、厂界西外1m处（N3）不具备检测条件，故不进行检测。</w:t>
            </w:r>
          </w:p>
        </w:tc>
      </w:tr>
    </w:tbl>
    <w:p>
      <w:pPr>
        <w:keepNext w:val="0"/>
        <w:keepLines w:val="0"/>
        <w:pageBreakBefore w:val="0"/>
        <w:widowControl w:val="0"/>
        <w:kinsoku/>
        <w:wordWrap/>
        <w:overflowPunct/>
        <w:topLinePunct w:val="0"/>
        <w:autoSpaceDE/>
        <w:autoSpaceDN/>
        <w:bidi w:val="0"/>
        <w:adjustRightInd/>
        <w:snapToGrid/>
        <w:spacing w:line="80" w:lineRule="exact"/>
        <w:ind w:firstLine="201" w:firstLineChars="200"/>
        <w:textAlignment w:val="auto"/>
        <w:rPr>
          <w:rFonts w:ascii="Times New Roman" w:hAnsi="Times New Roman"/>
          <w:b/>
          <w:sz w:val="10"/>
          <w:szCs w:val="10"/>
        </w:rPr>
      </w:pPr>
    </w:p>
    <w:p>
      <w:pPr>
        <w:spacing w:line="360" w:lineRule="auto"/>
        <w:ind w:firstLine="482" w:firstLineChars="200"/>
        <w:rPr>
          <w:rFonts w:ascii="Times New Roman" w:hAnsi="Times New Roman"/>
          <w:b/>
          <w:sz w:val="24"/>
          <w:szCs w:val="24"/>
        </w:rPr>
      </w:pPr>
      <w:r>
        <w:rPr>
          <w:rFonts w:ascii="Times New Roman" w:hAnsi="Times New Roman"/>
          <w:b/>
          <w:sz w:val="24"/>
          <w:szCs w:val="24"/>
        </w:rPr>
        <w:t>监测结果分析与评价</w:t>
      </w:r>
      <w:r>
        <w:rPr>
          <w:rFonts w:hint="eastAsia" w:ascii="Times New Roman" w:hAnsi="Times New Roman"/>
          <w:b/>
          <w:sz w:val="24"/>
          <w:szCs w:val="24"/>
        </w:rPr>
        <w:t>：</w:t>
      </w:r>
    </w:p>
    <w:p>
      <w:pPr>
        <w:spacing w:line="360" w:lineRule="auto"/>
        <w:ind w:firstLine="480" w:firstLineChars="200"/>
        <w:rPr>
          <w:rFonts w:hint="eastAsia" w:ascii="Times New Roman" w:hAnsi="Times New Roman" w:cs="Times New Roman"/>
          <w:color w:val="000000"/>
          <w:sz w:val="24"/>
        </w:rPr>
      </w:pPr>
      <w:bookmarkStart w:id="107" w:name="_Hlk523340313"/>
      <w:r>
        <w:rPr>
          <w:rFonts w:hint="eastAsia" w:ascii="Times New Roman" w:hAnsi="Times New Roman" w:cs="Times New Roman"/>
          <w:sz w:val="24"/>
          <w:lang w:val="en-US" w:eastAsia="zh-CN"/>
        </w:rPr>
        <w:t>验收监测期间，</w:t>
      </w:r>
      <w:r>
        <w:rPr>
          <w:rFonts w:ascii="Times New Roman" w:hAnsi="Times New Roman" w:cs="Times New Roman"/>
          <w:sz w:val="24"/>
        </w:rPr>
        <w:t>厂界</w:t>
      </w:r>
      <w:r>
        <w:rPr>
          <w:rFonts w:hint="eastAsia" w:ascii="Times New Roman" w:hAnsi="Times New Roman" w:cs="Times New Roman"/>
          <w:sz w:val="24"/>
          <w:lang w:val="en-US" w:eastAsia="zh-CN"/>
        </w:rPr>
        <w:t>北侧</w:t>
      </w:r>
      <w:r>
        <w:rPr>
          <w:rFonts w:hint="eastAsia" w:ascii="Times New Roman" w:hAnsi="Times New Roman" w:cs="Times New Roman"/>
          <w:sz w:val="24"/>
        </w:rPr>
        <w:t>昼间噪声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为59</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hint="eastAsia" w:ascii="Times New Roman" w:hAnsi="Times New Roman" w:cs="Times New Roman"/>
          <w:color w:val="000000"/>
          <w:sz w:val="24"/>
        </w:rPr>
        <w:t>符合</w:t>
      </w:r>
      <w:r>
        <w:rPr>
          <w:rFonts w:ascii="Times New Roman" w:hAnsi="Times New Roman" w:cs="Times New Roman"/>
          <w:color w:val="000000"/>
          <w:sz w:val="24"/>
        </w:rPr>
        <w:t>《工业企业厂界噪声排放标准》</w:t>
      </w:r>
      <w:r>
        <w:rPr>
          <w:rFonts w:hint="eastAsia" w:ascii="Times New Roman" w:hAnsi="Times New Roman" w:cs="Times New Roman"/>
          <w:color w:val="000000"/>
          <w:sz w:val="24"/>
          <w:lang w:eastAsia="zh-CN"/>
        </w:rPr>
        <w:t>（</w:t>
      </w:r>
      <w:r>
        <w:rPr>
          <w:rFonts w:ascii="Times New Roman" w:hAnsi="Times New Roman" w:cs="Times New Roman"/>
          <w:color w:val="000000"/>
          <w:sz w:val="24"/>
        </w:rPr>
        <w:t>GB</w:t>
      </w:r>
      <w:r>
        <w:rPr>
          <w:rFonts w:hint="eastAsia" w:ascii="Times New Roman" w:hAnsi="Times New Roman" w:cs="Times New Roman"/>
          <w:color w:val="000000"/>
          <w:sz w:val="24"/>
          <w:lang w:val="en-US" w:eastAsia="zh-CN"/>
        </w:rPr>
        <w:t xml:space="preserve"> </w:t>
      </w:r>
      <w:r>
        <w:rPr>
          <w:rFonts w:ascii="Times New Roman" w:hAnsi="Times New Roman" w:cs="Times New Roman"/>
          <w:color w:val="000000"/>
          <w:sz w:val="24"/>
        </w:rPr>
        <w:t>12348-2008</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rPr>
        <w:t>中3</w:t>
      </w:r>
      <w:r>
        <w:rPr>
          <w:rFonts w:ascii="Times New Roman" w:hAnsi="Times New Roman" w:cs="Times New Roman"/>
          <w:color w:val="000000"/>
          <w:sz w:val="24"/>
        </w:rPr>
        <w:t>类</w:t>
      </w:r>
      <w:r>
        <w:rPr>
          <w:rFonts w:hint="eastAsia" w:ascii="Times New Roman" w:hAnsi="Times New Roman" w:cs="Times New Roman"/>
          <w:color w:val="000000"/>
          <w:sz w:val="24"/>
        </w:rPr>
        <w:t>区</w:t>
      </w:r>
      <w:r>
        <w:rPr>
          <w:rFonts w:ascii="Times New Roman" w:hAnsi="Times New Roman" w:cs="Times New Roman"/>
          <w:color w:val="000000"/>
          <w:sz w:val="24"/>
        </w:rPr>
        <w:t>标准</w:t>
      </w:r>
      <w:r>
        <w:rPr>
          <w:rFonts w:hint="eastAsia" w:ascii="Times New Roman" w:hAnsi="Times New Roman" w:cs="Times New Roman"/>
          <w:color w:val="000000"/>
          <w:sz w:val="24"/>
          <w:lang w:eastAsia="zh-CN"/>
        </w:rPr>
        <w:t>，厂界东外1m处（N1）、厂界南外1m处（N2）、厂界西外1m处（N3）不具备检测条件，故不进行检测</w:t>
      </w:r>
      <w:r>
        <w:rPr>
          <w:rFonts w:hint="eastAsia" w:ascii="Times New Roman" w:hAnsi="Times New Roman" w:cs="Times New Roman"/>
          <w:color w:val="000000"/>
          <w:sz w:val="24"/>
        </w:rPr>
        <w:t>。</w:t>
      </w:r>
      <w:bookmarkEnd w:id="107"/>
    </w:p>
    <w:p>
      <w:pPr>
        <w:pStyle w:val="6"/>
        <w:keepNext/>
        <w:keepLines/>
        <w:pageBreakBefore w:val="0"/>
        <w:widowControl w:val="0"/>
        <w:kinsoku/>
        <w:wordWrap/>
        <w:overflowPunct/>
        <w:topLinePunct w:val="0"/>
        <w:autoSpaceDE/>
        <w:autoSpaceDN/>
        <w:bidi w:val="0"/>
        <w:adjustRightInd/>
        <w:snapToGrid/>
        <w:spacing w:before="220" w:after="220" w:line="384" w:lineRule="auto"/>
        <w:textAlignment w:val="auto"/>
      </w:pPr>
      <w:bookmarkStart w:id="108" w:name="_Toc27772"/>
      <w:bookmarkStart w:id="109" w:name="_Toc16401"/>
      <w:r>
        <w:rPr>
          <w:rFonts w:hint="eastAsia"/>
          <w:kern w:val="22"/>
        </w:rPr>
        <w:t>9.2.</w:t>
      </w:r>
      <w:r>
        <w:rPr>
          <w:rFonts w:hint="eastAsia"/>
          <w:kern w:val="22"/>
          <w:lang w:val="en-US" w:eastAsia="zh-CN"/>
        </w:rPr>
        <w:t>5</w:t>
      </w:r>
      <w:r>
        <w:t>环保设施</w:t>
      </w:r>
      <w:r>
        <w:rPr>
          <w:rFonts w:hint="eastAsia"/>
          <w:highlight w:val="none"/>
          <w:lang w:val="en-US" w:eastAsia="zh-CN"/>
        </w:rPr>
        <w:t>处理</w:t>
      </w:r>
      <w:r>
        <w:rPr>
          <w:highlight w:val="none"/>
        </w:rPr>
        <w:t>效</w:t>
      </w:r>
      <w:r>
        <w:t>率监测结果</w:t>
      </w:r>
      <w:bookmarkEnd w:id="108"/>
      <w:bookmarkEnd w:id="109"/>
    </w:p>
    <w:p>
      <w:pPr>
        <w:snapToGrid w:val="0"/>
        <w:spacing w:line="360" w:lineRule="auto"/>
        <w:ind w:firstLine="480" w:firstLineChars="200"/>
        <w:rPr>
          <w:rFonts w:ascii="Times New Roman" w:hAnsi="Times New Roman" w:eastAsia="宋体" w:cs="Times New Roman"/>
          <w:kern w:val="22"/>
          <w:sz w:val="24"/>
          <w:szCs w:val="24"/>
        </w:rPr>
      </w:pPr>
      <w:r>
        <w:rPr>
          <w:rFonts w:hint="eastAsia" w:ascii="Times New Roman" w:hAnsi="Times New Roman" w:eastAsia="宋体" w:cs="Times New Roman"/>
          <w:kern w:val="22"/>
          <w:sz w:val="24"/>
          <w:szCs w:val="24"/>
        </w:rPr>
        <w:t>本次验收监测，环保设施处理效率见表9</w:t>
      </w:r>
      <w:r>
        <w:rPr>
          <w:rFonts w:ascii="Times New Roman" w:hAnsi="Times New Roman" w:eastAsia="宋体" w:cs="Times New Roman"/>
          <w:kern w:val="22"/>
          <w:sz w:val="24"/>
          <w:szCs w:val="24"/>
        </w:rPr>
        <w:t>.2.</w:t>
      </w:r>
      <w:r>
        <w:rPr>
          <w:rFonts w:hint="eastAsia" w:ascii="Times New Roman" w:hAnsi="Times New Roman" w:eastAsia="宋体" w:cs="Times New Roman"/>
          <w:kern w:val="22"/>
          <w:sz w:val="24"/>
          <w:szCs w:val="24"/>
          <w:lang w:val="en-US" w:eastAsia="zh-CN"/>
        </w:rPr>
        <w:t>5</w:t>
      </w:r>
      <w:r>
        <w:rPr>
          <w:rFonts w:hint="eastAsia" w:ascii="Times New Roman" w:hAnsi="Times New Roman" w:eastAsia="宋体" w:cs="Times New Roman"/>
          <w:kern w:val="22"/>
          <w:sz w:val="24"/>
          <w:szCs w:val="24"/>
        </w:rPr>
        <w:t>-</w:t>
      </w:r>
      <w:r>
        <w:rPr>
          <w:rFonts w:ascii="Times New Roman" w:hAnsi="Times New Roman" w:eastAsia="宋体" w:cs="Times New Roman"/>
          <w:kern w:val="22"/>
          <w:sz w:val="24"/>
          <w:szCs w:val="24"/>
        </w:rPr>
        <w:t>1</w:t>
      </w:r>
      <w:r>
        <w:rPr>
          <w:rFonts w:hint="eastAsia" w:ascii="Times New Roman" w:hAnsi="Times New Roman" w:eastAsia="宋体" w:cs="Times New Roman"/>
          <w:kern w:val="22"/>
          <w:sz w:val="24"/>
          <w:szCs w:val="24"/>
        </w:rPr>
        <w:t>。</w:t>
      </w:r>
    </w:p>
    <w:p>
      <w:pPr>
        <w:snapToGrid w:val="0"/>
        <w:spacing w:line="360" w:lineRule="auto"/>
        <w:ind w:firstLine="482" w:firstLineChars="200"/>
        <w:jc w:val="center"/>
        <w:rPr>
          <w:rFonts w:ascii="Times New Roman" w:hAnsi="Times New Roman" w:eastAsia="宋体" w:cs="Times New Roman"/>
          <w:b/>
          <w:bCs/>
          <w:kern w:val="22"/>
          <w:sz w:val="24"/>
          <w:szCs w:val="24"/>
        </w:rPr>
      </w:pPr>
      <w:r>
        <w:rPr>
          <w:rFonts w:hint="eastAsia" w:ascii="Times New Roman" w:hAnsi="Times New Roman" w:eastAsia="宋体" w:cs="Times New Roman"/>
          <w:b/>
          <w:bCs/>
          <w:kern w:val="22"/>
          <w:sz w:val="24"/>
          <w:szCs w:val="24"/>
        </w:rPr>
        <w:t>表9</w:t>
      </w:r>
      <w:r>
        <w:rPr>
          <w:rFonts w:ascii="Times New Roman" w:hAnsi="Times New Roman" w:eastAsia="宋体" w:cs="Times New Roman"/>
          <w:b/>
          <w:bCs/>
          <w:kern w:val="22"/>
          <w:sz w:val="24"/>
          <w:szCs w:val="24"/>
        </w:rPr>
        <w:t>.2.</w:t>
      </w:r>
      <w:r>
        <w:rPr>
          <w:rFonts w:hint="eastAsia" w:ascii="Times New Roman" w:hAnsi="Times New Roman" w:eastAsia="宋体" w:cs="Times New Roman"/>
          <w:b/>
          <w:bCs/>
          <w:kern w:val="22"/>
          <w:sz w:val="24"/>
          <w:szCs w:val="24"/>
          <w:lang w:val="en-US" w:eastAsia="zh-CN"/>
        </w:rPr>
        <w:t>5</w:t>
      </w:r>
      <w:r>
        <w:rPr>
          <w:rFonts w:hint="eastAsia" w:ascii="Times New Roman" w:hAnsi="Times New Roman" w:eastAsia="宋体" w:cs="Times New Roman"/>
          <w:b/>
          <w:bCs/>
          <w:kern w:val="22"/>
          <w:sz w:val="24"/>
          <w:szCs w:val="24"/>
        </w:rPr>
        <w:t>-</w:t>
      </w:r>
      <w:r>
        <w:rPr>
          <w:rFonts w:ascii="Times New Roman" w:hAnsi="Times New Roman" w:eastAsia="宋体" w:cs="Times New Roman"/>
          <w:b/>
          <w:bCs/>
          <w:kern w:val="22"/>
          <w:sz w:val="24"/>
          <w:szCs w:val="24"/>
        </w:rPr>
        <w:t>1</w:t>
      </w:r>
      <w:r>
        <w:rPr>
          <w:rFonts w:hint="eastAsia" w:ascii="Times New Roman" w:hAnsi="Times New Roman" w:eastAsia="宋体" w:cs="Times New Roman"/>
          <w:b/>
          <w:bCs/>
          <w:kern w:val="22"/>
          <w:sz w:val="24"/>
          <w:szCs w:val="24"/>
          <w:lang w:val="en-US" w:eastAsia="zh-CN"/>
        </w:rPr>
        <w:t>废水</w:t>
      </w:r>
      <w:r>
        <w:rPr>
          <w:rFonts w:hint="eastAsia" w:ascii="Times New Roman" w:hAnsi="Times New Roman" w:eastAsia="宋体" w:cs="Times New Roman"/>
          <w:b/>
          <w:bCs/>
          <w:kern w:val="22"/>
          <w:sz w:val="24"/>
          <w:szCs w:val="24"/>
        </w:rPr>
        <w:t>环保设施</w:t>
      </w:r>
      <w:r>
        <w:rPr>
          <w:rFonts w:hint="eastAsia" w:ascii="Times New Roman" w:hAnsi="Times New Roman" w:eastAsia="宋体" w:cs="Times New Roman"/>
          <w:b/>
          <w:bCs/>
          <w:kern w:val="22"/>
          <w:sz w:val="24"/>
          <w:szCs w:val="24"/>
          <w:highlight w:val="none"/>
          <w:lang w:val="en-US" w:eastAsia="zh-CN"/>
        </w:rPr>
        <w:t>处理</w:t>
      </w:r>
      <w:r>
        <w:rPr>
          <w:rFonts w:hint="eastAsia" w:ascii="Times New Roman" w:hAnsi="Times New Roman" w:eastAsia="宋体" w:cs="Times New Roman"/>
          <w:b/>
          <w:bCs/>
          <w:kern w:val="22"/>
          <w:sz w:val="24"/>
          <w:szCs w:val="24"/>
        </w:rPr>
        <w:t>效率</w:t>
      </w:r>
    </w:p>
    <w:tbl>
      <w:tblPr>
        <w:tblStyle w:val="32"/>
        <w:tblW w:w="84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270"/>
        <w:gridCol w:w="1357"/>
        <w:gridCol w:w="1708"/>
        <w:gridCol w:w="1800"/>
        <w:gridCol w:w="11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restart"/>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处理设施</w:t>
            </w:r>
          </w:p>
        </w:tc>
        <w:tc>
          <w:tcPr>
            <w:tcW w:w="1270" w:type="dxa"/>
            <w:vMerge w:val="restart"/>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污染因子</w:t>
            </w:r>
          </w:p>
        </w:tc>
        <w:tc>
          <w:tcPr>
            <w:tcW w:w="1357" w:type="dxa"/>
            <w:vMerge w:val="restart"/>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日期</w:t>
            </w:r>
          </w:p>
        </w:tc>
        <w:tc>
          <w:tcPr>
            <w:tcW w:w="3508" w:type="dxa"/>
            <w:gridSpan w:val="2"/>
            <w:tcBorders>
              <w:tl2br w:val="nil"/>
              <w:tr2bl w:val="nil"/>
            </w:tcBorders>
            <w:vAlign w:val="center"/>
          </w:tcPr>
          <w:p>
            <w:pPr>
              <w:adjustRightInd w:val="0"/>
              <w:snapToGrid w:val="0"/>
              <w:jc w:val="center"/>
              <w:rPr>
                <w:rFonts w:ascii="Times New Roman" w:hAnsi="Times New Roman" w:cs="Times New Roman"/>
                <w:b/>
                <w:bCs/>
                <w:szCs w:val="21"/>
              </w:rPr>
            </w:pPr>
            <w:r>
              <w:rPr>
                <w:rFonts w:hint="eastAsia" w:ascii="Times New Roman" w:hAnsi="Times New Roman" w:cs="Times New Roman"/>
                <w:b/>
                <w:bCs/>
                <w:color w:val="auto"/>
                <w:lang w:val="en-US" w:eastAsia="zh-CN"/>
              </w:rPr>
              <w:t>排放浓度</w:t>
            </w:r>
            <w:r>
              <w:rPr>
                <w:rFonts w:hint="default" w:ascii="Times New Roman" w:hAnsi="Times New Roman" w:cs="Times New Roman"/>
                <w:b/>
                <w:bCs/>
                <w:color w:val="auto"/>
              </w:rPr>
              <w:t>mg/L</w:t>
            </w:r>
          </w:p>
        </w:tc>
        <w:tc>
          <w:tcPr>
            <w:tcW w:w="1103" w:type="dxa"/>
            <w:vMerge w:val="restart"/>
            <w:tcBorders>
              <w:tl2br w:val="nil"/>
              <w:tr2bl w:val="nil"/>
            </w:tcBorders>
            <w:vAlign w:val="center"/>
          </w:tcPr>
          <w:p>
            <w:pPr>
              <w:adjustRightInd w:val="0"/>
              <w:snapToGrid w:val="0"/>
              <w:jc w:val="center"/>
              <w:rPr>
                <w:rFonts w:hint="eastAsia" w:ascii="Times New Roman" w:hAnsi="Times New Roman" w:cs="Times New Roman" w:eastAsiaTheme="minorEastAsia"/>
                <w:b/>
                <w:bCs/>
                <w:szCs w:val="21"/>
                <w:lang w:eastAsia="zh-CN"/>
              </w:rPr>
            </w:pPr>
            <w:r>
              <w:rPr>
                <w:rFonts w:hint="eastAsia" w:ascii="Times New Roman" w:hAnsi="Times New Roman" w:cs="Times New Roman"/>
                <w:b/>
                <w:bCs/>
                <w:szCs w:val="21"/>
                <w:highlight w:val="none"/>
                <w:lang w:val="en-US" w:eastAsia="zh-CN"/>
              </w:rPr>
              <w:t>处理</w:t>
            </w:r>
            <w:r>
              <w:rPr>
                <w:rFonts w:ascii="Times New Roman" w:hAnsi="Times New Roman" w:cs="Times New Roman"/>
                <w:b/>
                <w:bCs/>
                <w:szCs w:val="21"/>
                <w:highlight w:val="none"/>
              </w:rPr>
              <w:t>效率</w:t>
            </w:r>
            <w:r>
              <w:rPr>
                <w:rFonts w:hint="eastAsia" w:ascii="Times New Roman" w:hAnsi="Times New Roman" w:cs="Times New Roman"/>
                <w:b/>
                <w:bCs/>
                <w:szCs w:val="21"/>
                <w:highlight w:val="none"/>
                <w:lang w:eastAsia="zh-CN"/>
              </w:rPr>
              <w:t>（</w:t>
            </w:r>
            <w:r>
              <w:rPr>
                <w:rFonts w:hint="eastAsia" w:ascii="Times New Roman" w:hAnsi="Times New Roman" w:cs="Times New Roman"/>
                <w:b/>
                <w:bCs/>
                <w:szCs w:val="21"/>
                <w:highlight w:val="none"/>
                <w:lang w:val="en-US" w:eastAsia="zh-CN"/>
              </w:rPr>
              <w:t>%</w:t>
            </w:r>
            <w:r>
              <w:rPr>
                <w:rFonts w:hint="eastAsia" w:ascii="Times New Roman" w:hAnsi="Times New Roman" w:cs="Times New Roman"/>
                <w:b/>
                <w:bCs/>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270"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5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708"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进口（</w:t>
            </w:r>
            <w:r>
              <w:rPr>
                <w:rFonts w:hint="eastAsia" w:ascii="Times New Roman" w:hAnsi="Times New Roman" w:cs="Times New Roman"/>
                <w:b/>
                <w:bCs/>
                <w:szCs w:val="21"/>
              </w:rPr>
              <w:t>D</w:t>
            </w:r>
            <w:r>
              <w:rPr>
                <w:rFonts w:hint="eastAsia" w:ascii="Times New Roman" w:hAnsi="Times New Roman" w:cs="Times New Roman"/>
                <w:b/>
                <w:bCs/>
                <w:szCs w:val="21"/>
                <w:lang w:val="en-US" w:eastAsia="zh-CN"/>
              </w:rPr>
              <w:t>W</w:t>
            </w:r>
            <w:r>
              <w:rPr>
                <w:rFonts w:ascii="Times New Roman" w:hAnsi="Times New Roman" w:cs="Times New Roman"/>
                <w:b/>
                <w:bCs/>
                <w:szCs w:val="21"/>
              </w:rPr>
              <w:t>00</w:t>
            </w:r>
            <w:r>
              <w:rPr>
                <w:rFonts w:hint="eastAsia" w:ascii="Times New Roman" w:hAnsi="Times New Roman" w:cs="Times New Roman"/>
                <w:b/>
                <w:bCs/>
                <w:szCs w:val="21"/>
                <w:lang w:val="en-US" w:eastAsia="zh-CN"/>
              </w:rPr>
              <w:t>2</w:t>
            </w:r>
            <w:r>
              <w:rPr>
                <w:rFonts w:ascii="Times New Roman" w:hAnsi="Times New Roman" w:cs="Times New Roman"/>
                <w:b/>
                <w:bCs/>
                <w:szCs w:val="21"/>
              </w:rPr>
              <w:t>-1）</w:t>
            </w:r>
          </w:p>
        </w:tc>
        <w:tc>
          <w:tcPr>
            <w:tcW w:w="1800"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出口（</w:t>
            </w:r>
            <w:r>
              <w:rPr>
                <w:rFonts w:hint="eastAsia" w:ascii="Times New Roman" w:hAnsi="Times New Roman" w:cs="Times New Roman"/>
                <w:b/>
                <w:bCs/>
                <w:szCs w:val="21"/>
              </w:rPr>
              <w:t>D</w:t>
            </w:r>
            <w:r>
              <w:rPr>
                <w:rFonts w:hint="eastAsia" w:ascii="Times New Roman" w:hAnsi="Times New Roman" w:cs="Times New Roman"/>
                <w:b/>
                <w:bCs/>
                <w:szCs w:val="21"/>
                <w:lang w:val="en-US" w:eastAsia="zh-CN"/>
              </w:rPr>
              <w:t>W</w:t>
            </w:r>
            <w:r>
              <w:rPr>
                <w:rFonts w:ascii="Times New Roman" w:hAnsi="Times New Roman" w:cs="Times New Roman"/>
                <w:b/>
                <w:bCs/>
                <w:szCs w:val="21"/>
              </w:rPr>
              <w:t>00</w:t>
            </w:r>
            <w:r>
              <w:rPr>
                <w:rFonts w:hint="eastAsia" w:ascii="Times New Roman" w:hAnsi="Times New Roman" w:cs="Times New Roman"/>
                <w:b/>
                <w:bCs/>
                <w:szCs w:val="21"/>
                <w:lang w:val="en-US" w:eastAsia="zh-CN"/>
              </w:rPr>
              <w:t>2</w:t>
            </w:r>
            <w:r>
              <w:rPr>
                <w:rFonts w:ascii="Times New Roman" w:hAnsi="Times New Roman" w:cs="Times New Roman"/>
                <w:b/>
                <w:bCs/>
                <w:szCs w:val="21"/>
              </w:rPr>
              <w:t>-2）</w:t>
            </w:r>
          </w:p>
        </w:tc>
        <w:tc>
          <w:tcPr>
            <w:tcW w:w="1103" w:type="dxa"/>
            <w:vMerge w:val="continue"/>
            <w:tcBorders>
              <w:tl2br w:val="nil"/>
              <w:tr2bl w:val="nil"/>
            </w:tcBorders>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color w:val="auto"/>
                <w:lang w:val="en-US" w:eastAsia="zh-CN"/>
              </w:rPr>
              <w:t>生产废水处理设施DW001</w:t>
            </w:r>
          </w:p>
        </w:tc>
        <w:tc>
          <w:tcPr>
            <w:tcW w:w="1270"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color w:val="auto"/>
                <w:lang w:val="en-US" w:eastAsia="zh-CN"/>
              </w:rPr>
              <w:t>悬浮物</w:t>
            </w:r>
          </w:p>
        </w:tc>
        <w:tc>
          <w:tcPr>
            <w:tcW w:w="1357" w:type="dxa"/>
            <w:tcBorders>
              <w:tl2br w:val="nil"/>
              <w:tr2bl w:val="nil"/>
            </w:tcBorders>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2023.12.21</w:t>
            </w:r>
          </w:p>
        </w:tc>
        <w:tc>
          <w:tcPr>
            <w:tcW w:w="1708"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rPr>
              <w:t>64</w:t>
            </w:r>
          </w:p>
        </w:tc>
        <w:tc>
          <w:tcPr>
            <w:tcW w:w="1800"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rPr>
              <w:t>14</w:t>
            </w:r>
          </w:p>
        </w:tc>
        <w:tc>
          <w:tcPr>
            <w:tcW w:w="1103" w:type="dxa"/>
            <w:tcBorders>
              <w:tl2br w:val="nil"/>
              <w:tr2bl w:val="nil"/>
            </w:tcBorders>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78.1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270"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57" w:type="dxa"/>
            <w:tcBorders>
              <w:tl2br w:val="nil"/>
              <w:tr2bl w:val="nil"/>
            </w:tcBorders>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2023.12.22</w:t>
            </w:r>
          </w:p>
        </w:tc>
        <w:tc>
          <w:tcPr>
            <w:tcW w:w="1708"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bidi="ar-SA"/>
              </w:rPr>
              <w:t>60</w:t>
            </w:r>
          </w:p>
        </w:tc>
        <w:tc>
          <w:tcPr>
            <w:tcW w:w="1800"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bidi="ar-SA"/>
              </w:rPr>
              <w:t>14</w:t>
            </w:r>
          </w:p>
        </w:tc>
        <w:tc>
          <w:tcPr>
            <w:tcW w:w="1103" w:type="dxa"/>
            <w:tcBorders>
              <w:tl2br w:val="nil"/>
              <w:tr2bl w:val="nil"/>
            </w:tcBorders>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76.7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270" w:type="dxa"/>
            <w:vMerge w:val="restart"/>
            <w:tcBorders>
              <w:tl2br w:val="nil"/>
              <w:tr2bl w:val="nil"/>
            </w:tcBorders>
            <w:vAlign w:val="center"/>
          </w:tcPr>
          <w:p>
            <w:pPr>
              <w:adjustRightInd w:val="0"/>
              <w:snapToGrid w:val="0"/>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化学需氧量</w:t>
            </w:r>
          </w:p>
        </w:tc>
        <w:tc>
          <w:tcPr>
            <w:tcW w:w="1357" w:type="dxa"/>
            <w:tcBorders>
              <w:tl2br w:val="nil"/>
              <w:tr2bl w:val="nil"/>
            </w:tcBorders>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2023.12.21</w:t>
            </w:r>
          </w:p>
        </w:tc>
        <w:tc>
          <w:tcPr>
            <w:tcW w:w="1708"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rPr>
              <w:t>332</w:t>
            </w:r>
          </w:p>
        </w:tc>
        <w:tc>
          <w:tcPr>
            <w:tcW w:w="1800"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rPr>
              <w:t>222</w:t>
            </w:r>
          </w:p>
        </w:tc>
        <w:tc>
          <w:tcPr>
            <w:tcW w:w="1103" w:type="dxa"/>
            <w:tcBorders>
              <w:tl2br w:val="nil"/>
              <w:tr2bl w:val="nil"/>
            </w:tcBorders>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270"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357" w:type="dxa"/>
            <w:tcBorders>
              <w:tl2br w:val="nil"/>
              <w:tr2bl w:val="nil"/>
            </w:tcBorders>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2023.12.22</w:t>
            </w:r>
          </w:p>
        </w:tc>
        <w:tc>
          <w:tcPr>
            <w:tcW w:w="1708"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bidi="ar-SA"/>
              </w:rPr>
              <w:t>294</w:t>
            </w:r>
          </w:p>
        </w:tc>
        <w:tc>
          <w:tcPr>
            <w:tcW w:w="1800"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bidi="ar-SA"/>
              </w:rPr>
              <w:t>200</w:t>
            </w:r>
          </w:p>
        </w:tc>
        <w:tc>
          <w:tcPr>
            <w:tcW w:w="1103" w:type="dxa"/>
            <w:tcBorders>
              <w:tl2br w:val="nil"/>
              <w:tr2bl w:val="nil"/>
            </w:tcBorders>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continue"/>
          </w:tcPr>
          <w:p>
            <w:pPr>
              <w:adjustRightInd w:val="0"/>
              <w:snapToGrid w:val="0"/>
              <w:jc w:val="center"/>
              <w:rPr>
                <w:rFonts w:ascii="Times New Roman" w:hAnsi="Times New Roman" w:cs="Times New Roman"/>
                <w:szCs w:val="21"/>
              </w:rPr>
            </w:pPr>
          </w:p>
        </w:tc>
        <w:tc>
          <w:tcPr>
            <w:tcW w:w="1270" w:type="dxa"/>
            <w:vMerge w:val="restart"/>
            <w:vAlign w:val="center"/>
          </w:tcPr>
          <w:p>
            <w:pPr>
              <w:adjustRightInd w:val="0"/>
              <w:snapToGrid w:val="0"/>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氨氮</w:t>
            </w:r>
          </w:p>
        </w:tc>
        <w:tc>
          <w:tcPr>
            <w:tcW w:w="1357" w:type="dxa"/>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2023.12.21</w:t>
            </w:r>
          </w:p>
        </w:tc>
        <w:tc>
          <w:tcPr>
            <w:tcW w:w="1708" w:type="dxa"/>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rPr>
              <w:t>10.4</w:t>
            </w:r>
          </w:p>
        </w:tc>
        <w:tc>
          <w:tcPr>
            <w:tcW w:w="1800" w:type="dxa"/>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rPr>
              <w:t>7.97</w:t>
            </w:r>
          </w:p>
        </w:tc>
        <w:tc>
          <w:tcPr>
            <w:tcW w:w="1103"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23.4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continue"/>
          </w:tcPr>
          <w:p>
            <w:pPr>
              <w:adjustRightInd w:val="0"/>
              <w:snapToGrid w:val="0"/>
              <w:jc w:val="center"/>
              <w:rPr>
                <w:rFonts w:ascii="Times New Roman" w:hAnsi="Times New Roman" w:cs="Times New Roman"/>
                <w:szCs w:val="21"/>
              </w:rPr>
            </w:pPr>
          </w:p>
        </w:tc>
        <w:tc>
          <w:tcPr>
            <w:tcW w:w="1270" w:type="dxa"/>
            <w:vMerge w:val="continue"/>
          </w:tcPr>
          <w:p>
            <w:pPr>
              <w:adjustRightInd w:val="0"/>
              <w:snapToGrid w:val="0"/>
              <w:jc w:val="both"/>
              <w:rPr>
                <w:rFonts w:ascii="Times New Roman" w:hAnsi="Times New Roman" w:cs="Times New Roman"/>
                <w:szCs w:val="21"/>
              </w:rPr>
            </w:pPr>
          </w:p>
        </w:tc>
        <w:tc>
          <w:tcPr>
            <w:tcW w:w="1357" w:type="dxa"/>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2023.12.22</w:t>
            </w:r>
          </w:p>
        </w:tc>
        <w:tc>
          <w:tcPr>
            <w:tcW w:w="1708" w:type="dxa"/>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bidi="ar-SA"/>
              </w:rPr>
              <w:t>11.1</w:t>
            </w:r>
          </w:p>
        </w:tc>
        <w:tc>
          <w:tcPr>
            <w:tcW w:w="1800" w:type="dxa"/>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bidi="ar-SA"/>
              </w:rPr>
              <w:t>7.83</w:t>
            </w:r>
          </w:p>
        </w:tc>
        <w:tc>
          <w:tcPr>
            <w:tcW w:w="1103"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29.5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continue"/>
          </w:tcPr>
          <w:p>
            <w:pPr>
              <w:adjustRightInd w:val="0"/>
              <w:snapToGrid w:val="0"/>
              <w:jc w:val="center"/>
              <w:rPr>
                <w:rFonts w:ascii="Times New Roman" w:hAnsi="Times New Roman" w:cs="Times New Roman"/>
                <w:szCs w:val="21"/>
              </w:rPr>
            </w:pPr>
          </w:p>
        </w:tc>
        <w:tc>
          <w:tcPr>
            <w:tcW w:w="1270" w:type="dxa"/>
            <w:vMerge w:val="restart"/>
            <w:vAlign w:val="center"/>
          </w:tcPr>
          <w:p>
            <w:pPr>
              <w:adjustRightInd w:val="0"/>
              <w:snapToGrid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总磷</w:t>
            </w:r>
          </w:p>
        </w:tc>
        <w:tc>
          <w:tcPr>
            <w:tcW w:w="1357" w:type="dxa"/>
            <w:vAlign w:val="center"/>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2023.12.21</w:t>
            </w:r>
          </w:p>
        </w:tc>
        <w:tc>
          <w:tcPr>
            <w:tcW w:w="1708"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1.05</w:t>
            </w:r>
          </w:p>
        </w:tc>
        <w:tc>
          <w:tcPr>
            <w:tcW w:w="1800"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0.32</w:t>
            </w:r>
          </w:p>
        </w:tc>
        <w:tc>
          <w:tcPr>
            <w:tcW w:w="1103"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69.5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continue"/>
          </w:tcPr>
          <w:p>
            <w:pPr>
              <w:adjustRightInd w:val="0"/>
              <w:snapToGrid w:val="0"/>
              <w:jc w:val="center"/>
              <w:rPr>
                <w:rFonts w:ascii="Times New Roman" w:hAnsi="Times New Roman" w:cs="Times New Roman"/>
                <w:szCs w:val="21"/>
              </w:rPr>
            </w:pPr>
          </w:p>
        </w:tc>
        <w:tc>
          <w:tcPr>
            <w:tcW w:w="1270" w:type="dxa"/>
            <w:vMerge w:val="continue"/>
          </w:tcPr>
          <w:p>
            <w:pPr>
              <w:adjustRightInd w:val="0"/>
              <w:snapToGrid w:val="0"/>
              <w:jc w:val="center"/>
              <w:rPr>
                <w:rFonts w:hint="eastAsia" w:ascii="Times New Roman" w:hAnsi="Times New Roman" w:cs="Times New Roman"/>
                <w:color w:val="auto"/>
                <w:lang w:val="en-US" w:eastAsia="zh-CN"/>
              </w:rPr>
            </w:pPr>
          </w:p>
        </w:tc>
        <w:tc>
          <w:tcPr>
            <w:tcW w:w="1357" w:type="dxa"/>
            <w:vAlign w:val="center"/>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2023.12.22</w:t>
            </w:r>
          </w:p>
        </w:tc>
        <w:tc>
          <w:tcPr>
            <w:tcW w:w="1708"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1.16</w:t>
            </w:r>
          </w:p>
        </w:tc>
        <w:tc>
          <w:tcPr>
            <w:tcW w:w="1800"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0.26</w:t>
            </w:r>
          </w:p>
        </w:tc>
        <w:tc>
          <w:tcPr>
            <w:tcW w:w="1103"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77.6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continue"/>
          </w:tcPr>
          <w:p>
            <w:pPr>
              <w:adjustRightInd w:val="0"/>
              <w:snapToGrid w:val="0"/>
              <w:jc w:val="center"/>
              <w:rPr>
                <w:rFonts w:ascii="Times New Roman" w:hAnsi="Times New Roman" w:cs="Times New Roman"/>
                <w:szCs w:val="21"/>
              </w:rPr>
            </w:pPr>
          </w:p>
        </w:tc>
        <w:tc>
          <w:tcPr>
            <w:tcW w:w="1270" w:type="dxa"/>
            <w:vMerge w:val="restart"/>
            <w:vAlign w:val="center"/>
          </w:tcPr>
          <w:p>
            <w:pPr>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阴离子表面活性剂</w:t>
            </w:r>
          </w:p>
        </w:tc>
        <w:tc>
          <w:tcPr>
            <w:tcW w:w="1357" w:type="dxa"/>
            <w:vAlign w:val="center"/>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2023.12.21</w:t>
            </w:r>
          </w:p>
        </w:tc>
        <w:tc>
          <w:tcPr>
            <w:tcW w:w="1708"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5.61</w:t>
            </w:r>
          </w:p>
        </w:tc>
        <w:tc>
          <w:tcPr>
            <w:tcW w:w="1800"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2.25</w:t>
            </w:r>
          </w:p>
        </w:tc>
        <w:tc>
          <w:tcPr>
            <w:tcW w:w="1103"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59.9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continue"/>
          </w:tcPr>
          <w:p>
            <w:pPr>
              <w:adjustRightInd w:val="0"/>
              <w:snapToGrid w:val="0"/>
              <w:jc w:val="center"/>
              <w:rPr>
                <w:rFonts w:ascii="Times New Roman" w:hAnsi="Times New Roman" w:cs="Times New Roman"/>
                <w:szCs w:val="21"/>
              </w:rPr>
            </w:pPr>
          </w:p>
        </w:tc>
        <w:tc>
          <w:tcPr>
            <w:tcW w:w="1270" w:type="dxa"/>
            <w:vMerge w:val="continue"/>
          </w:tcPr>
          <w:p>
            <w:pPr>
              <w:adjustRightInd w:val="0"/>
              <w:snapToGrid w:val="0"/>
              <w:jc w:val="both"/>
              <w:rPr>
                <w:rFonts w:ascii="Times New Roman" w:hAnsi="Times New Roman" w:cs="Times New Roman"/>
                <w:szCs w:val="21"/>
              </w:rPr>
            </w:pPr>
          </w:p>
        </w:tc>
        <w:tc>
          <w:tcPr>
            <w:tcW w:w="1357" w:type="dxa"/>
            <w:vAlign w:val="center"/>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2023.12.22</w:t>
            </w:r>
          </w:p>
        </w:tc>
        <w:tc>
          <w:tcPr>
            <w:tcW w:w="1708"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5.00</w:t>
            </w:r>
          </w:p>
        </w:tc>
        <w:tc>
          <w:tcPr>
            <w:tcW w:w="1800"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2.01</w:t>
            </w:r>
          </w:p>
        </w:tc>
        <w:tc>
          <w:tcPr>
            <w:tcW w:w="1103" w:type="dxa"/>
            <w:vAlign w:val="center"/>
          </w:tcPr>
          <w:p>
            <w:pPr>
              <w:adjustRightInd w:val="0"/>
              <w:snapToGrid w:val="0"/>
              <w:jc w:val="center"/>
              <w:rPr>
                <w:rFonts w:hint="eastAsia"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59.8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continue"/>
          </w:tcPr>
          <w:p>
            <w:pPr>
              <w:adjustRightInd w:val="0"/>
              <w:snapToGrid w:val="0"/>
              <w:jc w:val="center"/>
              <w:rPr>
                <w:rFonts w:ascii="Times New Roman" w:hAnsi="Times New Roman" w:cs="Times New Roman"/>
                <w:szCs w:val="21"/>
              </w:rPr>
            </w:pPr>
          </w:p>
        </w:tc>
        <w:tc>
          <w:tcPr>
            <w:tcW w:w="1270" w:type="dxa"/>
            <w:vMerge w:val="restart"/>
            <w:vAlign w:val="center"/>
          </w:tcPr>
          <w:p>
            <w:pPr>
              <w:adjustRightInd w:val="0"/>
              <w:snapToGrid w:val="0"/>
              <w:jc w:val="center"/>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石油类</w:t>
            </w:r>
          </w:p>
        </w:tc>
        <w:tc>
          <w:tcPr>
            <w:tcW w:w="1357" w:type="dxa"/>
            <w:vAlign w:val="center"/>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2023.12.21</w:t>
            </w:r>
          </w:p>
        </w:tc>
        <w:tc>
          <w:tcPr>
            <w:tcW w:w="1708"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3.73</w:t>
            </w:r>
          </w:p>
        </w:tc>
        <w:tc>
          <w:tcPr>
            <w:tcW w:w="1800"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0.312</w:t>
            </w:r>
          </w:p>
        </w:tc>
        <w:tc>
          <w:tcPr>
            <w:tcW w:w="1103"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91.6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41" w:type="dxa"/>
            <w:vMerge w:val="continue"/>
          </w:tcPr>
          <w:p>
            <w:pPr>
              <w:adjustRightInd w:val="0"/>
              <w:snapToGrid w:val="0"/>
              <w:jc w:val="center"/>
              <w:rPr>
                <w:rFonts w:ascii="Times New Roman" w:hAnsi="Times New Roman" w:cs="Times New Roman"/>
                <w:szCs w:val="21"/>
              </w:rPr>
            </w:pPr>
          </w:p>
        </w:tc>
        <w:tc>
          <w:tcPr>
            <w:tcW w:w="1270" w:type="dxa"/>
            <w:vMerge w:val="continue"/>
          </w:tcPr>
          <w:p>
            <w:pPr>
              <w:adjustRightInd w:val="0"/>
              <w:snapToGrid w:val="0"/>
              <w:jc w:val="both"/>
              <w:rPr>
                <w:rFonts w:ascii="Times New Roman" w:hAnsi="Times New Roman" w:cs="Times New Roman"/>
                <w:szCs w:val="21"/>
              </w:rPr>
            </w:pPr>
          </w:p>
        </w:tc>
        <w:tc>
          <w:tcPr>
            <w:tcW w:w="1357" w:type="dxa"/>
            <w:vAlign w:val="center"/>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2023.12.22</w:t>
            </w:r>
          </w:p>
        </w:tc>
        <w:tc>
          <w:tcPr>
            <w:tcW w:w="1708"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3.86</w:t>
            </w:r>
          </w:p>
        </w:tc>
        <w:tc>
          <w:tcPr>
            <w:tcW w:w="1800"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0.30</w:t>
            </w:r>
          </w:p>
        </w:tc>
        <w:tc>
          <w:tcPr>
            <w:tcW w:w="1103" w:type="dxa"/>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92.2</w:t>
            </w:r>
          </w:p>
        </w:tc>
      </w:tr>
    </w:tbl>
    <w:p>
      <w:pPr>
        <w:snapToGrid w:val="0"/>
        <w:spacing w:line="360" w:lineRule="auto"/>
        <w:ind w:firstLine="480" w:firstLineChars="200"/>
        <w:rPr>
          <w:rFonts w:hint="eastAsia" w:ascii="Times New Roman" w:hAnsi="Times New Roman" w:eastAsia="宋体" w:cs="Times New Roman"/>
          <w:kern w:val="22"/>
          <w:sz w:val="24"/>
          <w:szCs w:val="24"/>
          <w:lang w:val="en-US" w:eastAsia="zh-CN"/>
        </w:rPr>
      </w:pPr>
    </w:p>
    <w:p>
      <w:pPr>
        <w:snapToGrid w:val="0"/>
        <w:spacing w:line="360" w:lineRule="auto"/>
        <w:ind w:firstLine="482" w:firstLineChars="200"/>
        <w:jc w:val="center"/>
        <w:rPr>
          <w:rFonts w:ascii="Times New Roman" w:hAnsi="Times New Roman" w:eastAsia="宋体" w:cs="Times New Roman"/>
          <w:b/>
          <w:bCs/>
          <w:kern w:val="22"/>
          <w:sz w:val="24"/>
          <w:szCs w:val="24"/>
        </w:rPr>
      </w:pPr>
      <w:r>
        <w:rPr>
          <w:rFonts w:hint="eastAsia" w:ascii="Times New Roman" w:hAnsi="Times New Roman" w:eastAsia="宋体" w:cs="Times New Roman"/>
          <w:b/>
          <w:bCs/>
          <w:kern w:val="22"/>
          <w:sz w:val="24"/>
          <w:szCs w:val="24"/>
        </w:rPr>
        <w:t>表9</w:t>
      </w:r>
      <w:r>
        <w:rPr>
          <w:rFonts w:ascii="Times New Roman" w:hAnsi="Times New Roman" w:eastAsia="宋体" w:cs="Times New Roman"/>
          <w:b/>
          <w:bCs/>
          <w:kern w:val="22"/>
          <w:sz w:val="24"/>
          <w:szCs w:val="24"/>
        </w:rPr>
        <w:t>.2.</w:t>
      </w:r>
      <w:r>
        <w:rPr>
          <w:rFonts w:hint="eastAsia" w:ascii="Times New Roman" w:hAnsi="Times New Roman" w:eastAsia="宋体" w:cs="Times New Roman"/>
          <w:b/>
          <w:bCs/>
          <w:kern w:val="22"/>
          <w:sz w:val="24"/>
          <w:szCs w:val="24"/>
          <w:lang w:val="en-US" w:eastAsia="zh-CN"/>
        </w:rPr>
        <w:t>5</w:t>
      </w:r>
      <w:r>
        <w:rPr>
          <w:rFonts w:hint="eastAsia" w:ascii="Times New Roman" w:hAnsi="Times New Roman" w:eastAsia="宋体" w:cs="Times New Roman"/>
          <w:b/>
          <w:bCs/>
          <w:kern w:val="22"/>
          <w:sz w:val="24"/>
          <w:szCs w:val="24"/>
        </w:rPr>
        <w:t>-</w:t>
      </w:r>
      <w:r>
        <w:rPr>
          <w:rFonts w:hint="eastAsia" w:ascii="Times New Roman" w:hAnsi="Times New Roman" w:eastAsia="宋体" w:cs="Times New Roman"/>
          <w:b/>
          <w:bCs/>
          <w:kern w:val="22"/>
          <w:sz w:val="24"/>
          <w:szCs w:val="24"/>
          <w:lang w:val="en-US" w:eastAsia="zh-CN"/>
        </w:rPr>
        <w:t>2废气</w:t>
      </w:r>
      <w:r>
        <w:rPr>
          <w:rFonts w:hint="eastAsia" w:ascii="Times New Roman" w:hAnsi="Times New Roman" w:eastAsia="宋体" w:cs="Times New Roman"/>
          <w:b/>
          <w:bCs/>
          <w:kern w:val="22"/>
          <w:sz w:val="24"/>
          <w:szCs w:val="24"/>
        </w:rPr>
        <w:t>环保设施</w:t>
      </w:r>
      <w:r>
        <w:rPr>
          <w:rFonts w:hint="eastAsia" w:ascii="Times New Roman" w:hAnsi="Times New Roman" w:eastAsia="宋体" w:cs="Times New Roman"/>
          <w:b/>
          <w:bCs/>
          <w:kern w:val="22"/>
          <w:sz w:val="24"/>
          <w:szCs w:val="24"/>
          <w:highlight w:val="none"/>
          <w:lang w:val="en-US" w:eastAsia="zh-CN"/>
        </w:rPr>
        <w:t>处理</w:t>
      </w:r>
      <w:r>
        <w:rPr>
          <w:rFonts w:hint="eastAsia" w:ascii="Times New Roman" w:hAnsi="Times New Roman" w:eastAsia="宋体" w:cs="Times New Roman"/>
          <w:b/>
          <w:bCs/>
          <w:kern w:val="22"/>
          <w:sz w:val="24"/>
          <w:szCs w:val="24"/>
        </w:rPr>
        <w:t>效率</w:t>
      </w:r>
    </w:p>
    <w:tbl>
      <w:tblPr>
        <w:tblStyle w:val="32"/>
        <w:tblW w:w="85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827"/>
        <w:gridCol w:w="1179"/>
        <w:gridCol w:w="1446"/>
        <w:gridCol w:w="1457"/>
        <w:gridCol w:w="1436"/>
        <w:gridCol w:w="10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restart"/>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处理设施</w:t>
            </w:r>
          </w:p>
        </w:tc>
        <w:tc>
          <w:tcPr>
            <w:tcW w:w="827" w:type="dxa"/>
            <w:vMerge w:val="restart"/>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污染因子</w:t>
            </w:r>
          </w:p>
        </w:tc>
        <w:tc>
          <w:tcPr>
            <w:tcW w:w="1179" w:type="dxa"/>
            <w:vMerge w:val="restart"/>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日期</w:t>
            </w:r>
          </w:p>
        </w:tc>
        <w:tc>
          <w:tcPr>
            <w:tcW w:w="4339" w:type="dxa"/>
            <w:gridSpan w:val="3"/>
            <w:tcBorders>
              <w:tl2br w:val="nil"/>
              <w:tr2bl w:val="nil"/>
            </w:tcBorders>
            <w:vAlign w:val="center"/>
          </w:tcPr>
          <w:p>
            <w:pPr>
              <w:adjustRightInd w:val="0"/>
              <w:snapToGrid w:val="0"/>
              <w:jc w:val="center"/>
              <w:rPr>
                <w:rFonts w:hint="eastAsia" w:ascii="Times New Roman" w:hAnsi="Times New Roman" w:cs="Times New Roman" w:eastAsiaTheme="minorEastAsia"/>
                <w:b/>
                <w:bCs/>
                <w:szCs w:val="21"/>
                <w:lang w:val="en-US" w:eastAsia="zh-CN"/>
              </w:rPr>
            </w:pPr>
            <w:r>
              <w:rPr>
                <w:rFonts w:hint="eastAsia" w:ascii="Times New Roman" w:hAnsi="Times New Roman" w:cs="Times New Roman"/>
                <w:b/>
                <w:bCs/>
                <w:color w:val="auto"/>
                <w:lang w:val="en-US" w:eastAsia="zh-CN"/>
              </w:rPr>
              <w:t>排放速率k</w:t>
            </w:r>
            <w:r>
              <w:rPr>
                <w:rFonts w:hint="default" w:ascii="Times New Roman" w:hAnsi="Times New Roman" w:cs="Times New Roman"/>
                <w:b/>
                <w:bCs/>
                <w:color w:val="auto"/>
              </w:rPr>
              <w:t>g/</w:t>
            </w:r>
            <w:r>
              <w:rPr>
                <w:rFonts w:hint="eastAsia" w:ascii="Times New Roman" w:hAnsi="Times New Roman" w:cs="Times New Roman"/>
                <w:b/>
                <w:bCs/>
                <w:color w:val="auto"/>
                <w:lang w:val="en-US" w:eastAsia="zh-CN"/>
              </w:rPr>
              <w:t>h</w:t>
            </w:r>
          </w:p>
        </w:tc>
        <w:tc>
          <w:tcPr>
            <w:tcW w:w="1099" w:type="dxa"/>
            <w:vMerge w:val="restart"/>
            <w:tcBorders>
              <w:tl2br w:val="nil"/>
              <w:tr2bl w:val="nil"/>
            </w:tcBorders>
            <w:vAlign w:val="center"/>
          </w:tcPr>
          <w:p>
            <w:pPr>
              <w:adjustRightInd w:val="0"/>
              <w:snapToGrid w:val="0"/>
              <w:jc w:val="center"/>
              <w:rPr>
                <w:rFonts w:hint="eastAsia" w:ascii="Times New Roman" w:hAnsi="Times New Roman" w:cs="Times New Roman" w:eastAsiaTheme="minorEastAsia"/>
                <w:b/>
                <w:bCs/>
                <w:szCs w:val="21"/>
                <w:lang w:eastAsia="zh-CN"/>
              </w:rPr>
            </w:pPr>
            <w:r>
              <w:rPr>
                <w:rFonts w:hint="eastAsia" w:ascii="Times New Roman" w:hAnsi="Times New Roman" w:cs="Times New Roman"/>
                <w:b/>
                <w:bCs/>
                <w:szCs w:val="21"/>
                <w:highlight w:val="none"/>
                <w:lang w:val="en-US" w:eastAsia="zh-CN"/>
              </w:rPr>
              <w:t>处理</w:t>
            </w:r>
            <w:r>
              <w:rPr>
                <w:rFonts w:ascii="Times New Roman" w:hAnsi="Times New Roman" w:cs="Times New Roman"/>
                <w:b/>
                <w:bCs/>
                <w:szCs w:val="21"/>
                <w:highlight w:val="none"/>
              </w:rPr>
              <w:t>效率</w:t>
            </w:r>
            <w:r>
              <w:rPr>
                <w:rFonts w:hint="eastAsia" w:ascii="Times New Roman" w:hAnsi="Times New Roman" w:cs="Times New Roman"/>
                <w:b/>
                <w:bCs/>
                <w:szCs w:val="21"/>
                <w:highlight w:val="none"/>
                <w:lang w:eastAsia="zh-CN"/>
              </w:rPr>
              <w:t>（</w:t>
            </w:r>
            <w:r>
              <w:rPr>
                <w:rFonts w:hint="eastAsia" w:ascii="Times New Roman" w:hAnsi="Times New Roman" w:cs="Times New Roman"/>
                <w:b/>
                <w:bCs/>
                <w:szCs w:val="21"/>
                <w:highlight w:val="none"/>
                <w:lang w:val="en-US" w:eastAsia="zh-CN"/>
              </w:rPr>
              <w:t>%</w:t>
            </w:r>
            <w:r>
              <w:rPr>
                <w:rFonts w:hint="eastAsia" w:ascii="Times New Roman" w:hAnsi="Times New Roman" w:cs="Times New Roman"/>
                <w:b/>
                <w:bCs/>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82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79"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446"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进口（</w:t>
            </w:r>
            <w:r>
              <w:rPr>
                <w:rFonts w:hint="eastAsia" w:ascii="Times New Roman" w:hAnsi="Times New Roman" w:cs="Times New Roman"/>
                <w:b/>
                <w:bCs/>
                <w:szCs w:val="21"/>
              </w:rPr>
              <w:t>D</w:t>
            </w:r>
            <w:r>
              <w:rPr>
                <w:rFonts w:hint="eastAsia" w:ascii="Times New Roman" w:hAnsi="Times New Roman" w:cs="Times New Roman"/>
                <w:b/>
                <w:bCs/>
                <w:szCs w:val="21"/>
                <w:lang w:val="en-US" w:eastAsia="zh-CN"/>
              </w:rPr>
              <w:t>A</w:t>
            </w:r>
            <w:r>
              <w:rPr>
                <w:rFonts w:ascii="Times New Roman" w:hAnsi="Times New Roman" w:cs="Times New Roman"/>
                <w:b/>
                <w:bCs/>
                <w:szCs w:val="21"/>
              </w:rPr>
              <w:t>00</w:t>
            </w:r>
            <w:r>
              <w:rPr>
                <w:rFonts w:hint="eastAsia" w:ascii="Times New Roman" w:hAnsi="Times New Roman" w:cs="Times New Roman"/>
                <w:b/>
                <w:bCs/>
                <w:szCs w:val="21"/>
                <w:lang w:val="en-US" w:eastAsia="zh-CN"/>
              </w:rPr>
              <w:t>11</w:t>
            </w:r>
            <w:r>
              <w:rPr>
                <w:rFonts w:ascii="Times New Roman" w:hAnsi="Times New Roman" w:cs="Times New Roman"/>
                <w:b/>
                <w:bCs/>
                <w:szCs w:val="21"/>
              </w:rPr>
              <w:t>-1）</w:t>
            </w:r>
          </w:p>
        </w:tc>
        <w:tc>
          <w:tcPr>
            <w:tcW w:w="1457"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进口（</w:t>
            </w:r>
            <w:r>
              <w:rPr>
                <w:rFonts w:hint="eastAsia" w:ascii="Times New Roman" w:hAnsi="Times New Roman" w:cs="Times New Roman"/>
                <w:b/>
                <w:bCs/>
                <w:szCs w:val="21"/>
              </w:rPr>
              <w:t>D</w:t>
            </w:r>
            <w:r>
              <w:rPr>
                <w:rFonts w:hint="eastAsia" w:ascii="Times New Roman" w:hAnsi="Times New Roman" w:cs="Times New Roman"/>
                <w:b/>
                <w:bCs/>
                <w:szCs w:val="21"/>
                <w:lang w:val="en-US" w:eastAsia="zh-CN"/>
              </w:rPr>
              <w:t>A</w:t>
            </w:r>
            <w:r>
              <w:rPr>
                <w:rFonts w:ascii="Times New Roman" w:hAnsi="Times New Roman" w:cs="Times New Roman"/>
                <w:b/>
                <w:bCs/>
                <w:szCs w:val="21"/>
              </w:rPr>
              <w:t>00</w:t>
            </w:r>
            <w:r>
              <w:rPr>
                <w:rFonts w:hint="eastAsia" w:ascii="Times New Roman" w:hAnsi="Times New Roman" w:cs="Times New Roman"/>
                <w:b/>
                <w:bCs/>
                <w:szCs w:val="21"/>
                <w:lang w:val="en-US" w:eastAsia="zh-CN"/>
              </w:rPr>
              <w:t>12</w:t>
            </w:r>
            <w:r>
              <w:rPr>
                <w:rFonts w:ascii="Times New Roman" w:hAnsi="Times New Roman" w:cs="Times New Roman"/>
                <w:b/>
                <w:bCs/>
                <w:szCs w:val="21"/>
              </w:rPr>
              <w:t>-1）</w:t>
            </w:r>
          </w:p>
        </w:tc>
        <w:tc>
          <w:tcPr>
            <w:tcW w:w="1436"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出口（</w:t>
            </w:r>
            <w:r>
              <w:rPr>
                <w:rFonts w:hint="eastAsia" w:ascii="Times New Roman" w:hAnsi="Times New Roman" w:cs="Times New Roman"/>
                <w:b/>
                <w:bCs/>
                <w:szCs w:val="21"/>
              </w:rPr>
              <w:t>D</w:t>
            </w:r>
            <w:r>
              <w:rPr>
                <w:rFonts w:hint="eastAsia" w:ascii="Times New Roman" w:hAnsi="Times New Roman" w:cs="Times New Roman"/>
                <w:b/>
                <w:bCs/>
                <w:szCs w:val="21"/>
                <w:lang w:val="en-US" w:eastAsia="zh-CN"/>
              </w:rPr>
              <w:t>W</w:t>
            </w:r>
            <w:r>
              <w:rPr>
                <w:rFonts w:ascii="Times New Roman" w:hAnsi="Times New Roman" w:cs="Times New Roman"/>
                <w:b/>
                <w:bCs/>
                <w:szCs w:val="21"/>
              </w:rPr>
              <w:t>00</w:t>
            </w:r>
            <w:r>
              <w:rPr>
                <w:rFonts w:hint="eastAsia" w:ascii="Times New Roman" w:hAnsi="Times New Roman" w:cs="Times New Roman"/>
                <w:b/>
                <w:bCs/>
                <w:szCs w:val="21"/>
                <w:lang w:val="en-US" w:eastAsia="zh-CN"/>
              </w:rPr>
              <w:t>2</w:t>
            </w:r>
            <w:r>
              <w:rPr>
                <w:rFonts w:ascii="Times New Roman" w:hAnsi="Times New Roman" w:cs="Times New Roman"/>
                <w:b/>
                <w:bCs/>
                <w:szCs w:val="21"/>
              </w:rPr>
              <w:t>-2）</w:t>
            </w:r>
          </w:p>
        </w:tc>
        <w:tc>
          <w:tcPr>
            <w:tcW w:w="1099" w:type="dxa"/>
            <w:vMerge w:val="continue"/>
            <w:tcBorders>
              <w:tl2br w:val="nil"/>
              <w:tr2bl w:val="nil"/>
            </w:tcBorders>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color w:val="auto"/>
                <w:lang w:val="en-US" w:eastAsia="zh-CN"/>
              </w:rPr>
              <w:t>废气处理设施DA001</w:t>
            </w:r>
          </w:p>
        </w:tc>
        <w:tc>
          <w:tcPr>
            <w:tcW w:w="827" w:type="dxa"/>
            <w:vMerge w:val="restart"/>
            <w:tcBorders>
              <w:tl2br w:val="nil"/>
              <w:tr2bl w:val="nil"/>
            </w:tcBorders>
            <w:vAlign w:val="center"/>
          </w:tcPr>
          <w:p>
            <w:pPr>
              <w:adjustRightInd w:val="0"/>
              <w:snapToGrid w:val="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非甲烷总烃</w:t>
            </w:r>
          </w:p>
        </w:tc>
        <w:tc>
          <w:tcPr>
            <w:tcW w:w="1179" w:type="dxa"/>
            <w:tcBorders>
              <w:tl2br w:val="nil"/>
              <w:tr2bl w:val="nil"/>
            </w:tcBorders>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2023.12.21</w:t>
            </w:r>
          </w:p>
        </w:tc>
        <w:tc>
          <w:tcPr>
            <w:tcW w:w="1446"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bidi="ar-SA"/>
              </w:rPr>
              <w:t>3.14</w:t>
            </w:r>
          </w:p>
        </w:tc>
        <w:tc>
          <w:tcPr>
            <w:tcW w:w="1457"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bidi="ar-SA"/>
              </w:rPr>
              <w:t>0.112</w:t>
            </w:r>
          </w:p>
        </w:tc>
        <w:tc>
          <w:tcPr>
            <w:tcW w:w="1436" w:type="dxa"/>
            <w:tcBorders>
              <w:tl2br w:val="nil"/>
              <w:tr2bl w:val="nil"/>
            </w:tcBorders>
            <w:vAlign w:val="center"/>
          </w:tcPr>
          <w:p>
            <w:pPr>
              <w:adjustRightInd w:val="0"/>
              <w:snapToGrid w:val="0"/>
              <w:jc w:val="center"/>
              <w:rPr>
                <w:rFonts w:hint="default" w:ascii="Times New Roman" w:hAnsi="Times New Roman" w:cs="Times New Roman"/>
                <w:bCs/>
                <w:kern w:val="0"/>
                <w:sz w:val="21"/>
                <w:szCs w:val="21"/>
                <w:lang w:val="en-US" w:eastAsia="zh-CN"/>
              </w:rPr>
            </w:pPr>
            <w:r>
              <w:rPr>
                <w:rFonts w:hint="eastAsia" w:ascii="Times New Roman" w:hAnsi="Times New Roman" w:cs="Times New Roman"/>
                <w:bCs/>
                <w:kern w:val="0"/>
                <w:sz w:val="21"/>
                <w:szCs w:val="21"/>
                <w:lang w:val="en-US" w:eastAsia="zh-CN"/>
              </w:rPr>
              <w:t>0.153</w:t>
            </w:r>
          </w:p>
        </w:tc>
        <w:tc>
          <w:tcPr>
            <w:tcW w:w="1099" w:type="dxa"/>
            <w:tcBorders>
              <w:tl2br w:val="nil"/>
              <w:tr2bl w:val="nil"/>
            </w:tcBorders>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95.3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12"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827"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79" w:type="dxa"/>
            <w:tcBorders>
              <w:tl2br w:val="nil"/>
              <w:tr2bl w:val="nil"/>
            </w:tcBorders>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kern w:val="0"/>
                <w:sz w:val="21"/>
                <w:szCs w:val="21"/>
                <w:lang w:val="en-US" w:eastAsia="zh-CN"/>
              </w:rPr>
              <w:t>2023.12.22</w:t>
            </w:r>
          </w:p>
        </w:tc>
        <w:tc>
          <w:tcPr>
            <w:tcW w:w="1446"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bidi="ar-SA"/>
              </w:rPr>
              <w:t>3.12</w:t>
            </w:r>
          </w:p>
        </w:tc>
        <w:tc>
          <w:tcPr>
            <w:tcW w:w="1457"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bidi="ar-SA"/>
              </w:rPr>
              <w:t>0.113</w:t>
            </w:r>
          </w:p>
        </w:tc>
        <w:tc>
          <w:tcPr>
            <w:tcW w:w="1436" w:type="dxa"/>
            <w:tcBorders>
              <w:tl2br w:val="nil"/>
              <w:tr2bl w:val="nil"/>
            </w:tcBorders>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0.156</w:t>
            </w:r>
          </w:p>
        </w:tc>
        <w:tc>
          <w:tcPr>
            <w:tcW w:w="1099" w:type="dxa"/>
            <w:tcBorders>
              <w:tl2br w:val="nil"/>
              <w:tr2bl w:val="nil"/>
            </w:tcBorders>
            <w:vAlign w:val="center"/>
          </w:tcPr>
          <w:p>
            <w:pPr>
              <w:adjustRightInd w:val="0"/>
              <w:snapToGrid w:val="0"/>
              <w:jc w:val="center"/>
              <w:rPr>
                <w:rFonts w:hint="default" w:ascii="Times New Roman" w:hAnsi="Times New Roman" w:cs="Times New Roman"/>
                <w:bCs/>
                <w:kern w:val="0"/>
                <w:sz w:val="21"/>
                <w:szCs w:val="21"/>
                <w:lang w:val="en-US" w:eastAsia="zh-CN" w:bidi="ar-SA"/>
              </w:rPr>
            </w:pPr>
            <w:r>
              <w:rPr>
                <w:rFonts w:hint="eastAsia" w:ascii="Times New Roman" w:hAnsi="Times New Roman" w:cs="Times New Roman"/>
                <w:bCs/>
                <w:kern w:val="0"/>
                <w:sz w:val="21"/>
                <w:szCs w:val="21"/>
                <w:lang w:val="en-US" w:eastAsia="zh-CN" w:bidi="ar-SA"/>
              </w:rPr>
              <w:t>95.2</w:t>
            </w:r>
          </w:p>
        </w:tc>
      </w:tr>
      <w:bookmarkEnd w:id="95"/>
      <w:bookmarkEnd w:id="96"/>
      <w:bookmarkEnd w:id="97"/>
      <w:bookmarkEnd w:id="98"/>
      <w:bookmarkEnd w:id="99"/>
      <w:bookmarkEnd w:id="100"/>
      <w:bookmarkEnd w:id="101"/>
      <w:bookmarkEnd w:id="102"/>
    </w:tbl>
    <w:p>
      <w:pPr>
        <w:pStyle w:val="6"/>
        <w:rPr>
          <w:kern w:val="22"/>
          <w:highlight w:val="none"/>
        </w:rPr>
      </w:pPr>
      <w:bookmarkStart w:id="110" w:name="_Toc18732"/>
      <w:r>
        <w:rPr>
          <w:rFonts w:hint="eastAsia"/>
          <w:kern w:val="22"/>
        </w:rPr>
        <w:t>9.2.</w:t>
      </w:r>
      <w:r>
        <w:rPr>
          <w:rFonts w:hint="eastAsia"/>
          <w:kern w:val="22"/>
          <w:lang w:val="en-US" w:eastAsia="zh-CN"/>
        </w:rPr>
        <w:t>6</w:t>
      </w:r>
      <w:r>
        <w:rPr>
          <w:rFonts w:hint="eastAsia"/>
          <w:kern w:val="22"/>
        </w:rPr>
        <w:t>固</w:t>
      </w:r>
      <w:r>
        <w:rPr>
          <w:rFonts w:hint="eastAsia"/>
          <w:kern w:val="22"/>
          <w:highlight w:val="none"/>
          <w:lang w:eastAsia="zh-CN"/>
        </w:rPr>
        <w:t>（液）</w:t>
      </w:r>
      <w:r>
        <w:rPr>
          <w:rFonts w:hint="eastAsia"/>
          <w:kern w:val="22"/>
          <w:highlight w:val="none"/>
        </w:rPr>
        <w:t>体废弃物调查结果及评价</w:t>
      </w:r>
      <w:bookmarkEnd w:id="110"/>
    </w:p>
    <w:p>
      <w:pPr>
        <w:spacing w:line="360" w:lineRule="auto"/>
        <w:ind w:firstLine="480" w:firstLineChars="200"/>
        <w:rPr>
          <w:rFonts w:ascii="Times New Roman" w:hAnsi="Times New Roman" w:cs="Times New Roman"/>
          <w:kern w:val="22"/>
          <w:sz w:val="24"/>
          <w:szCs w:val="24"/>
        </w:rPr>
      </w:pPr>
      <w:r>
        <w:rPr>
          <w:rFonts w:hint="eastAsia" w:ascii="Times New Roman" w:hAnsi="Times New Roman" w:cs="Times New Roman"/>
          <w:kern w:val="22"/>
          <w:sz w:val="24"/>
          <w:szCs w:val="24"/>
          <w:highlight w:val="none"/>
        </w:rPr>
        <w:t>据调查，本项目固</w:t>
      </w:r>
      <w:r>
        <w:rPr>
          <w:rFonts w:hint="eastAsia" w:ascii="Times New Roman" w:hAnsi="Times New Roman" w:cs="Times New Roman"/>
          <w:kern w:val="22"/>
          <w:sz w:val="24"/>
          <w:szCs w:val="24"/>
          <w:highlight w:val="none"/>
          <w:lang w:eastAsia="zh-CN"/>
        </w:rPr>
        <w:t>（液）</w:t>
      </w:r>
      <w:r>
        <w:rPr>
          <w:rFonts w:hint="eastAsia" w:ascii="Times New Roman" w:hAnsi="Times New Roman" w:cs="Times New Roman"/>
          <w:kern w:val="22"/>
          <w:sz w:val="24"/>
          <w:szCs w:val="24"/>
          <w:highlight w:val="none"/>
        </w:rPr>
        <w:t>体废弃</w:t>
      </w:r>
      <w:r>
        <w:rPr>
          <w:rFonts w:hint="eastAsia" w:ascii="Times New Roman" w:hAnsi="Times New Roman" w:cs="Times New Roman"/>
          <w:kern w:val="22"/>
          <w:sz w:val="24"/>
          <w:szCs w:val="24"/>
        </w:rPr>
        <w:t>物</w:t>
      </w:r>
      <w:r>
        <w:rPr>
          <w:rFonts w:hint="eastAsia" w:ascii="Times New Roman" w:hAnsi="Times New Roman" w:cs="Times New Roman"/>
          <w:kern w:val="22"/>
          <w:sz w:val="24"/>
          <w:szCs w:val="24"/>
          <w:lang w:eastAsia="zh-CN"/>
        </w:rPr>
        <w:t>实际</w:t>
      </w:r>
      <w:r>
        <w:rPr>
          <w:rFonts w:hint="eastAsia" w:ascii="Times New Roman" w:hAnsi="Times New Roman" w:cs="Times New Roman"/>
          <w:kern w:val="22"/>
          <w:sz w:val="24"/>
          <w:szCs w:val="24"/>
        </w:rPr>
        <w:t>产生与处置情况如表9.2</w:t>
      </w:r>
      <w:r>
        <w:rPr>
          <w:rFonts w:ascii="Times New Roman" w:hAnsi="Times New Roman" w:cs="Times New Roman"/>
          <w:kern w:val="22"/>
          <w:sz w:val="24"/>
          <w:szCs w:val="24"/>
        </w:rPr>
        <w:t>.</w:t>
      </w:r>
      <w:r>
        <w:rPr>
          <w:rFonts w:hint="eastAsia" w:ascii="Times New Roman" w:hAnsi="Times New Roman" w:cs="Times New Roman"/>
          <w:kern w:val="22"/>
          <w:sz w:val="24"/>
          <w:szCs w:val="24"/>
          <w:lang w:val="en-US" w:eastAsia="zh-CN"/>
        </w:rPr>
        <w:t>6</w:t>
      </w:r>
      <w:r>
        <w:rPr>
          <w:rFonts w:ascii="Times New Roman" w:hAnsi="Times New Roman" w:cs="Times New Roman"/>
          <w:kern w:val="22"/>
          <w:sz w:val="24"/>
          <w:szCs w:val="24"/>
        </w:rPr>
        <w:t>-1</w:t>
      </w:r>
      <w:r>
        <w:rPr>
          <w:rFonts w:hint="eastAsia" w:ascii="Times New Roman" w:hAnsi="Times New Roman" w:cs="Times New Roman"/>
          <w:kern w:val="22"/>
          <w:sz w:val="24"/>
          <w:szCs w:val="24"/>
        </w:rPr>
        <w:t>所示：</w:t>
      </w:r>
    </w:p>
    <w:p>
      <w:pPr>
        <w:spacing w:line="360" w:lineRule="auto"/>
        <w:ind w:firstLine="422" w:firstLineChars="200"/>
        <w:jc w:val="center"/>
        <w:rPr>
          <w:rFonts w:ascii="Times New Roman" w:hAnsi="Times New Roman" w:cs="Times New Roman"/>
          <w:b/>
          <w:bCs/>
          <w:szCs w:val="21"/>
          <w:highlight w:val="yellow"/>
        </w:rPr>
      </w:pPr>
      <w:r>
        <w:rPr>
          <w:rFonts w:ascii="Times New Roman" w:hAnsi="Times New Roman" w:cs="Times New Roman"/>
          <w:b/>
          <w:bCs/>
          <w:szCs w:val="21"/>
        </w:rPr>
        <w:t>表9</w:t>
      </w:r>
      <w:r>
        <w:rPr>
          <w:rFonts w:hint="eastAsia" w:ascii="Times New Roman" w:hAnsi="Times New Roman" w:cs="Times New Roman"/>
          <w:b/>
          <w:bCs/>
          <w:szCs w:val="21"/>
        </w:rPr>
        <w:t>.2</w:t>
      </w:r>
      <w:r>
        <w:rPr>
          <w:rFonts w:ascii="Times New Roman" w:hAnsi="Times New Roman" w:cs="Times New Roman"/>
          <w:b/>
          <w:bCs/>
          <w:szCs w:val="21"/>
        </w:rPr>
        <w:t>.</w:t>
      </w:r>
      <w:r>
        <w:rPr>
          <w:rFonts w:hint="eastAsia" w:ascii="Times New Roman" w:hAnsi="Times New Roman" w:cs="Times New Roman"/>
          <w:b/>
          <w:bCs/>
          <w:szCs w:val="21"/>
          <w:lang w:val="en-US" w:eastAsia="zh-CN"/>
        </w:rPr>
        <w:t>6</w:t>
      </w:r>
      <w:r>
        <w:rPr>
          <w:rFonts w:ascii="Times New Roman" w:hAnsi="Times New Roman" w:cs="Times New Roman"/>
          <w:b/>
          <w:bCs/>
          <w:szCs w:val="21"/>
        </w:rPr>
        <w:t xml:space="preserve">-1 </w:t>
      </w:r>
      <w:r>
        <w:rPr>
          <w:rFonts w:hint="eastAsia" w:ascii="Times New Roman" w:hAnsi="Times New Roman" w:cs="Times New Roman"/>
          <w:b/>
          <w:bCs/>
          <w:szCs w:val="21"/>
        </w:rPr>
        <w:t>固</w:t>
      </w:r>
      <w:r>
        <w:rPr>
          <w:rFonts w:hint="eastAsia" w:ascii="Times New Roman" w:hAnsi="Times New Roman" w:cs="Times New Roman"/>
          <w:b/>
          <w:bCs/>
          <w:szCs w:val="21"/>
          <w:lang w:eastAsia="zh-CN"/>
        </w:rPr>
        <w:t>（液）</w:t>
      </w:r>
      <w:r>
        <w:rPr>
          <w:rFonts w:ascii="Times New Roman" w:hAnsi="Times New Roman" w:cs="Times New Roman"/>
          <w:b/>
          <w:bCs/>
          <w:szCs w:val="21"/>
          <w:highlight w:val="none"/>
        </w:rPr>
        <w:t>体废弃物实际产生与处置情况</w:t>
      </w:r>
    </w:p>
    <w:tbl>
      <w:tblPr>
        <w:tblStyle w:val="31"/>
        <w:tblW w:w="510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1534"/>
        <w:gridCol w:w="1179"/>
        <w:gridCol w:w="670"/>
        <w:gridCol w:w="1118"/>
        <w:gridCol w:w="1110"/>
        <w:gridCol w:w="1080"/>
        <w:gridCol w:w="13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tblHeader/>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bookmarkStart w:id="111" w:name="_Toc4694246"/>
            <w:bookmarkStart w:id="112" w:name="_Toc28357513"/>
            <w:bookmarkStart w:id="113" w:name="_Hlk534923511"/>
            <w:r>
              <w:rPr>
                <w:rFonts w:hint="default" w:ascii="Times New Roman" w:hAnsi="Times New Roman" w:cs="Times New Roman"/>
                <w:b/>
                <w:bCs/>
                <w:color w:val="auto"/>
              </w:rPr>
              <w:t>序号</w:t>
            </w:r>
          </w:p>
        </w:tc>
        <w:tc>
          <w:tcPr>
            <w:tcW w:w="153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固废名称</w:t>
            </w:r>
          </w:p>
        </w:tc>
        <w:tc>
          <w:tcPr>
            <w:tcW w:w="117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产生工序</w:t>
            </w:r>
          </w:p>
        </w:tc>
        <w:tc>
          <w:tcPr>
            <w:tcW w:w="67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属性</w:t>
            </w:r>
          </w:p>
        </w:tc>
        <w:tc>
          <w:tcPr>
            <w:tcW w:w="111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环评预估</w:t>
            </w:r>
            <w:r>
              <w:rPr>
                <w:rFonts w:hint="eastAsia" w:ascii="Times New Roman" w:hAnsi="Times New Roman" w:cs="Times New Roman"/>
                <w:b/>
                <w:bCs/>
                <w:color w:val="auto"/>
                <w:highlight w:val="none"/>
                <w:lang w:eastAsia="zh-CN"/>
              </w:rPr>
              <w:t>年产生</w:t>
            </w:r>
            <w:r>
              <w:rPr>
                <w:rFonts w:hint="default" w:ascii="Times New Roman" w:hAnsi="Times New Roman" w:cs="Times New Roman"/>
                <w:b/>
                <w:bCs/>
                <w:color w:val="auto"/>
                <w:highlight w:val="none"/>
              </w:rPr>
              <w:t>量t/a</w:t>
            </w:r>
          </w:p>
        </w:tc>
        <w:tc>
          <w:tcPr>
            <w:tcW w:w="11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监测当月产生量</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b/>
                <w:bCs/>
                <w:color w:val="auto"/>
                <w:highlight w:val="none"/>
                <w:lang w:val="en-US" w:eastAsia="zh-CN"/>
              </w:rPr>
            </w:pPr>
            <w:r>
              <w:rPr>
                <w:rFonts w:hint="default" w:ascii="Times New Roman" w:hAnsi="Times New Roman" w:cs="Times New Roman"/>
                <w:b/>
                <w:bCs/>
                <w:color w:val="auto"/>
                <w:highlight w:val="none"/>
              </w:rPr>
              <w:t>t/a</w:t>
            </w:r>
          </w:p>
        </w:tc>
        <w:tc>
          <w:tcPr>
            <w:tcW w:w="10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b/>
                <w:bCs/>
                <w:color w:val="auto"/>
                <w:lang w:eastAsia="zh-CN"/>
              </w:rPr>
            </w:pPr>
            <w:r>
              <w:rPr>
                <w:rFonts w:hint="eastAsia" w:ascii="Times New Roman" w:hAnsi="Times New Roman" w:cs="Times New Roman"/>
                <w:b/>
                <w:bCs/>
                <w:color w:val="auto"/>
                <w:lang w:eastAsia="zh-CN"/>
              </w:rPr>
              <w:t>折合年</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产生量</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b/>
                <w:bCs/>
                <w:color w:val="auto"/>
                <w:kern w:val="2"/>
                <w:sz w:val="21"/>
                <w:szCs w:val="22"/>
                <w:lang w:val="en-US" w:eastAsia="zh-CN" w:bidi="ar-SA"/>
              </w:rPr>
            </w:pPr>
            <w:r>
              <w:rPr>
                <w:rFonts w:hint="default" w:ascii="Times New Roman" w:hAnsi="Times New Roman" w:cs="Times New Roman"/>
                <w:b/>
                <w:bCs/>
                <w:color w:val="auto"/>
              </w:rPr>
              <w:t>t/a</w:t>
            </w:r>
          </w:p>
        </w:tc>
        <w:tc>
          <w:tcPr>
            <w:tcW w:w="136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lang w:val="en-US" w:eastAsia="zh-CN"/>
              </w:rPr>
              <w:t>1</w:t>
            </w:r>
          </w:p>
        </w:tc>
        <w:tc>
          <w:tcPr>
            <w:tcW w:w="153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金属边角料</w:t>
            </w:r>
          </w:p>
        </w:tc>
        <w:tc>
          <w:tcPr>
            <w:tcW w:w="117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机加工</w:t>
            </w:r>
          </w:p>
        </w:tc>
        <w:tc>
          <w:tcPr>
            <w:tcW w:w="67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一般固废</w:t>
            </w:r>
          </w:p>
        </w:tc>
        <w:tc>
          <w:tcPr>
            <w:tcW w:w="1118"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w:t>
            </w:r>
          </w:p>
        </w:tc>
        <w:tc>
          <w:tcPr>
            <w:tcW w:w="11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0.4</w:t>
            </w:r>
          </w:p>
        </w:tc>
        <w:tc>
          <w:tcPr>
            <w:tcW w:w="10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4.8</w:t>
            </w:r>
          </w:p>
        </w:tc>
        <w:tc>
          <w:tcPr>
            <w:tcW w:w="1360" w:type="dxa"/>
            <w:vMerge w:val="restart"/>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FF0000"/>
                <w:spacing w:val="0"/>
                <w:szCs w:val="21"/>
                <w:highlight w:val="none"/>
                <w:lang w:val="en-US" w:eastAsia="zh-CN"/>
              </w:rPr>
            </w:pPr>
            <w:r>
              <w:rPr>
                <w:rFonts w:hint="default" w:ascii="Times New Roman" w:hAnsi="Times New Roman" w:eastAsia="宋体" w:cs="Times New Roman"/>
                <w:bCs/>
                <w:color w:val="auto"/>
                <w:lang w:val="en-US" w:bidi="zh-CN"/>
              </w:rPr>
              <w:t>收集后出售综合利用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lang w:val="en-US" w:eastAsia="zh-CN"/>
              </w:rPr>
              <w:t>2</w:t>
            </w:r>
          </w:p>
        </w:tc>
        <w:tc>
          <w:tcPr>
            <w:tcW w:w="153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一般废包装物</w:t>
            </w:r>
          </w:p>
        </w:tc>
        <w:tc>
          <w:tcPr>
            <w:tcW w:w="117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原料包装、包装</w:t>
            </w:r>
          </w:p>
        </w:tc>
        <w:tc>
          <w:tcPr>
            <w:tcW w:w="67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一般固废</w:t>
            </w:r>
          </w:p>
        </w:tc>
        <w:tc>
          <w:tcPr>
            <w:tcW w:w="1118"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0.3</w:t>
            </w:r>
          </w:p>
        </w:tc>
        <w:tc>
          <w:tcPr>
            <w:tcW w:w="11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0.02</w:t>
            </w:r>
          </w:p>
        </w:tc>
        <w:tc>
          <w:tcPr>
            <w:tcW w:w="10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0.24</w:t>
            </w:r>
          </w:p>
        </w:tc>
        <w:tc>
          <w:tcPr>
            <w:tcW w:w="1360" w:type="dxa"/>
            <w:vMerge w:val="continue"/>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FF0000"/>
                <w:spacing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lang w:val="en-US" w:eastAsia="zh-CN"/>
              </w:rPr>
              <w:t>3</w:t>
            </w:r>
          </w:p>
        </w:tc>
        <w:tc>
          <w:tcPr>
            <w:tcW w:w="153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废塑粉</w:t>
            </w:r>
          </w:p>
        </w:tc>
        <w:tc>
          <w:tcPr>
            <w:tcW w:w="117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喷塑</w:t>
            </w:r>
          </w:p>
        </w:tc>
        <w:tc>
          <w:tcPr>
            <w:tcW w:w="67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一般固废</w:t>
            </w:r>
          </w:p>
        </w:tc>
        <w:tc>
          <w:tcPr>
            <w:tcW w:w="1118"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0.28</w:t>
            </w:r>
          </w:p>
        </w:tc>
        <w:tc>
          <w:tcPr>
            <w:tcW w:w="11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0.02</w:t>
            </w:r>
          </w:p>
        </w:tc>
        <w:tc>
          <w:tcPr>
            <w:tcW w:w="10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0.24</w:t>
            </w:r>
          </w:p>
        </w:tc>
        <w:tc>
          <w:tcPr>
            <w:tcW w:w="1360" w:type="dxa"/>
            <w:vMerge w:val="continue"/>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color w:val="auto"/>
                <w:spacing w:val="0"/>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lang w:val="en-US" w:eastAsia="zh-CN"/>
              </w:rPr>
              <w:t>4</w:t>
            </w:r>
          </w:p>
        </w:tc>
        <w:tc>
          <w:tcPr>
            <w:tcW w:w="153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废滤芯</w:t>
            </w:r>
          </w:p>
        </w:tc>
        <w:tc>
          <w:tcPr>
            <w:tcW w:w="117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废气处理</w:t>
            </w:r>
          </w:p>
        </w:tc>
        <w:tc>
          <w:tcPr>
            <w:tcW w:w="67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一般固废</w:t>
            </w:r>
          </w:p>
        </w:tc>
        <w:tc>
          <w:tcPr>
            <w:tcW w:w="1118"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0.3</w:t>
            </w:r>
          </w:p>
        </w:tc>
        <w:tc>
          <w:tcPr>
            <w:tcW w:w="11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w:t>
            </w:r>
          </w:p>
        </w:tc>
        <w:tc>
          <w:tcPr>
            <w:tcW w:w="108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暂未更换</w:t>
            </w:r>
          </w:p>
        </w:tc>
        <w:tc>
          <w:tcPr>
            <w:tcW w:w="1360" w:type="dxa"/>
            <w:vMerge w:val="continue"/>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6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lang w:val="en-US" w:eastAsia="zh-CN"/>
              </w:rPr>
              <w:t>5</w:t>
            </w:r>
          </w:p>
        </w:tc>
        <w:tc>
          <w:tcPr>
            <w:tcW w:w="1534"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漆渣</w:t>
            </w:r>
          </w:p>
        </w:tc>
        <w:tc>
          <w:tcPr>
            <w:tcW w:w="1179"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废气处理</w:t>
            </w:r>
          </w:p>
        </w:tc>
        <w:tc>
          <w:tcPr>
            <w:tcW w:w="67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危险废物</w:t>
            </w:r>
          </w:p>
        </w:tc>
        <w:tc>
          <w:tcPr>
            <w:tcW w:w="1118" w:type="dxa"/>
            <w:shd w:val="clear" w:color="auto" w:fill="auto"/>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2.592</w:t>
            </w:r>
          </w:p>
        </w:tc>
        <w:tc>
          <w:tcPr>
            <w:tcW w:w="111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0.2</w:t>
            </w:r>
          </w:p>
        </w:tc>
        <w:tc>
          <w:tcPr>
            <w:tcW w:w="10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2.4</w:t>
            </w:r>
          </w:p>
        </w:tc>
        <w:tc>
          <w:tcPr>
            <w:tcW w:w="1360" w:type="dxa"/>
            <w:shd w:val="clear" w:color="auto" w:fill="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6</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危险废包装桶</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原料包装</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危险废物</w:t>
            </w:r>
          </w:p>
        </w:tc>
        <w:tc>
          <w:tcPr>
            <w:tcW w:w="111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0.54</w:t>
            </w:r>
          </w:p>
        </w:tc>
        <w:tc>
          <w:tcPr>
            <w:tcW w:w="111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0.04</w:t>
            </w:r>
          </w:p>
        </w:tc>
        <w:tc>
          <w:tcPr>
            <w:tcW w:w="108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0.48</w:t>
            </w:r>
          </w:p>
        </w:tc>
        <w:tc>
          <w:tcPr>
            <w:tcW w:w="1360" w:type="dxa"/>
            <w:vMerge w:val="restart"/>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收集后暂存至危废仓库内，</w:t>
            </w:r>
            <w:r>
              <w:rPr>
                <w:rFonts w:hint="eastAsia" w:ascii="Times New Roman" w:hAnsi="Times New Roman" w:cs="Times New Roman"/>
                <w:color w:val="auto"/>
                <w:spacing w:val="0"/>
                <w:kern w:val="2"/>
                <w:sz w:val="21"/>
                <w:szCs w:val="21"/>
                <w:lang w:val="en-US" w:eastAsia="zh-CN" w:bidi="ar-SA"/>
              </w:rPr>
              <w:t>委托永康供联三曜环保技术服务有限公司进行处置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7</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废</w:t>
            </w:r>
            <w:r>
              <w:rPr>
                <w:rFonts w:hint="eastAsia" w:ascii="Times New Roman" w:hAnsi="Times New Roman" w:cs="Times New Roman"/>
                <w:color w:val="auto"/>
                <w:spacing w:val="0"/>
                <w:szCs w:val="21"/>
                <w:highlight w:val="none"/>
                <w:lang w:val="en-US" w:eastAsia="zh-CN"/>
              </w:rPr>
              <w:t>润滑油</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设备维护</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危险废物</w:t>
            </w:r>
          </w:p>
        </w:tc>
        <w:tc>
          <w:tcPr>
            <w:tcW w:w="111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0.07</w:t>
            </w:r>
          </w:p>
        </w:tc>
        <w:tc>
          <w:tcPr>
            <w:tcW w:w="111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0</w:t>
            </w:r>
          </w:p>
        </w:tc>
        <w:tc>
          <w:tcPr>
            <w:tcW w:w="108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暂未更换</w:t>
            </w:r>
          </w:p>
        </w:tc>
        <w:tc>
          <w:tcPr>
            <w:tcW w:w="1360" w:type="dxa"/>
            <w:vMerge w:val="continue"/>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8</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废油桶</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原料包装</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危险废物</w:t>
            </w:r>
          </w:p>
        </w:tc>
        <w:tc>
          <w:tcPr>
            <w:tcW w:w="111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0.03</w:t>
            </w:r>
          </w:p>
        </w:tc>
        <w:tc>
          <w:tcPr>
            <w:tcW w:w="111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0</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暂未更换</w:t>
            </w:r>
          </w:p>
        </w:tc>
        <w:tc>
          <w:tcPr>
            <w:tcW w:w="136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9</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废活性炭</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废气处理</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危险废物</w:t>
            </w:r>
          </w:p>
        </w:tc>
        <w:tc>
          <w:tcPr>
            <w:tcW w:w="111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4.5</w:t>
            </w:r>
          </w:p>
        </w:tc>
        <w:tc>
          <w:tcPr>
            <w:tcW w:w="111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0</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暂未更换</w:t>
            </w:r>
          </w:p>
        </w:tc>
        <w:tc>
          <w:tcPr>
            <w:tcW w:w="136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10</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废过滤棉</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废气处理</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危险废物</w:t>
            </w:r>
          </w:p>
        </w:tc>
        <w:tc>
          <w:tcPr>
            <w:tcW w:w="111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0.6</w:t>
            </w:r>
          </w:p>
        </w:tc>
        <w:tc>
          <w:tcPr>
            <w:tcW w:w="111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0</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暂未更换</w:t>
            </w:r>
          </w:p>
        </w:tc>
        <w:tc>
          <w:tcPr>
            <w:tcW w:w="136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11</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废催化剂</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废气处理</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危险废物</w:t>
            </w:r>
          </w:p>
        </w:tc>
        <w:tc>
          <w:tcPr>
            <w:tcW w:w="111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0.12</w:t>
            </w:r>
          </w:p>
        </w:tc>
        <w:tc>
          <w:tcPr>
            <w:tcW w:w="111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0</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暂未更换</w:t>
            </w:r>
          </w:p>
        </w:tc>
        <w:tc>
          <w:tcPr>
            <w:tcW w:w="136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12</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废抹布</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擦拭</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危险废物</w:t>
            </w:r>
          </w:p>
        </w:tc>
        <w:tc>
          <w:tcPr>
            <w:tcW w:w="111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0.03</w:t>
            </w:r>
          </w:p>
        </w:tc>
        <w:tc>
          <w:tcPr>
            <w:tcW w:w="111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0.002</w:t>
            </w:r>
          </w:p>
        </w:tc>
        <w:tc>
          <w:tcPr>
            <w:tcW w:w="108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0.024</w:t>
            </w:r>
          </w:p>
        </w:tc>
        <w:tc>
          <w:tcPr>
            <w:tcW w:w="136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13</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生活垃圾</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Cs w:val="21"/>
                <w:highlight w:val="none"/>
                <w:lang w:val="en-US" w:eastAsia="zh-CN"/>
              </w:rPr>
              <w:t>员工生活</w:t>
            </w:r>
          </w:p>
        </w:tc>
        <w:tc>
          <w:tcPr>
            <w:tcW w:w="0" w:type="auto"/>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一般固废</w:t>
            </w:r>
          </w:p>
        </w:tc>
        <w:tc>
          <w:tcPr>
            <w:tcW w:w="11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4.5</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8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0.35</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color w:val="auto"/>
                <w:spacing w:val="0"/>
                <w:kern w:val="2"/>
                <w:sz w:val="21"/>
                <w:szCs w:val="21"/>
                <w:highlight w:val="none"/>
                <w:lang w:val="en-US" w:eastAsia="zh-CN" w:bidi="ar-SA"/>
              </w:rPr>
              <w:t>4.2</w:t>
            </w:r>
          </w:p>
        </w:tc>
        <w:tc>
          <w:tcPr>
            <w:tcW w:w="1360" w:type="dxa"/>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Cs w:val="21"/>
                <w:highlight w:val="none"/>
                <w:lang w:eastAsia="zh-CN"/>
              </w:rPr>
              <w:t>委托</w:t>
            </w:r>
            <w:r>
              <w:rPr>
                <w:rFonts w:hint="default" w:ascii="Times New Roman" w:hAnsi="Times New Roman" w:cs="Times New Roman"/>
                <w:color w:val="auto"/>
                <w:spacing w:val="0"/>
                <w:szCs w:val="21"/>
                <w:highlight w:val="none"/>
              </w:rPr>
              <w:t>环卫部门统一清运</w:t>
            </w:r>
            <w:r>
              <w:rPr>
                <w:rFonts w:hint="default" w:ascii="Times New Roman" w:hAnsi="Times New Roman" w:cs="Times New Roman"/>
                <w:color w:val="auto"/>
                <w:spacing w:val="0"/>
                <w:szCs w:val="21"/>
                <w:highlight w:val="none"/>
                <w:lang w:val="en-US" w:eastAsia="zh-CN"/>
              </w:rPr>
              <w:t>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备注</w:t>
            </w:r>
          </w:p>
        </w:tc>
        <w:tc>
          <w:tcPr>
            <w:tcW w:w="8051" w:type="dxa"/>
            <w:gridSpan w:val="7"/>
            <w:vAlign w:val="center"/>
          </w:tcPr>
          <w:p>
            <w:pPr>
              <w:pStyle w:val="3"/>
              <w:keepNext w:val="0"/>
              <w:keepLines w:val="0"/>
              <w:pageBreakBefore w:val="0"/>
              <w:widowControl w:val="0"/>
              <w:kinsoku/>
              <w:wordWrap/>
              <w:overflowPunct/>
              <w:topLinePunct w:val="0"/>
              <w:autoSpaceDE/>
              <w:autoSpaceDN/>
              <w:bidi w:val="0"/>
              <w:adjustRightInd w:val="0"/>
              <w:snapToGrid w:val="0"/>
              <w:spacing w:beforeLines="0" w:afterLines="0" w:line="240" w:lineRule="exact"/>
              <w:jc w:val="both"/>
              <w:textAlignment w:val="auto"/>
              <w:rPr>
                <w:rFonts w:hint="eastAsia" w:ascii="Times New Roman" w:hAnsi="Times New Roman" w:cs="Times New Roman"/>
                <w:color w:val="auto"/>
                <w:spacing w:val="0"/>
                <w:szCs w:val="21"/>
                <w:highlight w:val="none"/>
                <w:lang w:val="en-US" w:eastAsia="zh-CN"/>
              </w:rPr>
            </w:pPr>
            <w:r>
              <w:rPr>
                <w:rFonts w:hint="eastAsia" w:ascii="Times New Roman" w:hAnsi="Times New Roman" w:cs="Times New Roman"/>
                <w:color w:val="auto"/>
                <w:spacing w:val="0"/>
                <w:szCs w:val="21"/>
                <w:highlight w:val="none"/>
                <w:lang w:val="en-US" w:eastAsia="zh-CN"/>
              </w:rPr>
              <w:t>1、本项目活性炭和催化剂预计每3年更换一次，试运行至验收监测期间暂未更换；</w:t>
            </w:r>
          </w:p>
          <w:p>
            <w:pPr>
              <w:pStyle w:val="39"/>
              <w:ind w:left="0" w:leftChars="0" w:firstLine="0" w:firstLineChars="0"/>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2、本项目废滤芯约4个月更换一次，试运行至验收监测期间喷塑废气处理设施中滤芯未更换；</w:t>
            </w:r>
          </w:p>
          <w:p>
            <w:pPr>
              <w:pStyle w:val="39"/>
              <w:ind w:left="0" w:leftChars="0" w:firstLine="0" w:firstLineChars="0"/>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3、本项目试运行至验收监测期间，设备液压油未更换，故废液压油和废油桶暂未产生；</w:t>
            </w:r>
          </w:p>
          <w:p>
            <w:pPr>
              <w:pStyle w:val="39"/>
              <w:ind w:left="0" w:leftChars="0" w:firstLine="0" w:firstLineChars="0"/>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4、本项目试运行至验收监测期间，过滤棉未更换，故废过滤棉暂未产生。</w:t>
            </w:r>
          </w:p>
        </w:tc>
      </w:tr>
    </w:tbl>
    <w:p>
      <w:pPr>
        <w:pStyle w:val="6"/>
        <w:rPr>
          <w:kern w:val="22"/>
        </w:rPr>
      </w:pPr>
      <w:bookmarkStart w:id="114" w:name="_Toc7930"/>
      <w:r>
        <w:rPr>
          <w:rFonts w:hint="eastAsia"/>
          <w:kern w:val="22"/>
        </w:rPr>
        <w:t>9.2.</w:t>
      </w:r>
      <w:r>
        <w:rPr>
          <w:rFonts w:hint="eastAsia"/>
          <w:kern w:val="22"/>
          <w:lang w:val="en-US" w:eastAsia="zh-CN"/>
        </w:rPr>
        <w:t>7</w:t>
      </w:r>
      <w:r>
        <w:rPr>
          <w:rFonts w:hint="eastAsia"/>
          <w:kern w:val="22"/>
        </w:rPr>
        <w:t>污染物排放总量核算</w:t>
      </w:r>
      <w:bookmarkEnd w:id="114"/>
    </w:p>
    <w:p>
      <w:pPr>
        <w:spacing w:line="360" w:lineRule="auto"/>
        <w:ind w:firstLine="482" w:firstLineChars="200"/>
        <w:rPr>
          <w:rFonts w:ascii="Times New Roman" w:hAnsi="Times New Roman"/>
          <w:b/>
          <w:sz w:val="24"/>
          <w:szCs w:val="24"/>
        </w:rPr>
      </w:pPr>
      <w:r>
        <w:rPr>
          <w:rFonts w:ascii="Times New Roman" w:hAnsi="Times New Roman"/>
          <w:b/>
          <w:sz w:val="24"/>
          <w:szCs w:val="24"/>
        </w:rPr>
        <w:t>1、废水</w:t>
      </w:r>
    </w:p>
    <w:p>
      <w:pPr>
        <w:spacing w:line="360" w:lineRule="auto"/>
        <w:ind w:firstLine="480" w:firstLineChars="200"/>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项目年排</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废</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水</w:t>
      </w:r>
      <w:r>
        <w:rPr>
          <w:rFonts w:hint="eastAsia" w:ascii="Times New Roman" w:hAnsi="Times New Roman" w:eastAsia="宋体" w:cs="Times New Roman"/>
          <w:color w:val="000000" w:themeColor="text1"/>
          <w:kern w:val="0"/>
          <w:sz w:val="24"/>
          <w:szCs w:val="24"/>
          <w14:textFill>
            <w14:solidFill>
              <w14:schemeClr w14:val="tx1"/>
            </w14:solidFill>
          </w14:textFill>
        </w:rPr>
        <w:t>量约为</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558</w:t>
      </w:r>
      <w:r>
        <w:rPr>
          <w:rFonts w:hint="eastAsia" w:ascii="Times New Roman" w:hAnsi="Times New Roman" w:eastAsia="宋体" w:cs="Times New Roman"/>
          <w:color w:val="000000" w:themeColor="text1"/>
          <w:kern w:val="0"/>
          <w:sz w:val="24"/>
          <w:szCs w:val="24"/>
          <w14:textFill>
            <w14:solidFill>
              <w14:schemeClr w14:val="tx1"/>
            </w14:solidFill>
          </w14:textFill>
        </w:rPr>
        <w:t>吨/年。</w:t>
      </w:r>
      <w:r>
        <w:rPr>
          <w:rFonts w:hint="eastAsia" w:ascii="Times New Roman" w:hAnsi="Times New Roman" w:cs="Times New Roman"/>
          <w:sz w:val="24"/>
          <w:szCs w:val="24"/>
          <w:lang w:val="en-US" w:bidi="zh-CN"/>
        </w:rPr>
        <w:t>生产</w:t>
      </w:r>
      <w:r>
        <w:rPr>
          <w:rFonts w:hint="default" w:ascii="Times New Roman" w:hAnsi="Times New Roman" w:cs="Times New Roman"/>
          <w:sz w:val="24"/>
          <w:szCs w:val="24"/>
          <w:lang w:bidi="zh-CN"/>
        </w:rPr>
        <w:t>废水经过污水处理设备处理，</w:t>
      </w:r>
      <w:r>
        <w:rPr>
          <w:rFonts w:hint="eastAsia" w:ascii="Times New Roman" w:hAnsi="Times New Roman" w:eastAsia="宋体" w:cs="Times New Roman"/>
          <w:color w:val="000000" w:themeColor="text1"/>
          <w:kern w:val="0"/>
          <w:sz w:val="24"/>
          <w:szCs w:val="24"/>
          <w14:textFill>
            <w14:solidFill>
              <w14:schemeClr w14:val="tx1"/>
            </w14:solidFill>
          </w14:textFill>
        </w:rPr>
        <w:t>生活污水经化粪池处理后达到《污水综合排放标准》（GB 8978-1996）三级标准后纳入污水管网，排入</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永康市城市污水处理厂</w:t>
      </w:r>
      <w:r>
        <w:rPr>
          <w:rFonts w:hint="eastAsia" w:ascii="Times New Roman" w:hAnsi="Times New Roman" w:eastAsia="宋体" w:cs="Times New Roman"/>
          <w:color w:val="000000" w:themeColor="text1"/>
          <w:kern w:val="0"/>
          <w:sz w:val="24"/>
          <w:szCs w:val="24"/>
          <w14:textFill>
            <w14:solidFill>
              <w14:schemeClr w14:val="tx1"/>
            </w14:solidFill>
          </w14:textFill>
        </w:rPr>
        <w:t>，处理达标后排入</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永康江。永康市城市污水处理厂</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出水中</w:t>
      </w:r>
      <w:r>
        <w:rPr>
          <w:rFonts w:hint="eastAsia" w:ascii="Times New Roman" w:hAnsi="Times New Roman" w:eastAsia="宋体" w:cs="Times New Roman"/>
          <w:color w:val="000000" w:themeColor="text1"/>
          <w:kern w:val="0"/>
          <w:sz w:val="24"/>
          <w:szCs w:val="24"/>
          <w14:textFill>
            <w14:solidFill>
              <w14:schemeClr w14:val="tx1"/>
            </w14:solidFill>
          </w14:textFill>
        </w:rPr>
        <w:t>COD</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cr</w:t>
      </w:r>
      <w:r>
        <w:rPr>
          <w:rFonts w:hint="eastAsia" w:ascii="Times New Roman" w:hAnsi="Times New Roman" w:eastAsia="宋体" w:cs="Times New Roman"/>
          <w:color w:val="000000" w:themeColor="text1"/>
          <w:kern w:val="0"/>
          <w:sz w:val="24"/>
          <w:szCs w:val="24"/>
          <w14:textFill>
            <w14:solidFill>
              <w14:schemeClr w14:val="tx1"/>
            </w14:solidFill>
          </w14:textFill>
        </w:rPr>
        <w:t>、氨氮、总氮、总磷执行《城镇污水处理厂主要水污染物排放标准》（DB</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14:textFill>
            <w14:solidFill>
              <w14:schemeClr w14:val="tx1"/>
            </w14:solidFill>
          </w14:textFill>
        </w:rPr>
        <w:t>33/2169-2018）</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中表1限值要求</w:t>
      </w:r>
      <w:r>
        <w:rPr>
          <w:rFonts w:hint="eastAsia" w:ascii="Times New Roman" w:hAnsi="Times New Roman" w:eastAsia="宋体" w:cs="Times New Roman"/>
          <w:color w:val="000000" w:themeColor="text1"/>
          <w:kern w:val="0"/>
          <w:sz w:val="24"/>
          <w:szCs w:val="24"/>
          <w14:textFill>
            <w14:solidFill>
              <w14:schemeClr w14:val="tx1"/>
            </w14:solidFill>
          </w14:textFill>
        </w:rPr>
        <w:t>，其余指标执行《城镇污水处理厂污染物排放标准》（GB</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14:textFill>
            <w14:solidFill>
              <w14:schemeClr w14:val="tx1"/>
            </w14:solidFill>
          </w14:textFill>
        </w:rPr>
        <w:t>18918-2002）一级A标准</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kern w:val="22"/>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根据《城镇污水处理厂主要水污染物排放标准》（DB</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14:textFill>
            <w14:solidFill>
              <w14:schemeClr w14:val="tx1"/>
            </w14:solidFill>
          </w14:textFill>
        </w:rPr>
        <w:t>33/2169-2018）中的限值</w:t>
      </w:r>
      <w:r>
        <w:rPr>
          <w:rFonts w:hint="eastAsia" w:ascii="Times New Roman" w:hAnsi="Times New Roman" w:cs="Times New Roman"/>
          <w:color w:val="000000" w:themeColor="text1"/>
          <w:kern w:val="22"/>
          <w:sz w:val="24"/>
          <w:szCs w:val="24"/>
          <w14:textFill>
            <w14:solidFill>
              <w14:schemeClr w14:val="tx1"/>
            </w14:solidFill>
          </w14:textFill>
        </w:rPr>
        <w:t>（化学需氧量</w:t>
      </w:r>
      <w:r>
        <w:rPr>
          <w:rFonts w:hint="eastAsia" w:ascii="Times New Roman" w:hAnsi="Times New Roman" w:cs="Times New Roman"/>
          <w:color w:val="000000" w:themeColor="text1"/>
          <w:kern w:val="22"/>
          <w:sz w:val="24"/>
          <w:szCs w:val="24"/>
          <w:lang w:val="en-US" w:eastAsia="zh-CN"/>
          <w14:textFill>
            <w14:solidFill>
              <w14:schemeClr w14:val="tx1"/>
            </w14:solidFill>
          </w14:textFill>
        </w:rPr>
        <w:t>4</w:t>
      </w:r>
      <w:r>
        <w:rPr>
          <w:rFonts w:ascii="Times New Roman" w:hAnsi="Times New Roman" w:cs="Times New Roman"/>
          <w:color w:val="000000" w:themeColor="text1"/>
          <w:kern w:val="22"/>
          <w:sz w:val="24"/>
          <w:szCs w:val="24"/>
          <w14:textFill>
            <w14:solidFill>
              <w14:schemeClr w14:val="tx1"/>
            </w14:solidFill>
          </w14:textFill>
        </w:rPr>
        <w:t>0</w:t>
      </w:r>
      <w:r>
        <w:rPr>
          <w:rFonts w:hint="eastAsia" w:ascii="Times New Roman" w:hAnsi="Times New Roman" w:cs="Times New Roman"/>
          <w:color w:val="000000" w:themeColor="text1"/>
          <w:kern w:val="22"/>
          <w:sz w:val="24"/>
          <w:szCs w:val="24"/>
          <w14:textFill>
            <w14:solidFill>
              <w14:schemeClr w14:val="tx1"/>
            </w14:solidFill>
          </w14:textFill>
        </w:rPr>
        <w:t>mg</w:t>
      </w:r>
      <w:r>
        <w:rPr>
          <w:rFonts w:ascii="Times New Roman" w:hAnsi="Times New Roman" w:cs="Times New Roman"/>
          <w:color w:val="000000" w:themeColor="text1"/>
          <w:kern w:val="22"/>
          <w:sz w:val="24"/>
          <w:szCs w:val="24"/>
          <w14:textFill>
            <w14:solidFill>
              <w14:schemeClr w14:val="tx1"/>
            </w14:solidFill>
          </w14:textFill>
        </w:rPr>
        <w:t>/L</w:t>
      </w:r>
      <w:r>
        <w:rPr>
          <w:rFonts w:hint="eastAsia" w:ascii="Times New Roman" w:hAnsi="Times New Roman" w:cs="Times New Roman"/>
          <w:color w:val="000000" w:themeColor="text1"/>
          <w:kern w:val="22"/>
          <w:sz w:val="24"/>
          <w:szCs w:val="24"/>
          <w14:textFill>
            <w14:solidFill>
              <w14:schemeClr w14:val="tx1"/>
            </w14:solidFill>
          </w14:textFill>
        </w:rPr>
        <w:t>，氨氮</w:t>
      </w:r>
      <w:r>
        <w:rPr>
          <w:rFonts w:hint="eastAsia" w:ascii="Times New Roman" w:hAnsi="Times New Roman" w:cs="Times New Roman"/>
          <w:color w:val="000000" w:themeColor="text1"/>
          <w:kern w:val="22"/>
          <w:sz w:val="24"/>
          <w:szCs w:val="24"/>
          <w:lang w:val="en-US" w:eastAsia="zh-CN"/>
          <w14:textFill>
            <w14:solidFill>
              <w14:schemeClr w14:val="tx1"/>
            </w14:solidFill>
          </w14:textFill>
        </w:rPr>
        <w:t>2</w:t>
      </w:r>
      <w:r>
        <w:rPr>
          <w:rFonts w:hint="eastAsia" w:ascii="Times New Roman" w:hAnsi="Times New Roman" w:cs="Times New Roman"/>
          <w:color w:val="000000" w:themeColor="text1"/>
          <w:kern w:val="22"/>
          <w:sz w:val="24"/>
          <w:szCs w:val="24"/>
          <w14:textFill>
            <w14:solidFill>
              <w14:schemeClr w14:val="tx1"/>
            </w14:solidFill>
          </w14:textFill>
        </w:rPr>
        <w:t>mg</w:t>
      </w:r>
      <w:r>
        <w:rPr>
          <w:rFonts w:ascii="Times New Roman" w:hAnsi="Times New Roman" w:cs="Times New Roman"/>
          <w:color w:val="000000" w:themeColor="text1"/>
          <w:kern w:val="22"/>
          <w:sz w:val="24"/>
          <w:szCs w:val="24"/>
          <w14:textFill>
            <w14:solidFill>
              <w14:schemeClr w14:val="tx1"/>
            </w14:solidFill>
          </w14:textFill>
        </w:rPr>
        <w:t>/L</w:t>
      </w:r>
      <w:r>
        <w:rPr>
          <w:rFonts w:hint="eastAsia" w:ascii="Times New Roman" w:hAnsi="Times New Roman" w:cs="Times New Roman"/>
          <w:color w:val="000000" w:themeColor="text1"/>
          <w:kern w:val="22"/>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，估算废水监测因子年排入环境的总量</w:t>
      </w:r>
      <w:r>
        <w:rPr>
          <w:rFonts w:hint="eastAsia" w:ascii="Times New Roman" w:hAnsi="Times New Roman" w:cs="Times New Roman"/>
          <w:color w:val="000000" w:themeColor="text1"/>
          <w:kern w:val="22"/>
          <w:sz w:val="24"/>
          <w:szCs w:val="24"/>
          <w14:textFill>
            <w14:solidFill>
              <w14:schemeClr w14:val="tx1"/>
            </w14:solidFill>
          </w14:textFill>
        </w:rPr>
        <w:t>。具体</w:t>
      </w:r>
      <w:r>
        <w:rPr>
          <w:rFonts w:ascii="Times New Roman" w:hAnsi="Times New Roman" w:cs="Times New Roman"/>
          <w:color w:val="000000" w:themeColor="text1"/>
          <w:kern w:val="22"/>
          <w:sz w:val="24"/>
          <w:szCs w:val="24"/>
          <w14:textFill>
            <w14:solidFill>
              <w14:schemeClr w14:val="tx1"/>
            </w14:solidFill>
          </w14:textFill>
        </w:rPr>
        <w:t>废水监测因子</w:t>
      </w:r>
      <w:r>
        <w:rPr>
          <w:rFonts w:hint="eastAsia" w:ascii="Times New Roman" w:hAnsi="Times New Roman" w:cs="Times New Roman"/>
          <w:color w:val="000000" w:themeColor="text1"/>
          <w:kern w:val="22"/>
          <w:sz w:val="24"/>
          <w:szCs w:val="24"/>
          <w:lang w:val="en-US" w:eastAsia="zh-CN"/>
          <w14:textFill>
            <w14:solidFill>
              <w14:schemeClr w14:val="tx1"/>
            </w14:solidFill>
          </w14:textFill>
        </w:rPr>
        <w:t>年产生量</w:t>
      </w:r>
      <w:r>
        <w:rPr>
          <w:rFonts w:ascii="Times New Roman" w:hAnsi="Times New Roman" w:cs="Times New Roman"/>
          <w:color w:val="000000" w:themeColor="text1"/>
          <w:kern w:val="22"/>
          <w:sz w:val="24"/>
          <w:szCs w:val="24"/>
          <w14:textFill>
            <w14:solidFill>
              <w14:schemeClr w14:val="tx1"/>
            </w14:solidFill>
          </w14:textFill>
        </w:rPr>
        <w:t>见表9</w:t>
      </w:r>
      <w:r>
        <w:rPr>
          <w:rFonts w:hint="eastAsia" w:ascii="Times New Roman" w:hAnsi="Times New Roman" w:cs="Times New Roman"/>
          <w:color w:val="000000" w:themeColor="text1"/>
          <w:kern w:val="22"/>
          <w:sz w:val="24"/>
          <w:szCs w:val="24"/>
          <w14:textFill>
            <w14:solidFill>
              <w14:schemeClr w14:val="tx1"/>
            </w14:solidFill>
          </w14:textFill>
        </w:rPr>
        <w:t>.2</w:t>
      </w:r>
      <w:r>
        <w:rPr>
          <w:rFonts w:ascii="Times New Roman" w:hAnsi="Times New Roman" w:cs="Times New Roman"/>
          <w:color w:val="000000" w:themeColor="text1"/>
          <w:kern w:val="22"/>
          <w:sz w:val="24"/>
          <w:szCs w:val="24"/>
          <w14:textFill>
            <w14:solidFill>
              <w14:schemeClr w14:val="tx1"/>
            </w14:solidFill>
          </w14:textFill>
        </w:rPr>
        <w:t>.</w:t>
      </w:r>
      <w:r>
        <w:rPr>
          <w:rFonts w:hint="eastAsia" w:ascii="Times New Roman" w:hAnsi="Times New Roman" w:cs="Times New Roman"/>
          <w:color w:val="000000" w:themeColor="text1"/>
          <w:kern w:val="22"/>
          <w:sz w:val="24"/>
          <w:szCs w:val="24"/>
          <w:lang w:val="en-US" w:eastAsia="zh-CN"/>
          <w14:textFill>
            <w14:solidFill>
              <w14:schemeClr w14:val="tx1"/>
            </w14:solidFill>
          </w14:textFill>
        </w:rPr>
        <w:t>7</w:t>
      </w:r>
      <w:r>
        <w:rPr>
          <w:rFonts w:ascii="Times New Roman" w:hAnsi="Times New Roman" w:cs="Times New Roman"/>
          <w:color w:val="000000" w:themeColor="text1"/>
          <w:kern w:val="22"/>
          <w:sz w:val="24"/>
          <w:szCs w:val="24"/>
          <w14:textFill>
            <w14:solidFill>
              <w14:schemeClr w14:val="tx1"/>
            </w14:solidFill>
          </w14:textFill>
        </w:rPr>
        <w:t>-1。</w:t>
      </w:r>
    </w:p>
    <w:p>
      <w:pPr>
        <w:widowControl/>
        <w:spacing w:line="360" w:lineRule="auto"/>
        <w:jc w:val="center"/>
        <w:rPr>
          <w:rFonts w:ascii="Times New Roman" w:hAnsi="Times New Roman" w:eastAsia="宋体" w:cs="Times New Roman"/>
          <w:b/>
          <w:kern w:val="0"/>
          <w:sz w:val="28"/>
          <w:szCs w:val="28"/>
          <w:highlight w:val="none"/>
        </w:rPr>
      </w:pPr>
      <w:r>
        <w:rPr>
          <w:rFonts w:ascii="Times New Roman" w:hAnsi="Times New Roman" w:cs="Times New Roman"/>
          <w:b/>
          <w:bCs/>
          <w:szCs w:val="21"/>
          <w:highlight w:val="none"/>
        </w:rPr>
        <w:t>表9</w:t>
      </w:r>
      <w:r>
        <w:rPr>
          <w:rFonts w:hint="eastAsia" w:ascii="Times New Roman" w:hAnsi="Times New Roman" w:cs="Times New Roman"/>
          <w:b/>
          <w:bCs/>
          <w:szCs w:val="21"/>
          <w:highlight w:val="none"/>
        </w:rPr>
        <w:t>.2</w:t>
      </w:r>
      <w:r>
        <w:rPr>
          <w:rFonts w:ascii="Times New Roman" w:hAnsi="Times New Roman" w:cs="Times New Roman"/>
          <w:b/>
          <w:bCs/>
          <w:szCs w:val="21"/>
          <w:highlight w:val="none"/>
        </w:rPr>
        <w:t>.</w:t>
      </w:r>
      <w:r>
        <w:rPr>
          <w:rFonts w:hint="eastAsia" w:ascii="Times New Roman" w:hAnsi="Times New Roman" w:cs="Times New Roman"/>
          <w:b/>
          <w:bCs/>
          <w:szCs w:val="21"/>
          <w:highlight w:val="none"/>
          <w:lang w:val="en-US" w:eastAsia="zh-CN"/>
        </w:rPr>
        <w:t>7</w:t>
      </w:r>
      <w:r>
        <w:rPr>
          <w:rFonts w:ascii="Times New Roman" w:hAnsi="Times New Roman" w:cs="Times New Roman"/>
          <w:b/>
          <w:bCs/>
          <w:szCs w:val="21"/>
          <w:highlight w:val="none"/>
        </w:rPr>
        <w:t>-1</w:t>
      </w:r>
      <w:r>
        <w:rPr>
          <w:rFonts w:hint="eastAsia" w:ascii="Times New Roman" w:hAnsi="Times New Roman" w:cs="Times New Roman"/>
          <w:b/>
          <w:bCs/>
          <w:szCs w:val="21"/>
          <w:highlight w:val="none"/>
        </w:rPr>
        <w:t xml:space="preserve">  </w:t>
      </w:r>
      <w:r>
        <w:rPr>
          <w:rFonts w:ascii="Times New Roman" w:hAnsi="Times New Roman" w:cs="Times New Roman"/>
          <w:b/>
          <w:bCs/>
          <w:szCs w:val="21"/>
          <w:highlight w:val="none"/>
        </w:rPr>
        <w:t>废水监测因子年</w:t>
      </w:r>
      <w:r>
        <w:rPr>
          <w:rFonts w:hint="eastAsia" w:ascii="Times New Roman" w:hAnsi="Times New Roman" w:cs="Times New Roman"/>
          <w:b/>
          <w:bCs/>
          <w:szCs w:val="21"/>
          <w:highlight w:val="none"/>
          <w:lang w:val="en-US" w:eastAsia="zh-CN"/>
        </w:rPr>
        <w:t>产生</w:t>
      </w:r>
      <w:r>
        <w:rPr>
          <w:rFonts w:ascii="Times New Roman" w:hAnsi="Times New Roman" w:cs="Times New Roman"/>
          <w:b/>
          <w:bCs/>
          <w:szCs w:val="21"/>
          <w:highlight w:val="none"/>
        </w:rPr>
        <w:t>量</w:t>
      </w:r>
      <w:r>
        <w:rPr>
          <w:rFonts w:ascii="Times New Roman" w:hAnsi="Times New Roman" w:eastAsia="宋体" w:cs="Times New Roman"/>
          <w:b/>
          <w:sz w:val="24"/>
          <w:szCs w:val="24"/>
          <w:highlight w:val="none"/>
        </w:rPr>
        <w:t xml:space="preserve">  </w:t>
      </w:r>
      <w:r>
        <w:rPr>
          <w:rFonts w:ascii="Times New Roman" w:hAnsi="Times New Roman" w:eastAsia="宋体" w:cs="Times New Roman"/>
          <w:b/>
          <w:kern w:val="0"/>
          <w:sz w:val="28"/>
          <w:szCs w:val="28"/>
          <w:highlight w:val="none"/>
        </w:rPr>
        <w:t xml:space="preserve"> </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33"/>
        <w:gridCol w:w="2474"/>
        <w:gridCol w:w="2897"/>
        <w:gridCol w:w="1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33" w:type="dxa"/>
            <w:vAlign w:val="center"/>
          </w:tcPr>
          <w:p>
            <w:pPr>
              <w:adjustRightInd w:val="0"/>
              <w:snapToGrid w:val="0"/>
              <w:ind w:left="-105" w:leftChars="-50" w:right="-105" w:rightChars="-50"/>
              <w:jc w:val="center"/>
              <w:rPr>
                <w:rFonts w:hint="eastAsia" w:ascii="Times New Roman" w:hAnsi="Times New Roman" w:cs="Times New Roman"/>
                <w:b/>
                <w:bCs w:val="0"/>
                <w:kern w:val="0"/>
                <w:sz w:val="21"/>
                <w:szCs w:val="21"/>
                <w:highlight w:val="none"/>
              </w:rPr>
            </w:pPr>
            <w:r>
              <w:rPr>
                <w:rFonts w:hint="eastAsia" w:ascii="Times New Roman" w:hAnsi="Times New Roman" w:cs="Times New Roman"/>
                <w:b/>
                <w:bCs w:val="0"/>
                <w:kern w:val="0"/>
                <w:sz w:val="21"/>
                <w:szCs w:val="21"/>
                <w:highlight w:val="none"/>
              </w:rPr>
              <w:t>监测项目</w:t>
            </w:r>
          </w:p>
        </w:tc>
        <w:tc>
          <w:tcPr>
            <w:tcW w:w="2474" w:type="dxa"/>
            <w:vAlign w:val="center"/>
          </w:tcPr>
          <w:p>
            <w:pPr>
              <w:adjustRightInd w:val="0"/>
              <w:snapToGrid w:val="0"/>
              <w:ind w:left="-105" w:leftChars="-50" w:right="-105" w:rightChars="-50"/>
              <w:jc w:val="center"/>
              <w:rPr>
                <w:rFonts w:hint="eastAsia" w:ascii="Times New Roman" w:hAnsi="Times New Roman" w:cs="Times New Roman"/>
                <w:b/>
                <w:bCs w:val="0"/>
                <w:kern w:val="0"/>
                <w:sz w:val="21"/>
                <w:szCs w:val="21"/>
                <w:highlight w:val="none"/>
              </w:rPr>
            </w:pPr>
            <w:r>
              <w:rPr>
                <w:rFonts w:hint="eastAsia" w:ascii="Times New Roman" w:hAnsi="Times New Roman" w:cs="Times New Roman"/>
                <w:b/>
                <w:bCs w:val="0"/>
                <w:kern w:val="0"/>
                <w:sz w:val="21"/>
                <w:szCs w:val="21"/>
                <w:highlight w:val="none"/>
              </w:rPr>
              <w:t>年</w:t>
            </w:r>
            <w:r>
              <w:rPr>
                <w:rFonts w:hint="eastAsia" w:ascii="Times New Roman" w:hAnsi="Times New Roman" w:cs="Times New Roman"/>
                <w:b/>
                <w:bCs w:val="0"/>
                <w:kern w:val="0"/>
                <w:sz w:val="21"/>
                <w:szCs w:val="21"/>
                <w:highlight w:val="none"/>
                <w:lang w:val="en-US" w:eastAsia="zh-CN"/>
              </w:rPr>
              <w:t>产生量</w:t>
            </w:r>
            <w:r>
              <w:rPr>
                <w:rFonts w:hint="eastAsia" w:ascii="Times New Roman" w:hAnsi="Times New Roman" w:cs="Times New Roman"/>
                <w:b/>
                <w:bCs w:val="0"/>
                <w:kern w:val="0"/>
                <w:sz w:val="21"/>
                <w:szCs w:val="21"/>
                <w:highlight w:val="none"/>
              </w:rPr>
              <w:t>（t/a）</w:t>
            </w:r>
          </w:p>
        </w:tc>
        <w:tc>
          <w:tcPr>
            <w:tcW w:w="2897" w:type="dxa"/>
            <w:vAlign w:val="center"/>
          </w:tcPr>
          <w:p>
            <w:pPr>
              <w:adjustRightInd w:val="0"/>
              <w:snapToGrid w:val="0"/>
              <w:ind w:left="-105" w:leftChars="-50" w:right="-105" w:rightChars="-50"/>
              <w:jc w:val="center"/>
              <w:rPr>
                <w:rFonts w:hint="eastAsia" w:ascii="Times New Roman" w:hAnsi="Times New Roman" w:cs="Times New Roman"/>
                <w:b/>
                <w:bCs w:val="0"/>
                <w:kern w:val="0"/>
                <w:sz w:val="21"/>
                <w:szCs w:val="21"/>
                <w:highlight w:val="none"/>
              </w:rPr>
            </w:pPr>
            <w:r>
              <w:rPr>
                <w:rFonts w:hint="eastAsia" w:ascii="Times New Roman" w:hAnsi="Times New Roman" w:cs="Times New Roman"/>
                <w:b/>
                <w:bCs w:val="0"/>
                <w:kern w:val="0"/>
                <w:sz w:val="21"/>
                <w:szCs w:val="21"/>
                <w:highlight w:val="none"/>
              </w:rPr>
              <w:t>批复总量（t/a）</w:t>
            </w:r>
          </w:p>
        </w:tc>
        <w:tc>
          <w:tcPr>
            <w:tcW w:w="1112" w:type="dxa"/>
            <w:vAlign w:val="center"/>
          </w:tcPr>
          <w:p>
            <w:pPr>
              <w:adjustRightInd w:val="0"/>
              <w:snapToGrid w:val="0"/>
              <w:ind w:left="-105" w:leftChars="-50" w:right="-105" w:rightChars="-50"/>
              <w:jc w:val="center"/>
              <w:rPr>
                <w:rFonts w:hint="eastAsia" w:ascii="Times New Roman" w:hAnsi="Times New Roman" w:cs="Times New Roman"/>
                <w:b/>
                <w:bCs w:val="0"/>
                <w:kern w:val="0"/>
                <w:sz w:val="21"/>
                <w:szCs w:val="21"/>
                <w:highlight w:val="none"/>
              </w:rPr>
            </w:pPr>
            <w:r>
              <w:rPr>
                <w:rFonts w:hint="eastAsia" w:ascii="Times New Roman" w:hAnsi="Times New Roman" w:cs="Times New Roman"/>
                <w:b/>
                <w:bCs w:val="0"/>
                <w:kern w:val="0"/>
                <w:sz w:val="21"/>
                <w:szCs w:val="21"/>
                <w:highlight w:val="none"/>
              </w:rPr>
              <w:t>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33" w:type="dxa"/>
            <w:vAlign w:val="center"/>
          </w:tcPr>
          <w:p>
            <w:pPr>
              <w:adjustRightInd w:val="0"/>
              <w:snapToGrid w:val="0"/>
              <w:ind w:left="-105" w:leftChars="-50" w:right="-105" w:rightChars="-50"/>
              <w:jc w:val="center"/>
              <w:rPr>
                <w:rFonts w:hint="default" w:ascii="Times New Roman" w:hAnsi="Times New Roman" w:cs="Times New Roman"/>
                <w:bCs/>
                <w:kern w:val="0"/>
                <w:sz w:val="21"/>
                <w:szCs w:val="21"/>
                <w:highlight w:val="none"/>
                <w:lang w:val="en-US" w:eastAsia="zh-CN"/>
              </w:rPr>
            </w:pPr>
            <w:r>
              <w:rPr>
                <w:rFonts w:hint="default" w:ascii="Times New Roman" w:hAnsi="Times New Roman" w:cs="Times New Roman"/>
                <w:bCs/>
                <w:kern w:val="0"/>
                <w:sz w:val="21"/>
                <w:szCs w:val="21"/>
                <w:highlight w:val="none"/>
                <w:lang w:val="en-US" w:eastAsia="zh-CN"/>
              </w:rPr>
              <w:t>化学需氧量</w:t>
            </w:r>
          </w:p>
        </w:tc>
        <w:tc>
          <w:tcPr>
            <w:tcW w:w="2474"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bidi="ar-SA"/>
              </w:rPr>
              <w:t>0.022</w:t>
            </w:r>
          </w:p>
        </w:tc>
        <w:tc>
          <w:tcPr>
            <w:tcW w:w="2897"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rPr>
              <w:t>0.023</w:t>
            </w:r>
          </w:p>
        </w:tc>
        <w:tc>
          <w:tcPr>
            <w:tcW w:w="1112" w:type="dxa"/>
            <w:vAlign w:val="center"/>
          </w:tcPr>
          <w:p>
            <w:pPr>
              <w:adjustRightInd w:val="0"/>
              <w:snapToGrid w:val="0"/>
              <w:ind w:left="-105" w:leftChars="-50" w:right="-105" w:rightChars="-50"/>
              <w:jc w:val="center"/>
              <w:rPr>
                <w:rFonts w:hint="eastAsia"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33" w:type="dxa"/>
            <w:vAlign w:val="center"/>
          </w:tcPr>
          <w:p>
            <w:pPr>
              <w:adjustRightInd w:val="0"/>
              <w:snapToGrid w:val="0"/>
              <w:ind w:left="-105" w:leftChars="-50" w:right="-105" w:rightChars="-50"/>
              <w:jc w:val="center"/>
              <w:rPr>
                <w:rFonts w:hint="default" w:ascii="Times New Roman" w:hAnsi="Times New Roman"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氨氮</w:t>
            </w:r>
          </w:p>
        </w:tc>
        <w:tc>
          <w:tcPr>
            <w:tcW w:w="2474"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rPr>
              <w:t>0.002</w:t>
            </w:r>
          </w:p>
        </w:tc>
        <w:tc>
          <w:tcPr>
            <w:tcW w:w="2897" w:type="dxa"/>
            <w:vAlign w:val="center"/>
          </w:tcPr>
          <w:p>
            <w:pPr>
              <w:adjustRightInd w:val="0"/>
              <w:snapToGrid w:val="0"/>
              <w:ind w:left="-105" w:leftChars="-50" w:right="-105" w:rightChars="-50"/>
              <w:jc w:val="center"/>
              <w:rPr>
                <w:rFonts w:hint="default" w:ascii="Times New Roman" w:hAnsi="Times New Roman" w:cs="Times New Roman" w:eastAsiaTheme="minorEastAsia"/>
                <w:bCs/>
                <w:kern w:val="0"/>
                <w:sz w:val="21"/>
                <w:szCs w:val="21"/>
                <w:lang w:val="en-US" w:eastAsia="zh-CN" w:bidi="ar-SA"/>
              </w:rPr>
            </w:pPr>
            <w:r>
              <w:rPr>
                <w:rFonts w:hint="eastAsia" w:ascii="Times New Roman" w:hAnsi="Times New Roman" w:cs="Times New Roman"/>
                <w:bCs/>
                <w:kern w:val="0"/>
                <w:sz w:val="21"/>
                <w:szCs w:val="21"/>
                <w:lang w:val="en-US" w:eastAsia="zh-CN"/>
              </w:rPr>
              <w:t>0.002</w:t>
            </w:r>
          </w:p>
        </w:tc>
        <w:tc>
          <w:tcPr>
            <w:tcW w:w="1112" w:type="dxa"/>
            <w:vAlign w:val="center"/>
          </w:tcPr>
          <w:p>
            <w:pPr>
              <w:adjustRightInd w:val="0"/>
              <w:snapToGrid w:val="0"/>
              <w:ind w:left="-105" w:leftChars="-50" w:right="-105" w:rightChars="-50"/>
              <w:jc w:val="center"/>
              <w:rPr>
                <w:rFonts w:hint="eastAsia" w:ascii="Times New Roman" w:hAnsi="Times New Roman" w:cs="Times New Roman" w:eastAsiaTheme="minorEastAsia"/>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516" w:type="dxa"/>
            <w:gridSpan w:val="4"/>
            <w:vAlign w:val="center"/>
          </w:tcPr>
          <w:p>
            <w:pPr>
              <w:jc w:val="left"/>
              <w:rPr>
                <w:rFonts w:ascii="Times New Roman" w:hAnsi="Times New Roman" w:eastAsia="宋体" w:cs="Times New Roman"/>
                <w:kern w:val="0"/>
                <w:sz w:val="20"/>
                <w:szCs w:val="21"/>
                <w:highlight w:val="none"/>
              </w:rPr>
            </w:pPr>
            <w:r>
              <w:rPr>
                <w:rFonts w:hint="eastAsia" w:asciiTheme="minorEastAsia" w:hAnsiTheme="minorEastAsia" w:eastAsiaTheme="minorEastAsia" w:cstheme="minorEastAsia"/>
                <w:kern w:val="0"/>
                <w:sz w:val="20"/>
                <w:szCs w:val="21"/>
                <w:highlight w:val="none"/>
              </w:rPr>
              <w:t>注：年</w:t>
            </w:r>
            <w:r>
              <w:rPr>
                <w:rFonts w:hint="default" w:ascii="Times New Roman" w:hAnsi="Times New Roman" w:cs="Times New Roman" w:eastAsiaTheme="minorEastAsia"/>
                <w:kern w:val="0"/>
                <w:sz w:val="20"/>
                <w:szCs w:val="21"/>
                <w:highlight w:val="none"/>
                <w:lang w:val="en-US" w:eastAsia="zh-CN"/>
              </w:rPr>
              <w:t>产生</w:t>
            </w:r>
            <w:r>
              <w:rPr>
                <w:rFonts w:hint="default" w:ascii="Times New Roman" w:hAnsi="Times New Roman" w:cs="Times New Roman" w:eastAsiaTheme="minorEastAsia"/>
                <w:kern w:val="0"/>
                <w:sz w:val="20"/>
                <w:szCs w:val="21"/>
                <w:highlight w:val="none"/>
              </w:rPr>
              <w:t>量计算结果是根据《城镇污水处理厂主要水污染物排放标准》（DB 33/2169-2018）中的限值估算的排放量。</w:t>
            </w:r>
          </w:p>
        </w:tc>
      </w:tr>
    </w:tbl>
    <w:p>
      <w:pPr>
        <w:widowControl/>
        <w:spacing w:line="360" w:lineRule="auto"/>
        <w:ind w:firstLine="482" w:firstLineChars="200"/>
        <w:rPr>
          <w:rFonts w:hint="eastAsia" w:ascii="Times New Roman" w:hAnsi="Times New Roman"/>
          <w:b/>
          <w:sz w:val="24"/>
          <w:szCs w:val="24"/>
        </w:rPr>
      </w:pPr>
    </w:p>
    <w:p>
      <w:pPr>
        <w:widowControl/>
        <w:spacing w:line="360" w:lineRule="auto"/>
        <w:ind w:firstLine="482" w:firstLineChars="200"/>
        <w:rPr>
          <w:rFonts w:ascii="Times New Roman" w:hAnsi="Times New Roman"/>
          <w:b/>
          <w:sz w:val="24"/>
          <w:szCs w:val="24"/>
        </w:rPr>
      </w:pPr>
      <w:r>
        <w:rPr>
          <w:rFonts w:hint="eastAsia" w:ascii="Times New Roman" w:hAnsi="Times New Roman"/>
          <w:b/>
          <w:sz w:val="24"/>
          <w:szCs w:val="24"/>
        </w:rPr>
        <w:t>2</w:t>
      </w:r>
      <w:r>
        <w:rPr>
          <w:rFonts w:ascii="Times New Roman" w:hAnsi="Times New Roman"/>
          <w:b/>
          <w:sz w:val="24"/>
          <w:szCs w:val="24"/>
        </w:rPr>
        <w:t>、废</w:t>
      </w:r>
      <w:r>
        <w:rPr>
          <w:rFonts w:hint="eastAsia" w:ascii="Times New Roman" w:hAnsi="Times New Roman"/>
          <w:b/>
          <w:sz w:val="24"/>
          <w:szCs w:val="24"/>
        </w:rPr>
        <w:t>气</w:t>
      </w:r>
    </w:p>
    <w:p>
      <w:pPr>
        <w:tabs>
          <w:tab w:val="left" w:pos="180"/>
        </w:tabs>
        <w:spacing w:line="360" w:lineRule="auto"/>
        <w:ind w:firstLine="480" w:firstLineChars="200"/>
        <w:jc w:val="left"/>
        <w:rPr>
          <w:rFonts w:hint="eastAsia" w:ascii="Times New Roman" w:hAnsi="Times New Roman"/>
          <w:sz w:val="24"/>
          <w:szCs w:val="24"/>
          <w:highlight w:val="none"/>
        </w:rPr>
      </w:pPr>
      <w:r>
        <w:rPr>
          <w:rFonts w:hint="eastAsia" w:ascii="Times New Roman" w:hAnsi="Times New Roman"/>
          <w:sz w:val="24"/>
          <w:szCs w:val="24"/>
        </w:rPr>
        <w:t>据建设单位</w:t>
      </w:r>
      <w:r>
        <w:rPr>
          <w:rFonts w:hint="eastAsia" w:ascii="Times New Roman" w:hAnsi="Times New Roman"/>
          <w:sz w:val="24"/>
          <w:szCs w:val="24"/>
          <w:lang w:eastAsia="zh-CN"/>
        </w:rPr>
        <w:t>提供</w:t>
      </w:r>
      <w:r>
        <w:rPr>
          <w:rFonts w:hint="eastAsia" w:ascii="Times New Roman" w:hAnsi="Times New Roman"/>
          <w:sz w:val="24"/>
          <w:szCs w:val="24"/>
          <w:lang w:val="en-US" w:eastAsia="zh-CN"/>
        </w:rPr>
        <w:t>及环评报告</w:t>
      </w:r>
      <w:r>
        <w:rPr>
          <w:rFonts w:hint="eastAsia" w:ascii="Times New Roman" w:hAnsi="Times New Roman"/>
          <w:sz w:val="24"/>
          <w:szCs w:val="24"/>
          <w:highlight w:val="none"/>
          <w:lang w:eastAsia="zh-CN"/>
        </w:rPr>
        <w:t>，</w:t>
      </w:r>
      <w:r>
        <w:rPr>
          <w:rFonts w:hint="eastAsia" w:ascii="Times New Roman" w:hAnsi="Times New Roman"/>
          <w:sz w:val="24"/>
          <w:szCs w:val="24"/>
          <w:highlight w:val="none"/>
          <w:lang w:val="en-US" w:eastAsia="zh-CN"/>
        </w:rPr>
        <w:t>企业</w:t>
      </w:r>
      <w:r>
        <w:rPr>
          <w:rFonts w:hint="eastAsia" w:ascii="Times New Roman" w:hAnsi="Times New Roman"/>
          <w:sz w:val="24"/>
          <w:szCs w:val="24"/>
          <w:highlight w:val="none"/>
          <w:lang w:eastAsia="zh-CN"/>
        </w:rPr>
        <w:t>每天工作</w:t>
      </w:r>
      <w:r>
        <w:rPr>
          <w:rFonts w:hint="eastAsia" w:ascii="Times New Roman" w:hAnsi="Times New Roman"/>
          <w:sz w:val="24"/>
          <w:szCs w:val="24"/>
          <w:lang w:eastAsia="zh-CN"/>
        </w:rPr>
        <w:t>时间</w:t>
      </w:r>
      <w:r>
        <w:rPr>
          <w:rFonts w:hint="eastAsia" w:ascii="Times New Roman" w:hAnsi="Times New Roman"/>
          <w:sz w:val="24"/>
          <w:szCs w:val="24"/>
          <w:lang w:val="en-US" w:eastAsia="zh-CN"/>
        </w:rPr>
        <w:t>8小时，年生产300天，总计约2400</w:t>
      </w:r>
      <w:r>
        <w:rPr>
          <w:rFonts w:hint="eastAsia" w:ascii="Times New Roman" w:hAnsi="Times New Roman"/>
          <w:sz w:val="24"/>
          <w:szCs w:val="24"/>
        </w:rPr>
        <w:t>h</w:t>
      </w:r>
      <w:r>
        <w:rPr>
          <w:rFonts w:hint="eastAsia" w:ascii="Times New Roman" w:hAnsi="Times New Roman"/>
          <w:sz w:val="24"/>
          <w:szCs w:val="24"/>
          <w:lang w:val="en-US" w:eastAsia="zh-CN"/>
        </w:rPr>
        <w:t>/a。</w:t>
      </w:r>
      <w:r>
        <w:rPr>
          <w:rFonts w:hint="eastAsia" w:ascii="Times New Roman" w:hAnsi="Times New Roman"/>
          <w:sz w:val="24"/>
          <w:szCs w:val="24"/>
        </w:rPr>
        <w:t>监测期间废气排放口排放速率监测结果的平均值，计算得出该单位V</w:t>
      </w:r>
      <w:r>
        <w:rPr>
          <w:rFonts w:ascii="Times New Roman" w:hAnsi="Times New Roman"/>
          <w:sz w:val="24"/>
          <w:szCs w:val="24"/>
        </w:rPr>
        <w:t>OC</w:t>
      </w:r>
      <w:r>
        <w:rPr>
          <w:rFonts w:ascii="Times New Roman" w:hAnsi="Times New Roman"/>
          <w:sz w:val="24"/>
          <w:szCs w:val="24"/>
          <w:vertAlign w:val="subscript"/>
        </w:rPr>
        <w:t>S</w:t>
      </w:r>
      <w:r>
        <w:rPr>
          <w:rFonts w:hint="eastAsia" w:ascii="Times New Roman" w:hAnsi="Times New Roman"/>
          <w:sz w:val="24"/>
          <w:szCs w:val="24"/>
        </w:rPr>
        <w:t>废气污染因子的年排放量</w:t>
      </w:r>
      <w:r>
        <w:rPr>
          <w:rFonts w:hint="eastAsia" w:ascii="Times New Roman" w:hAnsi="Times New Roman"/>
          <w:sz w:val="24"/>
          <w:szCs w:val="24"/>
          <w:highlight w:val="none"/>
        </w:rPr>
        <w:t>。</w:t>
      </w:r>
    </w:p>
    <w:p>
      <w:pPr>
        <w:spacing w:line="360" w:lineRule="auto"/>
        <w:ind w:firstLine="480" w:firstLineChars="200"/>
        <w:rPr>
          <w:rFonts w:hint="eastAsia" w:ascii="Times New Roman" w:hAnsi="Times New Roman" w:cs="Times New Roman"/>
          <w:color w:val="auto"/>
          <w:kern w:val="22"/>
          <w:sz w:val="24"/>
          <w:szCs w:val="24"/>
          <w:highlight w:val="none"/>
          <w:lang w:val="en-US" w:eastAsia="zh-CN"/>
        </w:rPr>
      </w:pPr>
      <w:r>
        <w:rPr>
          <w:rFonts w:hint="eastAsia" w:ascii="Times New Roman" w:hAnsi="Times New Roman" w:cs="Times New Roman"/>
          <w:color w:val="auto"/>
          <w:kern w:val="22"/>
          <w:sz w:val="24"/>
          <w:szCs w:val="24"/>
          <w:highlight w:val="none"/>
          <w:lang w:val="en-US" w:eastAsia="zh-CN"/>
        </w:rPr>
        <w:t>项目天然气燃烧废气排放口中二氧化硫、氮氧化物均未检出，故本项目的二氧化硫和氮氧化物年排放总量以产污系数法进行核算：</w:t>
      </w:r>
    </w:p>
    <w:p>
      <w:pPr>
        <w:spacing w:line="360" w:lineRule="auto"/>
        <w:ind w:firstLine="480" w:firstLineChars="200"/>
        <w:rPr>
          <w:rFonts w:hint="eastAsia" w:ascii="Times New Roman" w:hAnsi="Times New Roman" w:cs="Times New Roman"/>
          <w:color w:val="auto"/>
          <w:kern w:val="22"/>
          <w:sz w:val="24"/>
          <w:szCs w:val="24"/>
          <w:highlight w:val="none"/>
          <w:lang w:val="en-US" w:eastAsia="zh-CN"/>
        </w:rPr>
      </w:pPr>
      <w:r>
        <w:rPr>
          <w:rFonts w:hint="eastAsia" w:ascii="Times New Roman" w:hAnsi="Times New Roman" w:cs="Times New Roman"/>
          <w:color w:val="auto"/>
          <w:kern w:val="22"/>
          <w:sz w:val="24"/>
          <w:szCs w:val="24"/>
          <w:highlight w:val="none"/>
          <w:lang w:val="en-US" w:eastAsia="zh-CN"/>
        </w:rPr>
        <w:t>SO</w:t>
      </w:r>
      <w:r>
        <w:rPr>
          <w:rFonts w:hint="eastAsia" w:ascii="Times New Roman" w:hAnsi="Times New Roman" w:cs="Times New Roman"/>
          <w:color w:val="auto"/>
          <w:kern w:val="22"/>
          <w:sz w:val="24"/>
          <w:szCs w:val="24"/>
          <w:highlight w:val="none"/>
          <w:vertAlign w:val="subscript"/>
          <w:lang w:val="en-US" w:eastAsia="zh-CN"/>
        </w:rPr>
        <w:t>2</w:t>
      </w:r>
      <w:r>
        <w:rPr>
          <w:rFonts w:hint="eastAsia" w:ascii="Times New Roman" w:hAnsi="Times New Roman" w:cs="Times New Roman"/>
          <w:color w:val="auto"/>
          <w:kern w:val="22"/>
          <w:sz w:val="24"/>
          <w:szCs w:val="24"/>
          <w:highlight w:val="none"/>
          <w:lang w:val="en-US" w:eastAsia="zh-CN"/>
        </w:rPr>
        <w:t>产生量=天然气用量</w:t>
      </w:r>
      <w:r>
        <w:rPr>
          <w:rFonts w:hint="default" w:ascii="Times New Roman" w:hAnsi="Times New Roman" w:eastAsia="Yu Gothic UI Semibold" w:cs="Times New Roman"/>
          <w:color w:val="auto"/>
          <w:kern w:val="22"/>
          <w:sz w:val="24"/>
          <w:szCs w:val="24"/>
          <w:highlight w:val="none"/>
          <w:lang w:val="en-US" w:eastAsia="zh-CN"/>
        </w:rPr>
        <w:t>×</w:t>
      </w:r>
      <w:r>
        <w:rPr>
          <w:rFonts w:hint="eastAsia" w:ascii="Times New Roman" w:hAnsi="Times New Roman" w:cs="Times New Roman"/>
          <w:color w:val="auto"/>
          <w:kern w:val="22"/>
          <w:sz w:val="24"/>
          <w:szCs w:val="24"/>
          <w:highlight w:val="none"/>
          <w:lang w:val="en-US" w:eastAsia="zh-CN"/>
        </w:rPr>
        <w:t>产污系数（0.02S 千克/万立方米-原料，S—根据《天然气》（GB17820-2018）中二类天然气的总硫量进行计算，即S≤100mg/m</w:t>
      </w:r>
      <w:r>
        <w:rPr>
          <w:rFonts w:hint="eastAsia" w:ascii="Times New Roman" w:hAnsi="Times New Roman" w:cs="Times New Roman"/>
          <w:color w:val="auto"/>
          <w:kern w:val="22"/>
          <w:sz w:val="24"/>
          <w:szCs w:val="24"/>
          <w:highlight w:val="none"/>
          <w:vertAlign w:val="superscript"/>
          <w:lang w:val="en-US" w:eastAsia="zh-CN"/>
        </w:rPr>
        <w:t>3</w:t>
      </w:r>
      <w:r>
        <w:rPr>
          <w:rFonts w:hint="eastAsia" w:ascii="Times New Roman" w:hAnsi="Times New Roman" w:cs="Times New Roman"/>
          <w:color w:val="auto"/>
          <w:kern w:val="22"/>
          <w:sz w:val="24"/>
          <w:szCs w:val="24"/>
          <w:highlight w:val="none"/>
          <w:lang w:val="en-US" w:eastAsia="zh-CN"/>
        </w:rPr>
        <w:t>）</w:t>
      </w:r>
    </w:p>
    <w:p>
      <w:pPr>
        <w:spacing w:line="360" w:lineRule="auto"/>
        <w:ind w:firstLine="480" w:firstLineChars="200"/>
        <w:rPr>
          <w:rFonts w:hint="eastAsia" w:ascii="Times New Roman" w:hAnsi="Times New Roman" w:cs="Times New Roman"/>
          <w:color w:val="auto"/>
          <w:kern w:val="22"/>
          <w:sz w:val="24"/>
          <w:szCs w:val="24"/>
          <w:highlight w:val="none"/>
          <w:lang w:val="en-US" w:eastAsia="zh-CN"/>
        </w:rPr>
      </w:pPr>
      <w:r>
        <w:rPr>
          <w:rFonts w:hint="eastAsia" w:ascii="Times New Roman" w:hAnsi="Times New Roman" w:cs="Times New Roman"/>
          <w:color w:val="auto"/>
          <w:kern w:val="22"/>
          <w:sz w:val="24"/>
          <w:szCs w:val="24"/>
          <w:highlight w:val="none"/>
          <w:lang w:val="en-US" w:eastAsia="zh-CN"/>
        </w:rPr>
        <w:t>NOx产生量=天然气用量</w:t>
      </w:r>
      <w:r>
        <w:rPr>
          <w:rFonts w:hint="default" w:ascii="Times New Roman" w:hAnsi="Times New Roman" w:eastAsia="Yu Gothic UI Semibold" w:cs="Times New Roman"/>
          <w:color w:val="auto"/>
          <w:kern w:val="22"/>
          <w:sz w:val="24"/>
          <w:szCs w:val="24"/>
          <w:highlight w:val="none"/>
          <w:lang w:val="en-US" w:eastAsia="zh-CN"/>
        </w:rPr>
        <w:t>×</w:t>
      </w:r>
      <w:r>
        <w:rPr>
          <w:rFonts w:hint="eastAsia" w:ascii="Times New Roman" w:hAnsi="Times New Roman" w:cs="Times New Roman"/>
          <w:color w:val="auto"/>
          <w:kern w:val="22"/>
          <w:sz w:val="24"/>
          <w:szCs w:val="24"/>
          <w:highlight w:val="none"/>
          <w:lang w:val="en-US" w:eastAsia="zh-CN"/>
        </w:rPr>
        <w:t>产污系数（18.71千克/万立方米-原料）</w:t>
      </w:r>
    </w:p>
    <w:p>
      <w:pPr>
        <w:tabs>
          <w:tab w:val="left" w:pos="180"/>
        </w:tabs>
        <w:spacing w:line="360" w:lineRule="auto"/>
        <w:ind w:firstLine="480" w:firstLineChars="200"/>
        <w:jc w:val="left"/>
        <w:rPr>
          <w:rFonts w:hint="eastAsia" w:ascii="Times New Roman" w:hAnsi="Times New Roman"/>
          <w:color w:val="auto"/>
          <w:sz w:val="24"/>
          <w:szCs w:val="24"/>
          <w:highlight w:val="none"/>
        </w:rPr>
      </w:pPr>
      <w:r>
        <w:rPr>
          <w:rFonts w:hint="eastAsia" w:ascii="Times New Roman" w:hAnsi="Times New Roman" w:cs="Times New Roman"/>
          <w:color w:val="auto"/>
          <w:kern w:val="22"/>
          <w:sz w:val="24"/>
          <w:szCs w:val="24"/>
          <w:highlight w:val="none"/>
          <w:lang w:val="en-US" w:eastAsia="zh-CN"/>
        </w:rPr>
        <w:t>本项目天然气年用量约2.143万m</w:t>
      </w:r>
      <w:r>
        <w:rPr>
          <w:rFonts w:hint="eastAsia" w:ascii="Times New Roman" w:hAnsi="Times New Roman" w:cs="Times New Roman"/>
          <w:color w:val="auto"/>
          <w:kern w:val="22"/>
          <w:sz w:val="24"/>
          <w:szCs w:val="24"/>
          <w:highlight w:val="none"/>
          <w:vertAlign w:val="superscript"/>
          <w:lang w:val="en-US" w:eastAsia="zh-CN"/>
        </w:rPr>
        <w:t>3</w:t>
      </w:r>
      <w:r>
        <w:rPr>
          <w:rFonts w:hint="eastAsia" w:ascii="Times New Roman" w:hAnsi="Times New Roman" w:cs="Times New Roman"/>
          <w:color w:val="auto"/>
          <w:kern w:val="22"/>
          <w:sz w:val="24"/>
          <w:szCs w:val="24"/>
          <w:highlight w:val="none"/>
          <w:lang w:val="en-US" w:eastAsia="zh-CN"/>
        </w:rPr>
        <w:t>，故：SO</w:t>
      </w:r>
      <w:r>
        <w:rPr>
          <w:rFonts w:hint="eastAsia" w:ascii="Times New Roman" w:hAnsi="Times New Roman" w:cs="Times New Roman"/>
          <w:color w:val="auto"/>
          <w:kern w:val="22"/>
          <w:sz w:val="24"/>
          <w:szCs w:val="24"/>
          <w:highlight w:val="none"/>
          <w:vertAlign w:val="subscript"/>
          <w:lang w:val="en-US" w:eastAsia="zh-CN"/>
        </w:rPr>
        <w:t>2</w:t>
      </w:r>
      <w:r>
        <w:rPr>
          <w:rFonts w:hint="eastAsia" w:ascii="Times New Roman" w:hAnsi="Times New Roman" w:cs="Times New Roman"/>
          <w:color w:val="auto"/>
          <w:kern w:val="22"/>
          <w:sz w:val="24"/>
          <w:szCs w:val="24"/>
          <w:highlight w:val="none"/>
          <w:lang w:val="en-US" w:eastAsia="zh-CN"/>
        </w:rPr>
        <w:t>排放量为0.004t/a；NOx排放量为0.040t/a。</w:t>
      </w:r>
    </w:p>
    <w:p>
      <w:pPr>
        <w:tabs>
          <w:tab w:val="left" w:pos="180"/>
        </w:tabs>
        <w:spacing w:line="360" w:lineRule="auto"/>
        <w:ind w:firstLine="480" w:firstLineChars="200"/>
        <w:jc w:val="left"/>
        <w:rPr>
          <w:rFonts w:ascii="Times New Roman" w:hAnsi="Times New Roman"/>
          <w:sz w:val="24"/>
          <w:szCs w:val="24"/>
        </w:rPr>
      </w:pPr>
      <w:r>
        <w:rPr>
          <w:rFonts w:hint="eastAsia" w:ascii="Times New Roman" w:hAnsi="Times New Roman"/>
          <w:sz w:val="24"/>
          <w:szCs w:val="24"/>
          <w:highlight w:val="none"/>
        </w:rPr>
        <w:t>废</w:t>
      </w:r>
      <w:r>
        <w:rPr>
          <w:rFonts w:hint="eastAsia" w:ascii="Times New Roman" w:hAnsi="Times New Roman"/>
          <w:sz w:val="24"/>
          <w:szCs w:val="24"/>
        </w:rPr>
        <w:t>气监测因子排放量见表</w:t>
      </w:r>
      <w:r>
        <w:rPr>
          <w:rFonts w:ascii="Times New Roman" w:hAnsi="Times New Roman"/>
          <w:sz w:val="24"/>
          <w:szCs w:val="24"/>
        </w:rPr>
        <w:t>9.2.</w:t>
      </w:r>
      <w:r>
        <w:rPr>
          <w:rFonts w:hint="eastAsia" w:ascii="Times New Roman" w:hAnsi="Times New Roman"/>
          <w:sz w:val="24"/>
          <w:szCs w:val="24"/>
          <w:lang w:val="en-US" w:eastAsia="zh-CN"/>
        </w:rPr>
        <w:t>7</w:t>
      </w:r>
      <w:r>
        <w:rPr>
          <w:rFonts w:ascii="Times New Roman" w:hAnsi="Times New Roman"/>
          <w:sz w:val="24"/>
          <w:szCs w:val="24"/>
        </w:rPr>
        <w:t>-2</w:t>
      </w:r>
      <w:r>
        <w:rPr>
          <w:rFonts w:hint="eastAsia" w:ascii="Times New Roman" w:hAnsi="Times New Roman"/>
          <w:sz w:val="24"/>
          <w:szCs w:val="24"/>
        </w:rPr>
        <w:t>。</w:t>
      </w:r>
    </w:p>
    <w:p>
      <w:pPr>
        <w:widowControl/>
        <w:spacing w:line="360" w:lineRule="auto"/>
        <w:jc w:val="center"/>
        <w:rPr>
          <w:rFonts w:ascii="Times New Roman" w:hAnsi="Times New Roman"/>
          <w:b/>
          <w:kern w:val="0"/>
          <w:sz w:val="28"/>
          <w:szCs w:val="28"/>
        </w:rPr>
      </w:pPr>
      <w:r>
        <w:rPr>
          <w:rFonts w:hint="eastAsia" w:ascii="Times New Roman"/>
          <w:b/>
          <w:bCs/>
          <w:szCs w:val="21"/>
        </w:rPr>
        <w:t>表</w:t>
      </w:r>
      <w:r>
        <w:rPr>
          <w:rFonts w:ascii="Times New Roman"/>
          <w:b/>
          <w:bCs/>
          <w:szCs w:val="21"/>
        </w:rPr>
        <w:t>9.2.</w:t>
      </w:r>
      <w:r>
        <w:rPr>
          <w:rFonts w:hint="eastAsia" w:ascii="Times New Roman"/>
          <w:b/>
          <w:bCs/>
          <w:szCs w:val="21"/>
          <w:lang w:val="en-US" w:eastAsia="zh-CN"/>
        </w:rPr>
        <w:t>7</w:t>
      </w:r>
      <w:r>
        <w:rPr>
          <w:rFonts w:ascii="Times New Roman"/>
          <w:b/>
          <w:bCs/>
          <w:szCs w:val="21"/>
        </w:rPr>
        <w:t xml:space="preserve">-2  </w:t>
      </w:r>
      <w:r>
        <w:rPr>
          <w:rFonts w:hint="eastAsia" w:ascii="Times New Roman"/>
          <w:b/>
          <w:bCs/>
          <w:szCs w:val="21"/>
        </w:rPr>
        <w:t>废气监测因子年排放量</w:t>
      </w:r>
      <w:r>
        <w:rPr>
          <w:rFonts w:ascii="Times New Roman"/>
          <w:b/>
          <w:bCs/>
          <w:szCs w:val="21"/>
        </w:rPr>
        <w:t xml:space="preserve">  </w:t>
      </w:r>
      <w:r>
        <w:rPr>
          <w:rFonts w:ascii="Times New Roman" w:hAnsi="Times New Roman"/>
          <w:b/>
          <w:kern w:val="0"/>
          <w:sz w:val="28"/>
          <w:szCs w:val="28"/>
        </w:rPr>
        <w:t xml:space="preserve">             </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4"/>
        <w:gridCol w:w="1451"/>
        <w:gridCol w:w="1179"/>
        <w:gridCol w:w="1265"/>
        <w:gridCol w:w="1364"/>
        <w:gridCol w:w="1411"/>
        <w:gridCol w:w="7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74" w:type="dxa"/>
            <w:vAlign w:val="center"/>
          </w:tcPr>
          <w:p>
            <w:pPr>
              <w:adjustRightInd w:val="0"/>
              <w:snapToGrid w:val="0"/>
              <w:spacing w:line="360" w:lineRule="exact"/>
              <w:jc w:val="center"/>
              <w:rPr>
                <w:rFonts w:hint="eastAsia" w:ascii="Times New Roman" w:hAnsi="Times New Roman" w:cs="Times New Roman" w:eastAsiaTheme="minorEastAsia"/>
                <w:b/>
                <w:bCs/>
                <w:kern w:val="0"/>
                <w:szCs w:val="21"/>
                <w:highlight w:val="none"/>
                <w:lang w:eastAsia="zh-CN"/>
              </w:rPr>
            </w:pPr>
            <w:r>
              <w:rPr>
                <w:rFonts w:hint="eastAsia" w:ascii="Times New Roman" w:hAnsi="Times New Roman" w:cs="Times New Roman"/>
                <w:b/>
                <w:bCs/>
                <w:kern w:val="0"/>
                <w:szCs w:val="21"/>
                <w:highlight w:val="none"/>
                <w:lang w:eastAsia="zh-CN"/>
              </w:rPr>
              <w:t>指标</w:t>
            </w:r>
          </w:p>
        </w:tc>
        <w:tc>
          <w:tcPr>
            <w:tcW w:w="145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eastAsiaTheme="minorEastAsia"/>
                <w:b/>
                <w:bCs/>
                <w:kern w:val="0"/>
                <w:szCs w:val="21"/>
                <w:highlight w:val="none"/>
                <w:lang w:eastAsia="zh-CN"/>
              </w:rPr>
            </w:pPr>
            <w:r>
              <w:rPr>
                <w:rFonts w:hint="eastAsia" w:ascii="Times New Roman" w:hAnsi="Times New Roman" w:cs="Times New Roman"/>
                <w:b/>
                <w:bCs/>
                <w:kern w:val="0"/>
                <w:szCs w:val="21"/>
                <w:highlight w:val="none"/>
                <w:lang w:eastAsia="zh-CN"/>
              </w:rPr>
              <w:t>排气筒</w:t>
            </w:r>
          </w:p>
        </w:tc>
        <w:tc>
          <w:tcPr>
            <w:tcW w:w="117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bCs/>
                <w:kern w:val="0"/>
                <w:szCs w:val="21"/>
                <w:highlight w:val="none"/>
                <w:lang w:eastAsia="zh-CN"/>
              </w:rPr>
            </w:pPr>
            <w:r>
              <w:rPr>
                <w:rFonts w:hint="eastAsia" w:ascii="Times New Roman" w:hAnsi="Times New Roman" w:cs="Times New Roman"/>
                <w:b/>
                <w:bCs/>
                <w:kern w:val="0"/>
                <w:szCs w:val="21"/>
                <w:highlight w:val="none"/>
                <w:lang w:eastAsia="zh-CN"/>
              </w:rPr>
              <w:t>排放速率（</w:t>
            </w:r>
            <w:r>
              <w:rPr>
                <w:rFonts w:hint="eastAsia" w:ascii="Times New Roman" w:hAnsi="Times New Roman" w:cs="Times New Roman"/>
                <w:b/>
                <w:bCs/>
                <w:kern w:val="0"/>
                <w:szCs w:val="21"/>
                <w:highlight w:val="none"/>
                <w:lang w:val="en-US" w:eastAsia="zh-CN"/>
              </w:rPr>
              <w:t>kg/h</w:t>
            </w:r>
            <w:r>
              <w:rPr>
                <w:rFonts w:hint="eastAsia" w:ascii="Times New Roman" w:hAnsi="Times New Roman" w:cs="Times New Roman"/>
                <w:b/>
                <w:bCs/>
                <w:kern w:val="0"/>
                <w:szCs w:val="21"/>
                <w:highlight w:val="none"/>
                <w:lang w:eastAsia="zh-CN"/>
              </w:rPr>
              <w:t>）</w:t>
            </w:r>
          </w:p>
        </w:tc>
        <w:tc>
          <w:tcPr>
            <w:tcW w:w="126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Times New Roman" w:hAnsi="Times New Roman" w:cs="Times New Roman"/>
                <w:b/>
                <w:bCs/>
                <w:kern w:val="0"/>
                <w:szCs w:val="21"/>
                <w:highlight w:val="none"/>
              </w:rPr>
            </w:pPr>
            <w:r>
              <w:rPr>
                <w:rFonts w:hint="eastAsia" w:ascii="Times New Roman" w:hAnsi="Times New Roman" w:cs="Times New Roman"/>
                <w:b/>
                <w:bCs/>
                <w:kern w:val="0"/>
                <w:szCs w:val="21"/>
                <w:highlight w:val="none"/>
                <w:lang w:val="en-US" w:eastAsia="zh-CN"/>
              </w:rPr>
              <w:t>年排放时间（h）</w:t>
            </w:r>
          </w:p>
        </w:tc>
        <w:tc>
          <w:tcPr>
            <w:tcW w:w="1364"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Times New Roman" w:hAnsi="Times New Roman" w:cs="Times New Roman"/>
                <w:b/>
                <w:bCs/>
                <w:kern w:val="0"/>
                <w:szCs w:val="21"/>
                <w:highlight w:val="none"/>
              </w:rPr>
            </w:pPr>
            <w:r>
              <w:rPr>
                <w:rFonts w:ascii="Times New Roman" w:hAnsi="Times New Roman" w:cs="Times New Roman"/>
                <w:b/>
                <w:bCs/>
                <w:kern w:val="0"/>
                <w:szCs w:val="21"/>
                <w:highlight w:val="none"/>
              </w:rPr>
              <w:t>年排放量</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Times New Roman" w:hAnsi="Times New Roman" w:cs="Times New Roman" w:eastAsiaTheme="minorEastAsia"/>
                <w:b/>
                <w:bCs/>
                <w:kern w:val="0"/>
                <w:sz w:val="21"/>
                <w:szCs w:val="21"/>
                <w:highlight w:val="none"/>
                <w:lang w:val="en-US" w:eastAsia="zh-CN" w:bidi="ar-SA"/>
              </w:rPr>
            </w:pPr>
            <w:r>
              <w:rPr>
                <w:rFonts w:ascii="Times New Roman" w:hAnsi="Times New Roman" w:cs="Times New Roman"/>
                <w:b/>
                <w:bCs/>
                <w:kern w:val="0"/>
                <w:szCs w:val="21"/>
                <w:highlight w:val="none"/>
              </w:rPr>
              <w:t>（t/a）</w:t>
            </w:r>
          </w:p>
        </w:tc>
        <w:tc>
          <w:tcPr>
            <w:tcW w:w="141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Times New Roman" w:hAnsi="Times New Roman" w:cs="Times New Roman"/>
                <w:b/>
                <w:bCs/>
                <w:kern w:val="0"/>
                <w:szCs w:val="21"/>
                <w:highlight w:val="none"/>
              </w:rPr>
            </w:pPr>
            <w:r>
              <w:rPr>
                <w:rFonts w:hint="eastAsia" w:ascii="Times New Roman" w:hAnsi="Times New Roman" w:cs="Times New Roman"/>
                <w:b/>
                <w:bCs/>
                <w:kern w:val="0"/>
                <w:szCs w:val="21"/>
                <w:highlight w:val="none"/>
                <w:lang w:val="en-US" w:eastAsia="zh-CN"/>
              </w:rPr>
              <w:t>批复建议</w:t>
            </w:r>
            <w:r>
              <w:rPr>
                <w:rFonts w:ascii="Times New Roman" w:hAnsi="Times New Roman" w:cs="Times New Roman"/>
                <w:b/>
                <w:bCs/>
                <w:kern w:val="0"/>
                <w:szCs w:val="21"/>
                <w:highlight w:val="none"/>
              </w:rPr>
              <w:t>总量（t/a）</w:t>
            </w:r>
          </w:p>
        </w:tc>
        <w:tc>
          <w:tcPr>
            <w:tcW w:w="773" w:type="dxa"/>
            <w:vAlign w:val="center"/>
          </w:tcPr>
          <w:p>
            <w:pPr>
              <w:adjustRightInd w:val="0"/>
              <w:snapToGrid w:val="0"/>
              <w:spacing w:line="360" w:lineRule="exact"/>
              <w:jc w:val="center"/>
              <w:rPr>
                <w:rFonts w:ascii="Times New Roman" w:hAnsi="Times New Roman" w:cs="Times New Roman"/>
                <w:b/>
                <w:bCs/>
                <w:kern w:val="0"/>
                <w:szCs w:val="21"/>
                <w:highlight w:val="none"/>
              </w:rPr>
            </w:pPr>
            <w:r>
              <w:rPr>
                <w:rFonts w:ascii="Times New Roman" w:hAnsi="Times New Roman" w:cs="Times New Roman"/>
                <w:b/>
                <w:bCs/>
                <w:kern w:val="0"/>
                <w:szCs w:val="21"/>
                <w:highlight w:val="none"/>
              </w:rPr>
              <w:t>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1074"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二氧化硫</w:t>
            </w:r>
          </w:p>
        </w:tc>
        <w:tc>
          <w:tcPr>
            <w:tcW w:w="1451" w:type="dxa"/>
            <w:vMerge w:val="restart"/>
            <w:vAlign w:val="center"/>
          </w:tcPr>
          <w:p>
            <w:pPr>
              <w:adjustRightInd w:val="0"/>
              <w:snapToGrid w:val="0"/>
              <w:spacing w:line="360" w:lineRule="exact"/>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lang w:val="en-US" w:eastAsia="zh-CN"/>
              </w:rPr>
              <w:t>天然气</w:t>
            </w:r>
            <w:r>
              <w:rPr>
                <w:rFonts w:hint="default" w:ascii="Times New Roman" w:hAnsi="Times New Roman" w:cs="Times New Roman"/>
              </w:rPr>
              <w:t>燃烧废气排放口DA00</w:t>
            </w:r>
            <w:r>
              <w:rPr>
                <w:rFonts w:hint="eastAsia" w:ascii="Times New Roman" w:hAnsi="Times New Roman" w:cs="Times New Roman"/>
                <w:lang w:val="en-US" w:eastAsia="zh-CN"/>
              </w:rPr>
              <w:t>1</w:t>
            </w:r>
            <w:r>
              <w:rPr>
                <w:rFonts w:hint="default" w:ascii="Times New Roman" w:hAnsi="Times New Roman" w:cs="Times New Roman"/>
              </w:rPr>
              <w:t>-2</w:t>
            </w:r>
          </w:p>
        </w:tc>
        <w:tc>
          <w:tcPr>
            <w:tcW w:w="1179"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w:t>
            </w:r>
          </w:p>
        </w:tc>
        <w:tc>
          <w:tcPr>
            <w:tcW w:w="1265" w:type="dxa"/>
            <w:vMerge w:val="restart"/>
            <w:vAlign w:val="center"/>
          </w:tcPr>
          <w:p>
            <w:pPr>
              <w:adjustRightInd w:val="0"/>
              <w:snapToGrid w:val="0"/>
              <w:spacing w:line="360" w:lineRule="exact"/>
              <w:jc w:val="center"/>
              <w:rPr>
                <w:rFonts w:hint="default"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2400</w:t>
            </w:r>
          </w:p>
        </w:tc>
        <w:tc>
          <w:tcPr>
            <w:tcW w:w="1364"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0.004</w:t>
            </w:r>
          </w:p>
        </w:tc>
        <w:tc>
          <w:tcPr>
            <w:tcW w:w="1411"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0.020</w:t>
            </w:r>
          </w:p>
        </w:tc>
        <w:tc>
          <w:tcPr>
            <w:tcW w:w="773" w:type="dxa"/>
            <w:vAlign w:val="center"/>
          </w:tcPr>
          <w:p>
            <w:pPr>
              <w:adjustRightInd w:val="0"/>
              <w:snapToGrid w:val="0"/>
              <w:spacing w:line="360" w:lineRule="exact"/>
              <w:jc w:val="center"/>
              <w:rPr>
                <w:rFonts w:hint="eastAsia" w:ascii="Times New Roman" w:hAnsi="Times New Roman" w:cs="Times New Roman" w:eastAsiaTheme="minorEastAsia"/>
                <w:kern w:val="0"/>
                <w:sz w:val="21"/>
                <w:szCs w:val="21"/>
                <w:highlight w:val="yellow"/>
                <w:lang w:val="en-US" w:eastAsia="zh-CN" w:bidi="ar-SA"/>
              </w:rPr>
            </w:pPr>
            <w:r>
              <w:rPr>
                <w:rFonts w:hint="eastAsia" w:ascii="Times New Roman" w:hAnsi="Times New Roman" w:cs="Times New Roman"/>
                <w:kern w:val="0"/>
                <w:szCs w:val="21"/>
                <w:highlight w:val="no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74" w:type="dxa"/>
            <w:vAlign w:val="center"/>
          </w:tcPr>
          <w:p>
            <w:pPr>
              <w:adjustRightInd w:val="0"/>
              <w:snapToGrid w:val="0"/>
              <w:spacing w:line="360" w:lineRule="exact"/>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氮氧化物</w:t>
            </w:r>
          </w:p>
        </w:tc>
        <w:tc>
          <w:tcPr>
            <w:tcW w:w="1451" w:type="dxa"/>
            <w:vMerge w:val="continue"/>
            <w:vAlign w:val="center"/>
          </w:tcPr>
          <w:p>
            <w:pPr>
              <w:adjustRightInd w:val="0"/>
              <w:snapToGrid w:val="0"/>
              <w:spacing w:line="360" w:lineRule="exact"/>
              <w:jc w:val="center"/>
              <w:rPr>
                <w:rFonts w:hint="eastAsia" w:ascii="Times New Roman" w:hAnsi="Times New Roman" w:cs="Times New Roman"/>
                <w:kern w:val="0"/>
                <w:szCs w:val="21"/>
                <w:lang w:val="en-US" w:eastAsia="zh-CN"/>
              </w:rPr>
            </w:pPr>
          </w:p>
        </w:tc>
        <w:tc>
          <w:tcPr>
            <w:tcW w:w="1179"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w:t>
            </w:r>
          </w:p>
        </w:tc>
        <w:tc>
          <w:tcPr>
            <w:tcW w:w="1265" w:type="dxa"/>
            <w:vMerge w:val="continue"/>
            <w:vAlign w:val="center"/>
          </w:tcPr>
          <w:p>
            <w:pPr>
              <w:adjustRightInd w:val="0"/>
              <w:snapToGrid w:val="0"/>
              <w:spacing w:line="360" w:lineRule="exact"/>
              <w:jc w:val="center"/>
              <w:rPr>
                <w:rFonts w:hint="eastAsia" w:ascii="Times New Roman" w:hAnsi="Times New Roman" w:cs="Times New Roman"/>
                <w:kern w:val="0"/>
                <w:sz w:val="21"/>
                <w:szCs w:val="21"/>
                <w:lang w:val="en-US" w:eastAsia="zh-CN" w:bidi="ar-SA"/>
              </w:rPr>
            </w:pPr>
          </w:p>
        </w:tc>
        <w:tc>
          <w:tcPr>
            <w:tcW w:w="1364"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0.040</w:t>
            </w:r>
          </w:p>
        </w:tc>
        <w:tc>
          <w:tcPr>
            <w:tcW w:w="1411"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0.187</w:t>
            </w:r>
          </w:p>
        </w:tc>
        <w:tc>
          <w:tcPr>
            <w:tcW w:w="773" w:type="dxa"/>
            <w:vAlign w:val="center"/>
          </w:tcPr>
          <w:p>
            <w:pPr>
              <w:adjustRightInd w:val="0"/>
              <w:snapToGrid w:val="0"/>
              <w:spacing w:line="360" w:lineRule="exact"/>
              <w:jc w:val="center"/>
              <w:rPr>
                <w:rFonts w:hint="eastAsia" w:ascii="Times New Roman" w:hAnsi="Times New Roman" w:cs="Times New Roman" w:eastAsiaTheme="minorEastAsia"/>
                <w:kern w:val="0"/>
                <w:sz w:val="21"/>
                <w:szCs w:val="21"/>
                <w:highlight w:val="yellow"/>
                <w:lang w:val="en-US" w:eastAsia="zh-CN" w:bidi="ar-SA"/>
              </w:rPr>
            </w:pPr>
            <w:r>
              <w:rPr>
                <w:rFonts w:hint="eastAsia" w:ascii="Times New Roman" w:hAnsi="Times New Roman" w:cs="Times New Roman"/>
                <w:kern w:val="0"/>
                <w:szCs w:val="21"/>
                <w:highlight w:val="no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74"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vertAlign w:val="subscript"/>
                <w:lang w:val="en-US" w:eastAsia="zh-CN" w:bidi="ar-SA"/>
              </w:rPr>
            </w:pPr>
            <w:r>
              <w:rPr>
                <w:rFonts w:ascii="Times New Roman" w:hAnsi="Times New Roman" w:cs="Times New Roman"/>
                <w:kern w:val="0"/>
                <w:szCs w:val="21"/>
              </w:rPr>
              <w:t>VOC</w:t>
            </w:r>
            <w:r>
              <w:rPr>
                <w:rFonts w:ascii="Times New Roman" w:hAnsi="Times New Roman" w:cs="Times New Roman"/>
                <w:kern w:val="0"/>
                <w:szCs w:val="21"/>
                <w:vertAlign w:val="subscript"/>
              </w:rPr>
              <w:t>S</w:t>
            </w:r>
          </w:p>
        </w:tc>
        <w:tc>
          <w:tcPr>
            <w:tcW w:w="1451"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调漆、喷漆、烘干、固化废气处理设施DA001-2</w:t>
            </w:r>
          </w:p>
        </w:tc>
        <w:tc>
          <w:tcPr>
            <w:tcW w:w="1179"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0.1545</w:t>
            </w:r>
          </w:p>
        </w:tc>
        <w:tc>
          <w:tcPr>
            <w:tcW w:w="1265"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2400</w:t>
            </w:r>
          </w:p>
        </w:tc>
        <w:tc>
          <w:tcPr>
            <w:tcW w:w="1364"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0.371</w:t>
            </w:r>
          </w:p>
        </w:tc>
        <w:tc>
          <w:tcPr>
            <w:tcW w:w="1411"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0.415</w:t>
            </w:r>
          </w:p>
        </w:tc>
        <w:tc>
          <w:tcPr>
            <w:tcW w:w="773" w:type="dxa"/>
            <w:vAlign w:val="center"/>
          </w:tcPr>
          <w:p>
            <w:pPr>
              <w:adjustRightInd w:val="0"/>
              <w:snapToGrid w:val="0"/>
              <w:spacing w:line="360" w:lineRule="exact"/>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highlight w:val="no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517" w:type="dxa"/>
            <w:gridSpan w:val="7"/>
            <w:vAlign w:val="center"/>
          </w:tcPr>
          <w:p>
            <w:pPr>
              <w:adjustRightInd w:val="0"/>
              <w:snapToGrid w:val="0"/>
              <w:spacing w:line="360" w:lineRule="exact"/>
              <w:jc w:val="left"/>
              <w:rPr>
                <w:rFonts w:hint="eastAsia" w:ascii="Times New Roman" w:hAnsi="Times New Roman" w:cs="Times New Roman" w:eastAsiaTheme="minorEastAsia"/>
                <w:kern w:val="0"/>
                <w:szCs w:val="21"/>
                <w:lang w:eastAsia="zh-CN"/>
              </w:rPr>
            </w:pPr>
            <w:r>
              <w:rPr>
                <w:rFonts w:ascii="Times New Roman" w:hAnsi="Times New Roman" w:cs="Times New Roman"/>
                <w:kern w:val="0"/>
                <w:szCs w:val="21"/>
              </w:rPr>
              <w:t>注：</w:t>
            </w:r>
            <w:r>
              <w:rPr>
                <w:rFonts w:hint="eastAsia" w:ascii="Times New Roman" w:hAnsi="Times New Roman" w:cs="Times New Roman"/>
                <w:kern w:val="0"/>
                <w:szCs w:val="21"/>
                <w:lang w:val="en-US" w:eastAsia="zh-CN"/>
              </w:rPr>
              <w:t>1、</w:t>
            </w:r>
            <w:r>
              <w:rPr>
                <w:rFonts w:hint="eastAsia" w:ascii="Times New Roman" w:hAnsi="Times New Roman" w:cs="Times New Roman"/>
                <w:kern w:val="0"/>
                <w:szCs w:val="21"/>
                <w:lang w:eastAsia="zh-CN"/>
              </w:rPr>
              <w:t>年</w:t>
            </w:r>
            <w:r>
              <w:rPr>
                <w:rFonts w:ascii="Times New Roman" w:hAnsi="Times New Roman" w:cs="Times New Roman"/>
                <w:kern w:val="0"/>
                <w:szCs w:val="21"/>
              </w:rPr>
              <w:t>排放量为年排入环境总量</w:t>
            </w:r>
            <w:r>
              <w:rPr>
                <w:rFonts w:hint="eastAsia" w:ascii="Times New Roman" w:hAnsi="Times New Roman" w:cs="Times New Roman"/>
                <w:kern w:val="0"/>
                <w:szCs w:val="21"/>
                <w:lang w:eastAsia="zh-CN"/>
              </w:rPr>
              <w:t>。</w:t>
            </w:r>
          </w:p>
        </w:tc>
      </w:tr>
    </w:tbl>
    <w:p>
      <w:pPr>
        <w:pStyle w:val="5"/>
        <w:rPr>
          <w:rFonts w:eastAsia="宋体"/>
          <w:kern w:val="22"/>
        </w:rPr>
      </w:pPr>
      <w:bookmarkStart w:id="115" w:name="_Toc26339"/>
      <w:r>
        <w:rPr>
          <w:rFonts w:hint="eastAsia" w:eastAsia="宋体"/>
          <w:kern w:val="22"/>
        </w:rPr>
        <w:t>9.3工程建设对环境的影响</w:t>
      </w:r>
      <w:bookmarkEnd w:id="111"/>
      <w:bookmarkEnd w:id="112"/>
      <w:bookmarkEnd w:id="115"/>
    </w:p>
    <w:bookmarkEnd w:id="113"/>
    <w:p>
      <w:pPr>
        <w:snapToGrid w:val="0"/>
        <w:spacing w:line="360" w:lineRule="auto"/>
        <w:ind w:firstLine="480" w:firstLineChars="200"/>
        <w:rPr>
          <w:rFonts w:hint="eastAsia" w:ascii="Times New Roman" w:hAnsi="Times New Roman" w:cs="Times New Roman" w:eastAsiaTheme="minorEastAsia"/>
          <w:kern w:val="22"/>
          <w:sz w:val="24"/>
          <w:szCs w:val="24"/>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ascii="Times New Roman" w:hAnsi="Times New Roman" w:cs="Times New Roman"/>
          <w:sz w:val="24"/>
          <w:lang w:val="en-US" w:eastAsia="zh-CN"/>
        </w:rPr>
        <w:t>项目厂界200m范围内无敏感目标；北侧72m处的下梅陇水库主要作为农业、工业用水区，厂界外500米范围内无地下水集中式饮用水水源和热水、矿泉水、温泉等特殊地下水资源，故本次验收未进行环境空气、地下水及声环境的检测</w:t>
      </w:r>
      <w:r>
        <w:rPr>
          <w:rFonts w:hint="eastAsia" w:ascii="Times New Roman" w:hAnsi="Times New Roman" w:cs="Times New Roman"/>
          <w:color w:val="000000"/>
          <w:sz w:val="24"/>
          <w:lang w:eastAsia="zh-CN"/>
        </w:rPr>
        <w:t>。</w:t>
      </w:r>
    </w:p>
    <w:p>
      <w:pPr>
        <w:pStyle w:val="4"/>
      </w:pPr>
      <w:bookmarkStart w:id="116" w:name="_Toc19545"/>
      <w:r>
        <w:rPr>
          <w:rFonts w:hint="eastAsia"/>
        </w:rPr>
        <w:t>10验收监测结论</w:t>
      </w:r>
      <w:bookmarkEnd w:id="116"/>
    </w:p>
    <w:p>
      <w:pPr>
        <w:pStyle w:val="5"/>
        <w:rPr>
          <w:rFonts w:hint="eastAsia" w:eastAsia="宋体"/>
          <w:kern w:val="22"/>
        </w:rPr>
      </w:pPr>
      <w:bookmarkStart w:id="117" w:name="_Toc22737"/>
      <w:r>
        <w:rPr>
          <w:rFonts w:hint="eastAsia" w:eastAsia="宋体"/>
          <w:kern w:val="22"/>
        </w:rPr>
        <w:t>10.1环保设施调试运行效果</w:t>
      </w:r>
      <w:bookmarkEnd w:id="117"/>
    </w:p>
    <w:p>
      <w:pPr>
        <w:pStyle w:val="6"/>
        <w:rPr>
          <w:kern w:val="22"/>
        </w:rPr>
      </w:pPr>
      <w:bookmarkStart w:id="118" w:name="_Toc24463"/>
      <w:bookmarkStart w:id="119" w:name="_Toc86844215"/>
      <w:r>
        <w:rPr>
          <w:rFonts w:hint="eastAsia"/>
          <w:kern w:val="22"/>
        </w:rPr>
        <w:t>10.1.1环保设施处理效率监测结果</w:t>
      </w:r>
      <w:bookmarkEnd w:id="118"/>
      <w:bookmarkEnd w:id="119"/>
    </w:p>
    <w:p>
      <w:pPr>
        <w:snapToGrid w:val="0"/>
        <w:spacing w:line="360" w:lineRule="auto"/>
        <w:ind w:firstLine="480" w:firstLineChars="200"/>
        <w:rPr>
          <w:rFonts w:hint="eastAsia" w:ascii="Times New Roman" w:hAnsi="Times New Roman" w:eastAsia="宋体" w:cs="Times New Roman"/>
          <w:kern w:val="22"/>
          <w:sz w:val="24"/>
          <w:szCs w:val="24"/>
          <w:lang w:val="en-US" w:eastAsia="zh-CN"/>
        </w:rPr>
      </w:pPr>
      <w:r>
        <w:rPr>
          <w:rFonts w:hint="eastAsia" w:ascii="Times New Roman" w:hAnsi="Times New Roman" w:eastAsia="宋体" w:cs="Times New Roman"/>
          <w:kern w:val="22"/>
          <w:sz w:val="24"/>
          <w:szCs w:val="24"/>
          <w:lang w:eastAsia="zh-CN"/>
        </w:rPr>
        <w:t>本项目</w:t>
      </w:r>
      <w:r>
        <w:rPr>
          <w:rFonts w:hint="eastAsia" w:ascii="Times New Roman" w:hAnsi="Times New Roman" w:eastAsia="宋体" w:cs="Times New Roman"/>
          <w:kern w:val="22"/>
          <w:sz w:val="24"/>
          <w:szCs w:val="24"/>
          <w:lang w:val="en-US" w:eastAsia="zh-CN"/>
        </w:rPr>
        <w:t>废水处理设施悬浮物</w:t>
      </w:r>
      <w:r>
        <w:rPr>
          <w:rFonts w:hint="eastAsia" w:ascii="Times New Roman" w:hAnsi="Times New Roman" w:eastAsia="宋体" w:cs="Times New Roman"/>
          <w:kern w:val="22"/>
          <w:sz w:val="24"/>
          <w:szCs w:val="24"/>
          <w:lang w:eastAsia="zh-CN"/>
        </w:rPr>
        <w:t>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78.1%和76.7</w:t>
      </w:r>
      <w:r>
        <w:rPr>
          <w:rFonts w:hint="eastAsia" w:ascii="Times New Roman" w:hAnsi="Times New Roman" w:eastAsia="宋体" w:cs="Times New Roman"/>
          <w:kern w:val="22"/>
          <w:sz w:val="24"/>
          <w:szCs w:val="24"/>
          <w:lang w:val="en-US" w:eastAsia="zh-CN"/>
        </w:rPr>
        <w:t>%；化学需氧量</w:t>
      </w:r>
      <w:r>
        <w:rPr>
          <w:rFonts w:hint="eastAsia" w:ascii="Times New Roman" w:hAnsi="Times New Roman" w:eastAsia="宋体" w:cs="Times New Roman"/>
          <w:kern w:val="22"/>
          <w:sz w:val="24"/>
          <w:szCs w:val="24"/>
          <w:lang w:eastAsia="zh-CN"/>
        </w:rPr>
        <w:t>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33.1%和32.0</w:t>
      </w:r>
      <w:r>
        <w:rPr>
          <w:rFonts w:hint="eastAsia" w:ascii="Times New Roman" w:hAnsi="Times New Roman" w:eastAsia="宋体" w:cs="Times New Roman"/>
          <w:kern w:val="22"/>
          <w:sz w:val="24"/>
          <w:szCs w:val="24"/>
          <w:lang w:val="en-US" w:eastAsia="zh-CN"/>
        </w:rPr>
        <w:t>%；氨氮</w:t>
      </w:r>
      <w:r>
        <w:rPr>
          <w:rFonts w:hint="eastAsia" w:ascii="Times New Roman" w:hAnsi="Times New Roman" w:eastAsia="宋体" w:cs="Times New Roman"/>
          <w:kern w:val="22"/>
          <w:sz w:val="24"/>
          <w:szCs w:val="24"/>
          <w:lang w:eastAsia="zh-CN"/>
        </w:rPr>
        <w:t>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23.4%和29.5</w:t>
      </w:r>
      <w:r>
        <w:rPr>
          <w:rFonts w:hint="eastAsia" w:ascii="Times New Roman" w:hAnsi="Times New Roman" w:eastAsia="宋体" w:cs="Times New Roman"/>
          <w:kern w:val="22"/>
          <w:sz w:val="24"/>
          <w:szCs w:val="24"/>
          <w:lang w:val="en-US" w:eastAsia="zh-CN"/>
        </w:rPr>
        <w:t>%；总磷</w:t>
      </w:r>
      <w:r>
        <w:rPr>
          <w:rFonts w:hint="eastAsia" w:ascii="Times New Roman" w:hAnsi="Times New Roman" w:eastAsia="宋体" w:cs="Times New Roman"/>
          <w:kern w:val="22"/>
          <w:sz w:val="24"/>
          <w:szCs w:val="24"/>
          <w:lang w:eastAsia="zh-CN"/>
        </w:rPr>
        <w:t>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69.5%和77.6</w:t>
      </w:r>
      <w:r>
        <w:rPr>
          <w:rFonts w:hint="eastAsia" w:ascii="Times New Roman" w:hAnsi="Times New Roman" w:eastAsia="宋体" w:cs="Times New Roman"/>
          <w:kern w:val="22"/>
          <w:sz w:val="24"/>
          <w:szCs w:val="24"/>
          <w:lang w:val="en-US" w:eastAsia="zh-CN"/>
        </w:rPr>
        <w:t>%；阴离子表面活性剂</w:t>
      </w:r>
      <w:r>
        <w:rPr>
          <w:rFonts w:hint="eastAsia" w:ascii="Times New Roman" w:hAnsi="Times New Roman" w:eastAsia="宋体" w:cs="Times New Roman"/>
          <w:kern w:val="22"/>
          <w:sz w:val="24"/>
          <w:szCs w:val="24"/>
          <w:lang w:eastAsia="zh-CN"/>
        </w:rPr>
        <w:t>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59.9%和59.8</w:t>
      </w:r>
      <w:r>
        <w:rPr>
          <w:rFonts w:hint="eastAsia" w:ascii="Times New Roman" w:hAnsi="Times New Roman" w:eastAsia="宋体" w:cs="Times New Roman"/>
          <w:kern w:val="22"/>
          <w:sz w:val="24"/>
          <w:szCs w:val="24"/>
          <w:lang w:val="en-US" w:eastAsia="zh-CN"/>
        </w:rPr>
        <w:t>%；石油类</w:t>
      </w:r>
      <w:r>
        <w:rPr>
          <w:rFonts w:hint="eastAsia" w:ascii="Times New Roman" w:hAnsi="Times New Roman" w:eastAsia="宋体" w:cs="Times New Roman"/>
          <w:kern w:val="22"/>
          <w:sz w:val="24"/>
          <w:szCs w:val="24"/>
          <w:lang w:eastAsia="zh-CN"/>
        </w:rPr>
        <w:t>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91.6%和92.2</w:t>
      </w:r>
      <w:r>
        <w:rPr>
          <w:rFonts w:hint="eastAsia" w:ascii="Times New Roman" w:hAnsi="Times New Roman" w:eastAsia="宋体" w:cs="Times New Roman"/>
          <w:kern w:val="22"/>
          <w:sz w:val="24"/>
          <w:szCs w:val="24"/>
          <w:lang w:val="en-US" w:eastAsia="zh-CN"/>
        </w:rPr>
        <w:t>%。</w:t>
      </w:r>
    </w:p>
    <w:p>
      <w:pPr>
        <w:snapToGrid w:val="0"/>
        <w:spacing w:line="360" w:lineRule="auto"/>
        <w:ind w:firstLine="480" w:firstLineChars="200"/>
        <w:rPr>
          <w:rFonts w:hint="eastAsia" w:ascii="Times New Roman" w:hAnsi="Times New Roman" w:eastAsia="宋体" w:cs="Times New Roman"/>
          <w:kern w:val="22"/>
          <w:sz w:val="24"/>
          <w:szCs w:val="24"/>
          <w:highlight w:val="none"/>
          <w:lang w:val="en-US" w:eastAsia="zh-CN"/>
        </w:rPr>
      </w:pPr>
      <w:r>
        <w:rPr>
          <w:rFonts w:hint="eastAsia" w:ascii="Times New Roman" w:hAnsi="Times New Roman" w:eastAsia="宋体" w:cs="Times New Roman"/>
          <w:kern w:val="22"/>
          <w:sz w:val="24"/>
          <w:szCs w:val="24"/>
          <w:lang w:val="en-US" w:eastAsia="zh-CN"/>
        </w:rPr>
        <w:t>调漆、喷漆、烘干、固化废气处理设施非甲烷总烃的</w:t>
      </w:r>
      <w:r>
        <w:rPr>
          <w:rFonts w:hint="eastAsia" w:ascii="Times New Roman" w:hAnsi="Times New Roman" w:eastAsia="宋体" w:cs="Times New Roman"/>
          <w:kern w:val="22"/>
          <w:sz w:val="24"/>
          <w:szCs w:val="24"/>
          <w:highlight w:val="none"/>
          <w:lang w:eastAsia="zh-CN"/>
        </w:rPr>
        <w:t>去除率分别为</w:t>
      </w:r>
      <w:r>
        <w:rPr>
          <w:rFonts w:hint="eastAsia" w:ascii="Times New Roman" w:hAnsi="Times New Roman" w:eastAsia="宋体" w:cs="Times New Roman"/>
          <w:kern w:val="22"/>
          <w:sz w:val="24"/>
          <w:szCs w:val="24"/>
          <w:highlight w:val="none"/>
          <w:lang w:val="en-US" w:eastAsia="zh-CN"/>
        </w:rPr>
        <w:t>95.3%和95.2</w:t>
      </w:r>
      <w:r>
        <w:rPr>
          <w:rFonts w:hint="eastAsia" w:ascii="Times New Roman" w:hAnsi="Times New Roman" w:eastAsia="宋体" w:cs="Times New Roman"/>
          <w:kern w:val="22"/>
          <w:sz w:val="24"/>
          <w:szCs w:val="24"/>
          <w:lang w:val="en-US" w:eastAsia="zh-CN"/>
        </w:rPr>
        <w:t>%</w:t>
      </w:r>
      <w:r>
        <w:rPr>
          <w:rFonts w:hint="eastAsia" w:ascii="Times New Roman" w:hAnsi="Times New Roman" w:eastAsia="宋体" w:cs="Times New Roman"/>
          <w:kern w:val="22"/>
          <w:sz w:val="24"/>
          <w:szCs w:val="24"/>
          <w:highlight w:val="none"/>
          <w:lang w:val="en-US" w:eastAsia="zh-CN"/>
        </w:rPr>
        <w:t>。</w:t>
      </w:r>
    </w:p>
    <w:p>
      <w:pPr>
        <w:pStyle w:val="6"/>
        <w:rPr>
          <w:kern w:val="22"/>
        </w:rPr>
      </w:pPr>
      <w:bookmarkStart w:id="120" w:name="_Toc86844216"/>
      <w:bookmarkStart w:id="121" w:name="_Toc24279"/>
      <w:r>
        <w:rPr>
          <w:rFonts w:hint="eastAsia"/>
          <w:kern w:val="22"/>
        </w:rPr>
        <w:t>10.1.2污染设施排放监测结果</w:t>
      </w:r>
      <w:bookmarkEnd w:id="120"/>
      <w:bookmarkEnd w:id="121"/>
    </w:p>
    <w:p>
      <w:pPr>
        <w:snapToGrid w:val="0"/>
        <w:spacing w:line="360" w:lineRule="auto"/>
        <w:ind w:firstLine="480" w:firstLineChars="200"/>
        <w:rPr>
          <w:rFonts w:hint="eastAsia" w:ascii="Times New Roman" w:hAnsi="Times New Roman" w:eastAsia="宋体" w:cs="Times New Roman"/>
          <w:kern w:val="22"/>
          <w:sz w:val="24"/>
          <w:szCs w:val="24"/>
          <w:highlight w:val="none"/>
          <w:lang w:eastAsia="zh-CN"/>
        </w:rPr>
      </w:pPr>
      <w:bookmarkStart w:id="122" w:name="_Hlk523338546"/>
      <w:r>
        <w:rPr>
          <w:rFonts w:hint="eastAsia" w:ascii="Times New Roman" w:hAnsi="Times New Roman"/>
          <w:sz w:val="24"/>
          <w:szCs w:val="24"/>
          <w:lang w:eastAsia="zh-CN"/>
        </w:rPr>
        <w:t>浙江历山红工贸有限公司年产8000樘非标门生产线技改项目</w:t>
      </w:r>
      <w:r>
        <w:rPr>
          <w:rFonts w:hint="eastAsia" w:ascii="Times New Roman" w:hAnsi="Times New Roman"/>
          <w:sz w:val="24"/>
          <w:szCs w:val="24"/>
        </w:rPr>
        <w:t>已建成，生产能力为</w:t>
      </w:r>
      <w:r>
        <w:rPr>
          <w:rFonts w:hint="eastAsia" w:ascii="Times New Roman" w:hAnsi="Times New Roman"/>
          <w:sz w:val="24"/>
          <w:szCs w:val="24"/>
          <w:lang w:eastAsia="zh-CN"/>
        </w:rPr>
        <w:t>年产8000樘非标门</w:t>
      </w:r>
      <w:r>
        <w:rPr>
          <w:rFonts w:hint="eastAsia" w:ascii="Times New Roman" w:hAnsi="Times New Roman"/>
          <w:sz w:val="24"/>
          <w:szCs w:val="24"/>
        </w:rPr>
        <w:t>，</w:t>
      </w:r>
      <w:r>
        <w:rPr>
          <w:rFonts w:hint="eastAsia" w:ascii="Times New Roman" w:hAnsi="Times New Roman"/>
          <w:sz w:val="24"/>
          <w:szCs w:val="24"/>
          <w:lang w:eastAsia="zh-CN"/>
        </w:rPr>
        <w:t>本次验收涉及工序的生产班次采用单班制，每班工作时间为8h，年工作日为300天。</w:t>
      </w:r>
      <w:r>
        <w:rPr>
          <w:rFonts w:hint="eastAsia" w:ascii="Times New Roman" w:hAnsi="Times New Roman"/>
          <w:sz w:val="24"/>
          <w:szCs w:val="24"/>
        </w:rPr>
        <w:t>根据企业提供的监测期间工况证明，</w:t>
      </w:r>
      <w:r>
        <w:rPr>
          <w:rFonts w:ascii="Times New Roman" w:hAnsi="Times New Roman"/>
          <w:sz w:val="24"/>
          <w:szCs w:val="24"/>
        </w:rPr>
        <w:t>在验收监测期间，该公司生产负荷</w:t>
      </w:r>
      <w:r>
        <w:rPr>
          <w:rFonts w:hint="eastAsia" w:ascii="Times New Roman" w:hAnsi="Times New Roman"/>
          <w:sz w:val="24"/>
          <w:szCs w:val="24"/>
        </w:rPr>
        <w:t>在</w:t>
      </w:r>
      <w:r>
        <w:rPr>
          <w:rFonts w:hint="eastAsia" w:ascii="Times New Roman" w:hAnsi="Times New Roman"/>
          <w:sz w:val="24"/>
          <w:szCs w:val="24"/>
          <w:lang w:val="en-US" w:eastAsia="zh-CN"/>
        </w:rPr>
        <w:t>90.0</w:t>
      </w:r>
      <w:r>
        <w:rPr>
          <w:rFonts w:ascii="Times New Roman" w:hAnsi="Times New Roman"/>
          <w:sz w:val="24"/>
          <w:szCs w:val="24"/>
        </w:rPr>
        <w:t>%</w:t>
      </w:r>
      <w:r>
        <w:rPr>
          <w:rFonts w:hint="eastAsia" w:ascii="Times New Roman" w:hAnsi="Times New Roman"/>
          <w:sz w:val="24"/>
          <w:szCs w:val="24"/>
        </w:rPr>
        <w:t>~</w:t>
      </w:r>
      <w:r>
        <w:rPr>
          <w:rFonts w:hint="eastAsia" w:ascii="Times New Roman" w:hAnsi="Times New Roman"/>
          <w:sz w:val="24"/>
          <w:szCs w:val="24"/>
          <w:lang w:val="en-US" w:eastAsia="zh-CN"/>
        </w:rPr>
        <w:t>93.8</w:t>
      </w:r>
      <w:r>
        <w:rPr>
          <w:rFonts w:ascii="Times New Roman" w:hAnsi="Times New Roman"/>
          <w:sz w:val="24"/>
          <w:szCs w:val="24"/>
        </w:rPr>
        <w:t>%</w:t>
      </w:r>
      <w:r>
        <w:rPr>
          <w:rFonts w:hint="eastAsia" w:ascii="Times New Roman" w:hAnsi="Times New Roman"/>
          <w:sz w:val="24"/>
          <w:szCs w:val="24"/>
        </w:rPr>
        <w:t>之间</w:t>
      </w:r>
      <w:r>
        <w:rPr>
          <w:rFonts w:ascii="Times New Roman" w:hAnsi="Times New Roman"/>
          <w:sz w:val="24"/>
          <w:szCs w:val="24"/>
        </w:rPr>
        <w:t>，满足国家环保总局《建设项目竣工环境保护验收管理办法》中要求设计能力75%以上的负荷要求</w:t>
      </w:r>
      <w:r>
        <w:rPr>
          <w:rFonts w:hint="eastAsia" w:ascii="Times New Roman" w:hAnsi="Times New Roman"/>
          <w:sz w:val="24"/>
          <w:szCs w:val="24"/>
        </w:rPr>
        <w:t>。</w:t>
      </w:r>
      <w:r>
        <w:rPr>
          <w:rFonts w:ascii="Times New Roman" w:hAnsi="Times New Roman" w:eastAsia="宋体" w:cs="Times New Roman"/>
          <w:kern w:val="22"/>
          <w:sz w:val="24"/>
          <w:szCs w:val="24"/>
        </w:rPr>
        <w:t>在主体设备运行正常的情况下，其验收监</w:t>
      </w:r>
      <w:r>
        <w:rPr>
          <w:rFonts w:ascii="Times New Roman" w:hAnsi="Times New Roman" w:eastAsia="宋体" w:cs="Times New Roman"/>
          <w:color w:val="000000" w:themeColor="text1"/>
          <w:kern w:val="22"/>
          <w:sz w:val="24"/>
          <w:szCs w:val="24"/>
          <w14:textFill>
            <w14:solidFill>
              <w14:schemeClr w14:val="tx1"/>
            </w14:solidFill>
          </w14:textFill>
        </w:rPr>
        <w:t>测结果如下</w:t>
      </w:r>
      <w:r>
        <w:rPr>
          <w:rFonts w:hint="eastAsia" w:ascii="Times New Roman" w:hAnsi="Times New Roman" w:eastAsia="宋体" w:cs="Times New Roman"/>
          <w:color w:val="000000" w:themeColor="text1"/>
          <w:kern w:val="22"/>
          <w:sz w:val="24"/>
          <w:szCs w:val="24"/>
          <w:highlight w:val="none"/>
          <w:lang w:eastAsia="zh-CN"/>
          <w14:textFill>
            <w14:solidFill>
              <w14:schemeClr w14:val="tx1"/>
            </w14:solidFill>
          </w14:textFill>
        </w:rPr>
        <w:t>：</w:t>
      </w:r>
    </w:p>
    <w:p>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bookmarkStart w:id="123" w:name="_Hlk3904130"/>
      <w:r>
        <w:rPr>
          <w:rFonts w:ascii="Times New Roman" w:hAnsi="Times New Roman" w:cs="Times New Roman"/>
          <w:sz w:val="24"/>
        </w:rPr>
        <w:t>（1）</w:t>
      </w:r>
      <w:bookmarkEnd w:id="123"/>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验收监测期间，废水总排放口（DW001-2）的废水pH范围为7.4-7.5，其他污染物最大日均浓度分别为：悬浮物40mg/L、五日生化需氧量76.0mg/L、化学需氧量340mg/L、氨氮8.00mg/L、总磷1.95mg/L、石油类0.49mg/L、动植物油类0.59mg/L、阴离子表面活性剂2.81mg/L；其中pH、悬浮物、五日生化需氧量、化学需氧量、石油类、动植物油类、阴离子表面活性剂均符合《污水综合排放标准》（GB 8978-1996）表4中的三级排放标准要求，氨氮、总磷符合浙江省地方标准《工业企业废水氮、磷污染物间接排放限值》（DB33/887-2013）表1中其他企业的排放限值要求。</w:t>
      </w:r>
    </w:p>
    <w:p>
      <w:pPr>
        <w:spacing w:line="360" w:lineRule="auto"/>
        <w:ind w:firstLine="480" w:firstLineChars="200"/>
        <w:rPr>
          <w:rFonts w:hint="eastAsia" w:ascii="Times New Roman" w:hAnsi="Times New Roman" w:cs="Times New Roman"/>
          <w:sz w:val="24"/>
          <w:szCs w:val="24"/>
          <w:highlight w:val="none"/>
          <w:lang w:eastAsia="zh-CN"/>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生产废水处理设施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出口（DW002-2）的废水pH范围为7.0-7.1，其他污染物最大日均浓度分别为：悬浮物14mg/L、五日生化需氧量56.8mg/L、化学需氧量211mg/L、氨氮7.83mg/L、总磷0.32mg/L、石油类0.312mg/L、阴离子表面活性剂2.25mg/L；其中pH、悬浮物、石油类、动植物油类、化学需氧量、五日生化需氧量、阴离子表面活性剂均符合《污水综合排放标准》（GB 8978-1996）表4中的三级排放标准要求，氨氮、总磷符合浙江省地方标准《工业企业废水氮、磷污染物间接排放限值》（DB33/887-2013）表1中其他企业的排放限值要求</w:t>
      </w:r>
      <w:r>
        <w:rPr>
          <w:rFonts w:hint="eastAsia" w:ascii="Times New Roman" w:hAnsi="Times New Roman" w:cs="Times New Roman"/>
          <w:sz w:val="24"/>
          <w:szCs w:val="24"/>
          <w:highlight w:val="none"/>
          <w:lang w:eastAsia="zh-CN"/>
        </w:rPr>
        <w:t>。</w:t>
      </w:r>
    </w:p>
    <w:p>
      <w:pPr>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验收监测期间，</w:t>
      </w:r>
      <w:r>
        <w:rPr>
          <w:rFonts w:hint="eastAsia" w:ascii="Times New Roman" w:hAnsi="Times New Roman" w:cs="Times New Roman"/>
          <w:sz w:val="24"/>
          <w:szCs w:val="24"/>
          <w:highlight w:val="none"/>
          <w:lang w:val="en-US" w:eastAsia="zh-CN"/>
        </w:rPr>
        <w:t>调漆、喷漆、烘干、固化废气处理设施出口（DA001-2）中非甲烷总烃</w:t>
      </w:r>
      <w:r>
        <w:rPr>
          <w:rFonts w:hint="eastAsia" w:ascii="Times New Roman" w:hAnsi="Times New Roman" w:cs="Times New Roman"/>
          <w:sz w:val="24"/>
          <w:szCs w:val="24"/>
          <w:highlight w:val="none"/>
        </w:rPr>
        <w:t>排放浓度</w:t>
      </w:r>
      <w:r>
        <w:rPr>
          <w:rFonts w:hint="eastAsia" w:ascii="Times New Roman" w:hAnsi="Times New Roman" w:cs="Times New Roman"/>
          <w:sz w:val="24"/>
          <w:szCs w:val="24"/>
          <w:highlight w:val="none"/>
          <w:lang w:val="en-US" w:eastAsia="zh-CN"/>
        </w:rPr>
        <w:t>最大值</w:t>
      </w:r>
      <w:r>
        <w:rPr>
          <w:rFonts w:ascii="Times New Roman" w:hAnsi="Times New Roman" w:cs="Times New Roman"/>
          <w:sz w:val="24"/>
          <w:szCs w:val="24"/>
          <w:highlight w:val="none"/>
        </w:rPr>
        <w:t>为</w:t>
      </w:r>
      <w:r>
        <w:rPr>
          <w:rFonts w:hint="eastAsia" w:ascii="Times New Roman" w:hAnsi="Times New Roman" w:cs="Times New Roman"/>
          <w:sz w:val="24"/>
          <w:szCs w:val="24"/>
          <w:highlight w:val="none"/>
          <w:lang w:val="en-US" w:eastAsia="zh-CN"/>
        </w:rPr>
        <w:t>3.06</w:t>
      </w:r>
      <w:r>
        <w:rPr>
          <w:rFonts w:ascii="Times New Roman" w:hAnsi="Times New Roman" w:cs="Times New Roman"/>
          <w:sz w:val="24"/>
          <w:szCs w:val="24"/>
          <w:highlight w:val="none"/>
        </w:rPr>
        <w:t>mg/m</w:t>
      </w:r>
      <w:r>
        <w:rPr>
          <w:rFonts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二甲苯</w:t>
      </w:r>
      <w:r>
        <w:rPr>
          <w:rFonts w:hint="eastAsia" w:ascii="Times New Roman" w:hAnsi="Times New Roman" w:cs="Times New Roman"/>
          <w:sz w:val="24"/>
          <w:szCs w:val="24"/>
          <w:highlight w:val="none"/>
        </w:rPr>
        <w:t>排放浓度</w:t>
      </w:r>
      <w:r>
        <w:rPr>
          <w:rFonts w:ascii="Times New Roman" w:hAnsi="Times New Roman" w:cs="Times New Roman"/>
          <w:sz w:val="24"/>
          <w:szCs w:val="24"/>
          <w:highlight w:val="none"/>
        </w:rPr>
        <w:t>为</w:t>
      </w:r>
      <w:r>
        <w:rPr>
          <w:rFonts w:hint="eastAsia" w:ascii="Times New Roman" w:hAnsi="Times New Roman" w:cs="Times New Roman"/>
          <w:sz w:val="24"/>
          <w:szCs w:val="24"/>
          <w:highlight w:val="none"/>
          <w:lang w:val="en-US" w:eastAsia="zh-CN"/>
        </w:rPr>
        <w:t>＜0.013</w:t>
      </w:r>
      <w:r>
        <w:rPr>
          <w:rFonts w:ascii="Times New Roman" w:hAnsi="Times New Roman" w:cs="Times New Roman"/>
          <w:sz w:val="24"/>
          <w:szCs w:val="24"/>
          <w:highlight w:val="none"/>
        </w:rPr>
        <w:t>mg/m</w:t>
      </w:r>
      <w:r>
        <w:rPr>
          <w:rFonts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乙酸丁酯</w:t>
      </w:r>
      <w:r>
        <w:rPr>
          <w:rFonts w:hint="eastAsia" w:ascii="Times New Roman" w:hAnsi="Times New Roman" w:cs="Times New Roman"/>
          <w:sz w:val="24"/>
          <w:szCs w:val="24"/>
          <w:highlight w:val="none"/>
        </w:rPr>
        <w:t>排放浓度</w:t>
      </w:r>
      <w:r>
        <w:rPr>
          <w:rFonts w:ascii="Times New Roman" w:hAnsi="Times New Roman" w:cs="Times New Roman"/>
          <w:sz w:val="24"/>
          <w:szCs w:val="24"/>
          <w:highlight w:val="none"/>
        </w:rPr>
        <w:t>为</w:t>
      </w:r>
      <w:r>
        <w:rPr>
          <w:rFonts w:hint="eastAsia" w:ascii="Times New Roman" w:hAnsi="Times New Roman" w:cs="Times New Roman"/>
          <w:sz w:val="24"/>
          <w:szCs w:val="24"/>
          <w:highlight w:val="none"/>
          <w:lang w:val="en-US" w:eastAsia="zh-CN"/>
        </w:rPr>
        <w:t>＜0.005</w:t>
      </w:r>
      <w:r>
        <w:rPr>
          <w:rFonts w:ascii="Times New Roman" w:hAnsi="Times New Roman" w:cs="Times New Roman"/>
          <w:sz w:val="24"/>
          <w:szCs w:val="24"/>
          <w:highlight w:val="none"/>
        </w:rPr>
        <w:t>mg/m</w:t>
      </w:r>
      <w:r>
        <w:rPr>
          <w:rFonts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臭气浓度最大值</w:t>
      </w:r>
      <w:r>
        <w:rPr>
          <w:rFonts w:ascii="Times New Roman" w:hAnsi="Times New Roman" w:cs="Times New Roman"/>
          <w:sz w:val="24"/>
          <w:szCs w:val="24"/>
          <w:highlight w:val="none"/>
        </w:rPr>
        <w:t>为</w:t>
      </w:r>
      <w:r>
        <w:rPr>
          <w:rFonts w:hint="eastAsia" w:ascii="Times New Roman" w:hAnsi="Times New Roman" w:cs="Times New Roman"/>
          <w:sz w:val="24"/>
          <w:szCs w:val="24"/>
          <w:highlight w:val="none"/>
          <w:lang w:val="en-US" w:eastAsia="zh-CN"/>
        </w:rPr>
        <w:t>851（无量纲）</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lang w:val="en-US" w:eastAsia="zh-CN"/>
        </w:rPr>
        <w:t>均</w:t>
      </w:r>
      <w:r>
        <w:rPr>
          <w:rFonts w:hint="eastAsia" w:ascii="Times New Roman" w:hAnsi="Times New Roman" w:eastAsia="宋体" w:cs="Times New Roman"/>
          <w:bCs/>
          <w:kern w:val="0"/>
          <w:sz w:val="24"/>
          <w:szCs w:val="24"/>
        </w:rPr>
        <w:t>符合</w:t>
      </w:r>
      <w:r>
        <w:rPr>
          <w:rFonts w:hint="eastAsia" w:ascii="Times New Roman" w:hAnsi="Times New Roman" w:eastAsia="宋体" w:cs="Times New Roman"/>
          <w:bCs/>
          <w:kern w:val="0"/>
          <w:sz w:val="24"/>
          <w:szCs w:val="24"/>
          <w:lang w:eastAsia="zh-CN"/>
        </w:rPr>
        <w:t>《工业涂装工序大气污染物排放标准》DB 33/2146-2018表1</w:t>
      </w:r>
      <w:r>
        <w:rPr>
          <w:rFonts w:hint="eastAsia" w:ascii="Times New Roman" w:hAnsi="Times New Roman" w:cs="Times New Roman"/>
          <w:sz w:val="24"/>
          <w:szCs w:val="24"/>
        </w:rPr>
        <w:t>中</w:t>
      </w:r>
      <w:r>
        <w:rPr>
          <w:rFonts w:hint="eastAsia" w:ascii="Times New Roman" w:hAnsi="Times New Roman" w:cs="Times New Roman"/>
          <w:sz w:val="24"/>
          <w:szCs w:val="24"/>
          <w:lang w:eastAsia="zh-CN"/>
        </w:rPr>
        <w:t>的</w:t>
      </w:r>
      <w:r>
        <w:rPr>
          <w:rFonts w:hint="eastAsia" w:ascii="Times New Roman" w:hAnsi="Times New Roman" w:cs="Times New Roman"/>
          <w:sz w:val="24"/>
          <w:szCs w:val="24"/>
        </w:rPr>
        <w:t>排放限值</w:t>
      </w:r>
      <w:r>
        <w:rPr>
          <w:rFonts w:hint="eastAsia" w:ascii="Times New Roman" w:hAnsi="Times New Roman" w:cs="Times New Roman"/>
          <w:sz w:val="24"/>
          <w:szCs w:val="24"/>
          <w:lang w:eastAsia="zh-CN"/>
        </w:rPr>
        <w:t>。</w:t>
      </w:r>
    </w:p>
    <w:p>
      <w:pPr>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rPr>
        <w:t>验收监测期间，</w:t>
      </w:r>
      <w:r>
        <w:rPr>
          <w:rFonts w:hint="eastAsia" w:ascii="Times New Roman" w:hAnsi="Times New Roman" w:cs="Times New Roman"/>
          <w:sz w:val="24"/>
          <w:szCs w:val="24"/>
          <w:lang w:val="en-US" w:eastAsia="zh-CN"/>
        </w:rPr>
        <w:t>天然气燃烧废气排放口（DA001-2）中颗粒物排放折算</w:t>
      </w:r>
      <w:r>
        <w:rPr>
          <w:rFonts w:hint="eastAsia" w:ascii="Times New Roman" w:hAnsi="Times New Roman" w:cs="Times New Roman"/>
          <w:sz w:val="24"/>
          <w:szCs w:val="24"/>
        </w:rPr>
        <w:t>浓度</w:t>
      </w:r>
      <w:r>
        <w:rPr>
          <w:rFonts w:hint="eastAsia" w:ascii="Times New Roman" w:hAnsi="Times New Roman" w:cs="Times New Roman"/>
          <w:sz w:val="24"/>
          <w:szCs w:val="24"/>
          <w:lang w:val="en-US" w:eastAsia="zh-CN"/>
        </w:rPr>
        <w:t>最大值</w:t>
      </w:r>
      <w:r>
        <w:rPr>
          <w:rFonts w:ascii="Times New Roman" w:hAnsi="Times New Roman" w:cs="Times New Roman"/>
          <w:sz w:val="24"/>
          <w:szCs w:val="24"/>
        </w:rPr>
        <w:t>为</w:t>
      </w:r>
      <w:r>
        <w:rPr>
          <w:rFonts w:hint="eastAsia" w:ascii="Times New Roman" w:hAnsi="Times New Roman" w:cs="Times New Roman"/>
          <w:sz w:val="24"/>
          <w:szCs w:val="24"/>
          <w:lang w:val="en-US" w:eastAsia="zh-CN"/>
        </w:rPr>
        <w:t>9.9</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二氧化硫</w:t>
      </w:r>
      <w:r>
        <w:rPr>
          <w:rFonts w:hint="eastAsia" w:ascii="Times New Roman" w:hAnsi="Times New Roman" w:cs="Times New Roman"/>
          <w:sz w:val="24"/>
          <w:szCs w:val="24"/>
        </w:rPr>
        <w:t>排放</w:t>
      </w:r>
      <w:r>
        <w:rPr>
          <w:rFonts w:hint="eastAsia" w:ascii="Times New Roman" w:hAnsi="Times New Roman" w:cs="Times New Roman"/>
          <w:sz w:val="24"/>
          <w:szCs w:val="24"/>
          <w:lang w:val="en-US" w:eastAsia="zh-CN"/>
        </w:rPr>
        <w:t>折算</w:t>
      </w:r>
      <w:r>
        <w:rPr>
          <w:rFonts w:hint="eastAsia" w:ascii="Times New Roman" w:hAnsi="Times New Roman" w:cs="Times New Roman"/>
          <w:sz w:val="24"/>
          <w:szCs w:val="24"/>
        </w:rPr>
        <w:t>浓度</w:t>
      </w:r>
      <w:r>
        <w:rPr>
          <w:rFonts w:hint="eastAsia" w:ascii="Times New Roman" w:hAnsi="Times New Roman" w:cs="Times New Roman"/>
          <w:sz w:val="24"/>
          <w:szCs w:val="24"/>
          <w:lang w:val="en-US" w:eastAsia="zh-CN"/>
        </w:rPr>
        <w:t>最大值</w:t>
      </w:r>
      <w:r>
        <w:rPr>
          <w:rFonts w:ascii="Times New Roman" w:hAnsi="Times New Roman" w:cs="Times New Roman"/>
          <w:sz w:val="24"/>
          <w:szCs w:val="24"/>
        </w:rPr>
        <w:t>为</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25</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lang w:eastAsia="zh-CN"/>
        </w:rPr>
        <w:t>、</w:t>
      </w:r>
      <w:r>
        <w:rPr>
          <w:rFonts w:hint="default" w:ascii="Times New Roman" w:hAnsi="Times New Roman" w:cs="Times New Roman"/>
          <w:sz w:val="24"/>
          <w:szCs w:val="24"/>
          <w:lang w:val="en-US" w:eastAsia="zh-CN"/>
        </w:rPr>
        <w:t>氮氧化物</w:t>
      </w:r>
      <w:r>
        <w:rPr>
          <w:rFonts w:hint="default" w:ascii="Times New Roman" w:hAnsi="Times New Roman" w:cs="Times New Roman"/>
          <w:sz w:val="24"/>
          <w:szCs w:val="24"/>
        </w:rPr>
        <w:t>排放</w:t>
      </w:r>
      <w:r>
        <w:rPr>
          <w:rFonts w:hint="default" w:ascii="Times New Roman" w:hAnsi="Times New Roman" w:cs="Times New Roman"/>
          <w:sz w:val="24"/>
          <w:szCs w:val="24"/>
          <w:lang w:val="en-US" w:eastAsia="zh-CN"/>
        </w:rPr>
        <w:t>折算</w:t>
      </w:r>
      <w:r>
        <w:rPr>
          <w:rFonts w:hint="default" w:ascii="Times New Roman" w:hAnsi="Times New Roman" w:cs="Times New Roman"/>
          <w:sz w:val="24"/>
          <w:szCs w:val="24"/>
        </w:rPr>
        <w:t>浓度</w:t>
      </w:r>
      <w:r>
        <w:rPr>
          <w:rFonts w:hint="default" w:ascii="Times New Roman" w:hAnsi="Times New Roman" w:cs="Times New Roman"/>
          <w:sz w:val="24"/>
          <w:szCs w:val="24"/>
          <w:lang w:val="en-US" w:eastAsia="zh-CN"/>
        </w:rPr>
        <w:t>最大值</w:t>
      </w:r>
      <w:r>
        <w:rPr>
          <w:rFonts w:hint="default" w:ascii="Times New Roman" w:hAnsi="Times New Roman" w:cs="Times New Roman"/>
          <w:sz w:val="24"/>
          <w:szCs w:val="24"/>
        </w:rPr>
        <w:t>为</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25</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均</w:t>
      </w:r>
      <w:r>
        <w:rPr>
          <w:rFonts w:hint="eastAsia" w:ascii="Times New Roman" w:hAnsi="Times New Roman" w:eastAsia="宋体" w:cs="Times New Roman"/>
          <w:bCs/>
          <w:kern w:val="0"/>
          <w:sz w:val="24"/>
          <w:szCs w:val="24"/>
        </w:rPr>
        <w:t>符合</w:t>
      </w:r>
      <w:r>
        <w:rPr>
          <w:rFonts w:hint="eastAsia" w:ascii="Times New Roman" w:hAnsi="Times New Roman" w:eastAsia="宋体" w:cs="Times New Roman"/>
          <w:bCs/>
          <w:kern w:val="0"/>
          <w:sz w:val="24"/>
          <w:szCs w:val="24"/>
          <w:lang w:eastAsia="zh-CN"/>
        </w:rPr>
        <w:t>《浙江省工业炉窑大气污染综合治理方案》（浙环函[2019]315号）</w:t>
      </w:r>
      <w:r>
        <w:rPr>
          <w:rFonts w:hint="eastAsia" w:ascii="Times New Roman" w:hAnsi="Times New Roman" w:cs="Times New Roman"/>
          <w:sz w:val="24"/>
          <w:szCs w:val="24"/>
        </w:rPr>
        <w:t>中</w:t>
      </w:r>
      <w:r>
        <w:rPr>
          <w:rFonts w:hint="eastAsia" w:ascii="Times New Roman" w:hAnsi="Times New Roman" w:cs="Times New Roman"/>
          <w:sz w:val="24"/>
          <w:szCs w:val="24"/>
          <w:lang w:eastAsia="zh-CN"/>
        </w:rPr>
        <w:t>的</w:t>
      </w:r>
      <w:r>
        <w:rPr>
          <w:rFonts w:hint="eastAsia" w:ascii="Times New Roman" w:hAnsi="Times New Roman" w:cs="Times New Roman"/>
          <w:sz w:val="24"/>
          <w:szCs w:val="24"/>
        </w:rPr>
        <w:t>排放限值</w:t>
      </w:r>
      <w:r>
        <w:rPr>
          <w:rFonts w:hint="eastAsia" w:ascii="Times New Roman" w:hAnsi="Times New Roman" w:cs="Times New Roman"/>
          <w:sz w:val="24"/>
          <w:szCs w:val="24"/>
          <w:highlight w:val="none"/>
          <w:vertAlign w:val="baseline"/>
          <w:lang w:val="en-US" w:eastAsia="zh-CN"/>
        </w:rPr>
        <w:t>。</w:t>
      </w:r>
    </w:p>
    <w:p>
      <w:pPr>
        <w:spacing w:line="360" w:lineRule="auto"/>
        <w:ind w:firstLine="480" w:firstLineChars="200"/>
        <w:rPr>
          <w:rFonts w:ascii="Times New Roman" w:hAnsi="Times New Roman" w:eastAsia="宋体" w:cs="Times New Roman"/>
          <w:bCs/>
          <w:kern w:val="22"/>
          <w:sz w:val="24"/>
          <w:szCs w:val="24"/>
        </w:rPr>
      </w:pPr>
      <w:r>
        <w:rPr>
          <w:rFonts w:hint="eastAsia" w:ascii="Times New Roman" w:hAnsi="Times New Roman" w:cs="Times New Roman"/>
          <w:sz w:val="24"/>
          <w:szCs w:val="24"/>
        </w:rPr>
        <w:t>验收监测期间，</w:t>
      </w:r>
      <w:r>
        <w:rPr>
          <w:rFonts w:hint="eastAsia" w:ascii="Times New Roman" w:hAnsi="Times New Roman" w:cs="Times New Roman"/>
          <w:sz w:val="24"/>
          <w:szCs w:val="24"/>
          <w:lang w:val="en-US" w:eastAsia="zh-CN"/>
        </w:rPr>
        <w:t>喷塑废气处理设施出口（DA002-2）中颗粒物排放</w:t>
      </w:r>
      <w:r>
        <w:rPr>
          <w:rFonts w:hint="eastAsia" w:ascii="Times New Roman" w:hAnsi="Times New Roman" w:cs="Times New Roman"/>
          <w:sz w:val="24"/>
          <w:szCs w:val="24"/>
        </w:rPr>
        <w:t>浓度</w:t>
      </w:r>
      <w:r>
        <w:rPr>
          <w:rFonts w:hint="eastAsia" w:ascii="Times New Roman" w:hAnsi="Times New Roman" w:cs="Times New Roman"/>
          <w:sz w:val="24"/>
          <w:szCs w:val="24"/>
          <w:lang w:val="en-US" w:eastAsia="zh-CN"/>
        </w:rPr>
        <w:t>最大值</w:t>
      </w:r>
      <w:r>
        <w:rPr>
          <w:rFonts w:ascii="Times New Roman" w:hAnsi="Times New Roman" w:cs="Times New Roman"/>
          <w:sz w:val="24"/>
          <w:szCs w:val="24"/>
        </w:rPr>
        <w:t>为</w:t>
      </w:r>
      <w:r>
        <w:rPr>
          <w:rFonts w:hint="eastAsia" w:ascii="Times New Roman" w:hAnsi="Times New Roman" w:cs="Times New Roman"/>
          <w:sz w:val="24"/>
          <w:szCs w:val="24"/>
          <w:lang w:val="en-US" w:eastAsia="zh-CN"/>
        </w:rPr>
        <w:t>3.2</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hint="eastAsia" w:ascii="Times New Roman" w:hAnsi="Times New Roman" w:cs="Times New Roman"/>
          <w:sz w:val="24"/>
          <w:szCs w:val="24"/>
          <w:lang w:eastAsia="zh-CN"/>
        </w:rPr>
        <w:t>，</w:t>
      </w:r>
      <w:r>
        <w:rPr>
          <w:rFonts w:hint="eastAsia" w:ascii="Times New Roman" w:hAnsi="Times New Roman" w:eastAsia="宋体" w:cs="Times New Roman"/>
          <w:bCs/>
          <w:kern w:val="0"/>
          <w:sz w:val="24"/>
          <w:szCs w:val="24"/>
        </w:rPr>
        <w:t>符合</w:t>
      </w:r>
      <w:r>
        <w:rPr>
          <w:rFonts w:hint="eastAsia" w:ascii="Times New Roman" w:hAnsi="Times New Roman" w:eastAsia="宋体" w:cs="Times New Roman"/>
          <w:bCs/>
          <w:kern w:val="0"/>
          <w:sz w:val="24"/>
          <w:szCs w:val="24"/>
          <w:lang w:eastAsia="zh-CN"/>
        </w:rPr>
        <w:t>《工业涂装工序大气污染物排放标准》DB 33/2146-2018表1</w:t>
      </w:r>
      <w:r>
        <w:rPr>
          <w:rFonts w:hint="eastAsia" w:ascii="Times New Roman" w:hAnsi="Times New Roman" w:cs="Times New Roman"/>
          <w:sz w:val="24"/>
          <w:szCs w:val="24"/>
        </w:rPr>
        <w:t>中</w:t>
      </w:r>
      <w:r>
        <w:rPr>
          <w:rFonts w:hint="eastAsia" w:ascii="Times New Roman" w:hAnsi="Times New Roman" w:cs="Times New Roman"/>
          <w:sz w:val="24"/>
          <w:szCs w:val="24"/>
          <w:lang w:eastAsia="zh-CN"/>
        </w:rPr>
        <w:t>的</w:t>
      </w:r>
      <w:r>
        <w:rPr>
          <w:rFonts w:hint="eastAsia" w:ascii="Times New Roman" w:hAnsi="Times New Roman" w:cs="Times New Roman"/>
          <w:sz w:val="24"/>
          <w:szCs w:val="24"/>
        </w:rPr>
        <w:t>排放限值</w:t>
      </w:r>
      <w:r>
        <w:rPr>
          <w:rFonts w:hint="eastAsia" w:ascii="Times New Roman" w:hAnsi="Times New Roman" w:eastAsia="宋体" w:cs="Times New Roman"/>
          <w:bCs/>
          <w:color w:val="auto"/>
          <w:kern w:val="0"/>
          <w:sz w:val="24"/>
          <w:szCs w:val="21"/>
          <w:lang w:eastAsia="zh-CN"/>
        </w:rPr>
        <w:t>。</w:t>
      </w:r>
    </w:p>
    <w:p>
      <w:pPr>
        <w:spacing w:line="360" w:lineRule="auto"/>
        <w:ind w:firstLine="480" w:firstLineChars="200"/>
        <w:rPr>
          <w:rFonts w:hint="default" w:ascii="Times New Roman" w:hAnsi="Times New Roman" w:eastAsia="宋体" w:cs="Times New Roman"/>
          <w:kern w:val="22"/>
          <w:sz w:val="24"/>
          <w:szCs w:val="24"/>
          <w:highlight w:val="none"/>
          <w:lang w:eastAsia="zh-CN"/>
        </w:rPr>
      </w:pPr>
      <w:r>
        <w:rPr>
          <w:rFonts w:ascii="Times New Roman" w:hAnsi="Times New Roman" w:cs="Times New Roman"/>
          <w:color w:val="000000"/>
          <w:sz w:val="24"/>
        </w:rPr>
        <w:t>（</w:t>
      </w:r>
      <w:r>
        <w:rPr>
          <w:rFonts w:hint="eastAsia" w:ascii="Times New Roman" w:hAnsi="Times New Roman" w:cs="Times New Roman"/>
          <w:color w:val="000000"/>
          <w:sz w:val="24"/>
          <w:lang w:val="en-US" w:eastAsia="zh-CN"/>
        </w:rPr>
        <w:t>3</w:t>
      </w:r>
      <w:r>
        <w:rPr>
          <w:rFonts w:ascii="Times New Roman" w:hAnsi="Times New Roman" w:cs="Times New Roman"/>
          <w:color w:val="000000"/>
          <w:sz w:val="24"/>
        </w:rPr>
        <w:t>）</w:t>
      </w:r>
      <w:r>
        <w:rPr>
          <w:rFonts w:hint="default" w:ascii="Times New Roman" w:hAnsi="Times New Roman" w:eastAsia="宋体" w:cs="Times New Roman"/>
          <w:kern w:val="22"/>
          <w:sz w:val="24"/>
          <w:szCs w:val="24"/>
        </w:rPr>
        <w:t>验收监测期间，</w:t>
      </w:r>
      <w:r>
        <w:rPr>
          <w:rFonts w:hint="default" w:ascii="Times New Roman" w:hAnsi="Times New Roman" w:eastAsia="宋体" w:cs="Times New Roman"/>
          <w:kern w:val="22"/>
          <w:sz w:val="24"/>
          <w:szCs w:val="24"/>
          <w:highlight w:val="none"/>
          <w:lang w:val="en-US" w:eastAsia="zh-CN"/>
        </w:rPr>
        <w:t>厂界颗粒物</w:t>
      </w:r>
      <w:r>
        <w:rPr>
          <w:rFonts w:hint="default" w:ascii="Times New Roman" w:hAnsi="Times New Roman" w:eastAsia="宋体" w:cs="Times New Roman"/>
          <w:kern w:val="22"/>
          <w:sz w:val="24"/>
          <w:szCs w:val="24"/>
          <w:highlight w:val="none"/>
        </w:rPr>
        <w:t>的最大小时浓度值为</w:t>
      </w:r>
      <w:r>
        <w:rPr>
          <w:rFonts w:hint="default" w:ascii="Times New Roman" w:hAnsi="Times New Roman" w:eastAsia="宋体" w:cs="Times New Roman"/>
          <w:kern w:val="22"/>
          <w:sz w:val="24"/>
          <w:szCs w:val="24"/>
          <w:highlight w:val="none"/>
          <w:lang w:val="en-US" w:eastAsia="zh-CN"/>
        </w:rPr>
        <w:t>0.872</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default" w:ascii="Times New Roman" w:hAnsi="Times New Roman" w:eastAsia="宋体" w:cs="Times New Roman"/>
          <w:kern w:val="22"/>
          <w:sz w:val="24"/>
          <w:szCs w:val="24"/>
          <w:highlight w:val="none"/>
        </w:rPr>
        <w:t>，</w:t>
      </w:r>
      <w:r>
        <w:rPr>
          <w:rFonts w:hint="default" w:ascii="Times New Roman" w:hAnsi="Times New Roman" w:eastAsia="宋体" w:cs="Times New Roman"/>
          <w:kern w:val="22"/>
          <w:sz w:val="24"/>
          <w:szCs w:val="24"/>
          <w:highlight w:val="none"/>
          <w:lang w:val="en-US" w:eastAsia="zh-CN"/>
        </w:rPr>
        <w:t>二甲苯</w:t>
      </w:r>
      <w:r>
        <w:rPr>
          <w:rFonts w:hint="default" w:ascii="Times New Roman" w:hAnsi="Times New Roman" w:eastAsia="宋体" w:cs="Times New Roman"/>
          <w:kern w:val="22"/>
          <w:sz w:val="24"/>
          <w:szCs w:val="24"/>
          <w:highlight w:val="none"/>
        </w:rPr>
        <w:t>的最大小时浓度值为</w:t>
      </w:r>
      <w:r>
        <w:rPr>
          <w:rFonts w:hint="default" w:ascii="Times New Roman" w:hAnsi="Times New Roman" w:eastAsia="宋体" w:cs="Times New Roman"/>
          <w:kern w:val="22"/>
          <w:sz w:val="24"/>
          <w:szCs w:val="24"/>
          <w:highlight w:val="none"/>
          <w:lang w:val="en-US" w:eastAsia="zh-CN"/>
        </w:rPr>
        <w:t>＜1.5×10</w:t>
      </w:r>
      <w:r>
        <w:rPr>
          <w:rFonts w:hint="default" w:ascii="Times New Roman" w:hAnsi="Times New Roman" w:eastAsia="宋体" w:cs="Times New Roman"/>
          <w:kern w:val="22"/>
          <w:sz w:val="24"/>
          <w:szCs w:val="24"/>
          <w:highlight w:val="none"/>
          <w:vertAlign w:val="superscript"/>
          <w:lang w:val="en-US" w:eastAsia="zh-CN"/>
        </w:rPr>
        <w:t>-3</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default" w:ascii="Times New Roman" w:hAnsi="Times New Roman" w:eastAsia="宋体" w:cs="Times New Roman"/>
          <w:kern w:val="22"/>
          <w:sz w:val="24"/>
          <w:szCs w:val="24"/>
          <w:highlight w:val="none"/>
        </w:rPr>
        <w:t>，</w:t>
      </w:r>
      <w:r>
        <w:rPr>
          <w:rFonts w:hint="default" w:ascii="Times New Roman" w:hAnsi="Times New Roman" w:eastAsia="宋体" w:cs="Times New Roman"/>
          <w:kern w:val="22"/>
          <w:sz w:val="24"/>
          <w:szCs w:val="24"/>
          <w:highlight w:val="none"/>
          <w:lang w:val="en-US" w:eastAsia="zh-CN"/>
        </w:rPr>
        <w:t>乙酸丁酯</w:t>
      </w:r>
      <w:r>
        <w:rPr>
          <w:rFonts w:hint="default" w:ascii="Times New Roman" w:hAnsi="Times New Roman" w:eastAsia="宋体" w:cs="Times New Roman"/>
          <w:kern w:val="22"/>
          <w:sz w:val="24"/>
          <w:szCs w:val="24"/>
          <w:highlight w:val="none"/>
        </w:rPr>
        <w:t>的最大小时浓度值为</w:t>
      </w:r>
      <w:r>
        <w:rPr>
          <w:rFonts w:hint="default" w:ascii="Times New Roman" w:hAnsi="Times New Roman" w:eastAsia="宋体" w:cs="Times New Roman"/>
          <w:kern w:val="22"/>
          <w:sz w:val="24"/>
          <w:szCs w:val="24"/>
          <w:highlight w:val="none"/>
          <w:lang w:val="en-US" w:eastAsia="zh-CN"/>
        </w:rPr>
        <w:t>＜7.7×10</w:t>
      </w:r>
      <w:r>
        <w:rPr>
          <w:rFonts w:hint="default" w:ascii="Times New Roman" w:hAnsi="Times New Roman" w:eastAsia="宋体" w:cs="Times New Roman"/>
          <w:kern w:val="22"/>
          <w:sz w:val="24"/>
          <w:szCs w:val="24"/>
          <w:highlight w:val="none"/>
          <w:vertAlign w:val="superscript"/>
          <w:lang w:val="en-US" w:eastAsia="zh-CN"/>
        </w:rPr>
        <w:t>-3</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default" w:ascii="Times New Roman" w:hAnsi="Times New Roman" w:eastAsia="宋体" w:cs="Times New Roman"/>
          <w:kern w:val="22"/>
          <w:sz w:val="24"/>
          <w:szCs w:val="24"/>
          <w:highlight w:val="none"/>
        </w:rPr>
        <w:t>，</w:t>
      </w:r>
      <w:r>
        <w:rPr>
          <w:rFonts w:hint="default" w:ascii="Times New Roman" w:hAnsi="Times New Roman" w:eastAsia="宋体" w:cs="Times New Roman"/>
          <w:kern w:val="22"/>
          <w:sz w:val="24"/>
          <w:szCs w:val="24"/>
          <w:highlight w:val="none"/>
          <w:lang w:val="en-US" w:eastAsia="zh-CN"/>
        </w:rPr>
        <w:t>非甲烷总烃</w:t>
      </w:r>
      <w:r>
        <w:rPr>
          <w:rFonts w:hint="default" w:ascii="Times New Roman" w:hAnsi="Times New Roman" w:eastAsia="宋体" w:cs="Times New Roman"/>
          <w:kern w:val="22"/>
          <w:sz w:val="24"/>
          <w:szCs w:val="24"/>
          <w:highlight w:val="none"/>
        </w:rPr>
        <w:t>的最大小时浓度值为</w:t>
      </w:r>
      <w:r>
        <w:rPr>
          <w:rFonts w:hint="default" w:ascii="Times New Roman" w:hAnsi="Times New Roman" w:eastAsia="宋体" w:cs="Times New Roman"/>
          <w:kern w:val="22"/>
          <w:sz w:val="24"/>
          <w:szCs w:val="24"/>
          <w:highlight w:val="none"/>
          <w:lang w:val="en-US" w:eastAsia="zh-CN"/>
        </w:rPr>
        <w:t>1.61</w:t>
      </w:r>
      <w:r>
        <w:rPr>
          <w:rFonts w:hint="default" w:ascii="Times New Roman" w:hAnsi="Times New Roman" w:eastAsia="宋体" w:cs="Times New Roman"/>
          <w:kern w:val="22"/>
          <w:sz w:val="24"/>
          <w:szCs w:val="24"/>
          <w:highlight w:val="none"/>
        </w:rPr>
        <w:t>mg/m</w:t>
      </w:r>
      <w:r>
        <w:rPr>
          <w:rFonts w:hint="default" w:ascii="Times New Roman" w:hAnsi="Times New Roman" w:eastAsia="宋体" w:cs="Times New Roman"/>
          <w:kern w:val="22"/>
          <w:sz w:val="24"/>
          <w:szCs w:val="24"/>
          <w:highlight w:val="none"/>
          <w:vertAlign w:val="superscript"/>
        </w:rPr>
        <w:t>3</w:t>
      </w:r>
      <w:r>
        <w:rPr>
          <w:rFonts w:hint="default" w:ascii="Times New Roman" w:hAnsi="Times New Roman" w:eastAsia="宋体" w:cs="Times New Roman"/>
          <w:kern w:val="22"/>
          <w:sz w:val="24"/>
          <w:szCs w:val="24"/>
          <w:highlight w:val="none"/>
        </w:rPr>
        <w:t>，</w:t>
      </w:r>
      <w:r>
        <w:rPr>
          <w:rFonts w:hint="default" w:ascii="Times New Roman" w:hAnsi="Times New Roman" w:eastAsia="宋体" w:cs="Times New Roman"/>
          <w:kern w:val="22"/>
          <w:sz w:val="24"/>
          <w:szCs w:val="24"/>
          <w:highlight w:val="none"/>
          <w:lang w:val="en-US" w:eastAsia="zh-CN"/>
        </w:rPr>
        <w:t>臭气浓度</w:t>
      </w:r>
      <w:r>
        <w:rPr>
          <w:rFonts w:hint="default" w:ascii="Times New Roman" w:hAnsi="Times New Roman" w:eastAsia="宋体" w:cs="Times New Roman"/>
          <w:kern w:val="22"/>
          <w:sz w:val="24"/>
          <w:szCs w:val="24"/>
          <w:highlight w:val="none"/>
        </w:rPr>
        <w:t>的最大值为</w:t>
      </w:r>
      <w:r>
        <w:rPr>
          <w:rFonts w:hint="default" w:ascii="Times New Roman" w:hAnsi="Times New Roman" w:eastAsia="宋体" w:cs="Times New Roman"/>
          <w:kern w:val="22"/>
          <w:sz w:val="24"/>
          <w:szCs w:val="24"/>
          <w:highlight w:val="none"/>
          <w:lang w:val="en-US" w:eastAsia="zh-CN"/>
        </w:rPr>
        <w:t>11（无量纲）</w:t>
      </w:r>
      <w:r>
        <w:rPr>
          <w:rFonts w:hint="default" w:ascii="Times New Roman" w:hAnsi="Times New Roman" w:eastAsia="宋体" w:cs="Times New Roman"/>
          <w:kern w:val="22"/>
          <w:sz w:val="24"/>
          <w:szCs w:val="24"/>
          <w:highlight w:val="none"/>
        </w:rPr>
        <w:t>，</w:t>
      </w:r>
      <w:r>
        <w:rPr>
          <w:rFonts w:hint="default" w:ascii="Times New Roman" w:hAnsi="Times New Roman" w:eastAsia="宋体" w:cs="Times New Roman"/>
          <w:kern w:val="22"/>
          <w:sz w:val="24"/>
          <w:szCs w:val="24"/>
          <w:highlight w:val="none"/>
          <w:lang w:val="en-US" w:eastAsia="zh-CN"/>
        </w:rPr>
        <w:t>均</w:t>
      </w:r>
      <w:r>
        <w:rPr>
          <w:rFonts w:hint="default" w:ascii="Times New Roman" w:hAnsi="Times New Roman" w:eastAsia="宋体" w:cs="Times New Roman"/>
          <w:kern w:val="22"/>
          <w:sz w:val="24"/>
          <w:szCs w:val="24"/>
          <w:highlight w:val="none"/>
        </w:rPr>
        <w:t>符合《工业涂装工序大气污染物排放标准》（DB 33/2146-2018）表6中</w:t>
      </w:r>
      <w:r>
        <w:rPr>
          <w:rFonts w:hint="default" w:ascii="Times New Roman" w:hAnsi="Times New Roman" w:eastAsia="宋体" w:cs="Times New Roman"/>
          <w:bCs/>
          <w:kern w:val="0"/>
          <w:sz w:val="24"/>
          <w:szCs w:val="21"/>
          <w:highlight w:val="none"/>
        </w:rPr>
        <w:t>相关标准限值要求</w:t>
      </w:r>
      <w:r>
        <w:rPr>
          <w:rFonts w:hint="default" w:ascii="Times New Roman" w:hAnsi="Times New Roman" w:eastAsia="宋体" w:cs="Times New Roman"/>
          <w:bCs/>
          <w:kern w:val="0"/>
          <w:sz w:val="24"/>
          <w:szCs w:val="21"/>
          <w:highlight w:val="none"/>
          <w:lang w:eastAsia="zh-CN"/>
        </w:rPr>
        <w:t>。</w:t>
      </w:r>
    </w:p>
    <w:p>
      <w:pPr>
        <w:spacing w:line="360" w:lineRule="auto"/>
        <w:ind w:firstLine="480" w:firstLineChars="200"/>
        <w:rPr>
          <w:rFonts w:hint="eastAsia" w:ascii="Times New Roman" w:hAnsi="Times New Roman" w:cs="Times New Roman" w:eastAsiaTheme="minorEastAsia"/>
          <w:sz w:val="24"/>
          <w:lang w:eastAsia="zh-CN"/>
        </w:rPr>
      </w:pPr>
      <w:r>
        <w:rPr>
          <w:rFonts w:hint="eastAsia" w:ascii="Times New Roman" w:hAnsi="Times New Roman" w:eastAsia="宋体" w:cs="Times New Roman"/>
          <w:bCs/>
          <w:color w:val="auto"/>
          <w:kern w:val="0"/>
          <w:sz w:val="24"/>
          <w:szCs w:val="21"/>
          <w:lang w:val="en-US" w:eastAsia="zh-CN"/>
        </w:rPr>
        <w:t>厂区内喷漆车间外</w:t>
      </w:r>
      <w:r>
        <w:rPr>
          <w:rFonts w:hint="eastAsia" w:ascii="Times New Roman" w:hAnsi="Times New Roman" w:eastAsia="宋体" w:cs="Times New Roman"/>
          <w:color w:val="auto"/>
          <w:kern w:val="22"/>
          <w:sz w:val="24"/>
          <w:szCs w:val="24"/>
          <w:lang w:eastAsia="zh-CN"/>
        </w:rPr>
        <w:t>非甲烷总烃</w:t>
      </w:r>
      <w:r>
        <w:rPr>
          <w:rFonts w:hint="eastAsia" w:ascii="Times New Roman" w:hAnsi="Times New Roman" w:eastAsia="宋体" w:cs="Times New Roman"/>
          <w:color w:val="auto"/>
          <w:kern w:val="22"/>
          <w:sz w:val="24"/>
          <w:szCs w:val="24"/>
        </w:rPr>
        <w:t>的最大小时浓度值</w:t>
      </w:r>
      <w:r>
        <w:rPr>
          <w:rFonts w:hint="eastAsia" w:ascii="Times New Roman" w:hAnsi="Times New Roman" w:eastAsia="宋体" w:cs="Times New Roman"/>
          <w:color w:val="auto"/>
          <w:kern w:val="22"/>
          <w:sz w:val="24"/>
          <w:szCs w:val="24"/>
          <w:highlight w:val="none"/>
        </w:rPr>
        <w:t>为</w:t>
      </w:r>
      <w:r>
        <w:rPr>
          <w:rFonts w:hint="eastAsia" w:ascii="Times New Roman" w:hAnsi="Times New Roman" w:eastAsia="宋体" w:cs="Times New Roman"/>
          <w:color w:val="auto"/>
          <w:kern w:val="22"/>
          <w:sz w:val="24"/>
          <w:szCs w:val="24"/>
          <w:highlight w:val="none"/>
          <w:lang w:val="en-US" w:eastAsia="zh-CN"/>
        </w:rPr>
        <w:t>2.59</w:t>
      </w:r>
      <w:r>
        <w:rPr>
          <w:rFonts w:ascii="Times New Roman" w:hAnsi="Times New Roman" w:eastAsia="宋体" w:cs="Times New Roman"/>
          <w:color w:val="auto"/>
          <w:kern w:val="22"/>
          <w:sz w:val="24"/>
          <w:szCs w:val="24"/>
          <w:highlight w:val="none"/>
        </w:rPr>
        <w:t>m</w:t>
      </w:r>
      <w:r>
        <w:rPr>
          <w:rFonts w:ascii="Times New Roman" w:hAnsi="Times New Roman" w:eastAsia="宋体" w:cs="Times New Roman"/>
          <w:color w:val="auto"/>
          <w:kern w:val="22"/>
          <w:sz w:val="24"/>
          <w:szCs w:val="24"/>
        </w:rPr>
        <w:t>g/m</w:t>
      </w:r>
      <w:r>
        <w:rPr>
          <w:rFonts w:ascii="Times New Roman" w:hAnsi="Times New Roman" w:eastAsia="宋体" w:cs="Times New Roman"/>
          <w:color w:val="auto"/>
          <w:kern w:val="22"/>
          <w:sz w:val="24"/>
          <w:szCs w:val="24"/>
          <w:vertAlign w:val="superscript"/>
        </w:rPr>
        <w:t>3</w:t>
      </w:r>
      <w:r>
        <w:rPr>
          <w:rFonts w:hint="eastAsia" w:ascii="Times New Roman" w:hAnsi="Times New Roman" w:eastAsia="宋体" w:cs="Times New Roman"/>
          <w:color w:val="auto"/>
          <w:kern w:val="22"/>
          <w:sz w:val="24"/>
          <w:szCs w:val="24"/>
        </w:rPr>
        <w:t>，符合《工业涂装工序大气污染物排放标准》（DB</w:t>
      </w:r>
      <w:r>
        <w:rPr>
          <w:rFonts w:hint="eastAsia" w:ascii="Times New Roman" w:hAnsi="Times New Roman" w:eastAsia="宋体" w:cs="Times New Roman"/>
          <w:color w:val="auto"/>
          <w:kern w:val="22"/>
          <w:sz w:val="24"/>
          <w:szCs w:val="24"/>
          <w:lang w:val="en-US" w:eastAsia="zh-CN"/>
        </w:rPr>
        <w:t xml:space="preserve"> </w:t>
      </w:r>
      <w:r>
        <w:rPr>
          <w:rFonts w:hint="eastAsia" w:ascii="Times New Roman" w:hAnsi="Times New Roman" w:eastAsia="宋体" w:cs="Times New Roman"/>
          <w:color w:val="auto"/>
          <w:kern w:val="22"/>
          <w:sz w:val="24"/>
          <w:szCs w:val="24"/>
        </w:rPr>
        <w:t>33/2146-2018）</w:t>
      </w:r>
      <w:r>
        <w:rPr>
          <w:rFonts w:hint="eastAsia" w:ascii="Times New Roman" w:hAnsi="Times New Roman" w:eastAsia="宋体" w:cs="Times New Roman"/>
          <w:color w:val="auto"/>
          <w:kern w:val="22"/>
          <w:sz w:val="24"/>
          <w:szCs w:val="24"/>
          <w:lang w:val="en-US" w:eastAsia="zh-CN"/>
        </w:rPr>
        <w:t>表5中</w:t>
      </w:r>
      <w:r>
        <w:rPr>
          <w:rFonts w:ascii="Times New Roman" w:hAnsi="Times New Roman" w:eastAsia="宋体" w:cs="Times New Roman"/>
          <w:bCs/>
          <w:color w:val="auto"/>
          <w:kern w:val="0"/>
          <w:sz w:val="24"/>
          <w:szCs w:val="21"/>
        </w:rPr>
        <w:t>相关标准</w:t>
      </w:r>
      <w:r>
        <w:rPr>
          <w:rFonts w:hint="eastAsia" w:ascii="Times New Roman" w:hAnsi="Times New Roman" w:eastAsia="宋体" w:cs="Times New Roman"/>
          <w:bCs/>
          <w:color w:val="auto"/>
          <w:kern w:val="0"/>
          <w:sz w:val="24"/>
          <w:szCs w:val="21"/>
        </w:rPr>
        <w:t>限值要求</w:t>
      </w:r>
      <w:r>
        <w:rPr>
          <w:rFonts w:hint="eastAsia" w:ascii="Times New Roman" w:hAnsi="Times New Roman" w:cs="Times New Roman"/>
          <w:color w:val="000000"/>
          <w:sz w:val="24"/>
          <w:lang w:eastAsia="zh-CN"/>
        </w:rPr>
        <w:t>。</w:t>
      </w:r>
    </w:p>
    <w:p>
      <w:pPr>
        <w:spacing w:line="360" w:lineRule="auto"/>
        <w:ind w:firstLine="480" w:firstLineChars="200"/>
        <w:rPr>
          <w:rFonts w:hint="eastAsia" w:ascii="Times New Roman" w:hAnsi="Times New Roman" w:cs="Times New Roman" w:eastAsiaTheme="minorEastAsia"/>
          <w:color w:val="000000"/>
          <w:sz w:val="24"/>
          <w:lang w:eastAsia="zh-CN"/>
        </w:rPr>
      </w:pP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CN"/>
        </w:rPr>
        <w:t>4</w:t>
      </w:r>
      <w:r>
        <w:rPr>
          <w:rFonts w:hint="eastAsia" w:ascii="Times New Roman" w:hAnsi="Times New Roman" w:cs="Times New Roman"/>
          <w:color w:val="000000"/>
          <w:sz w:val="24"/>
          <w:lang w:eastAsia="zh-CN"/>
        </w:rPr>
        <w:t>）</w:t>
      </w:r>
      <w:r>
        <w:rPr>
          <w:rFonts w:hint="eastAsia" w:ascii="Times New Roman" w:hAnsi="Times New Roman" w:cs="Times New Roman"/>
          <w:sz w:val="24"/>
          <w:lang w:val="en-US" w:eastAsia="zh-CN"/>
        </w:rPr>
        <w:t>验收监测期间，</w:t>
      </w:r>
      <w:r>
        <w:rPr>
          <w:rFonts w:ascii="Times New Roman" w:hAnsi="Times New Roman" w:cs="Times New Roman"/>
          <w:sz w:val="24"/>
        </w:rPr>
        <w:t>厂界</w:t>
      </w:r>
      <w:r>
        <w:rPr>
          <w:rFonts w:hint="eastAsia" w:ascii="Times New Roman" w:hAnsi="Times New Roman" w:cs="Times New Roman"/>
          <w:sz w:val="24"/>
          <w:lang w:val="en-US" w:eastAsia="zh-CN"/>
        </w:rPr>
        <w:t>北侧</w:t>
      </w:r>
      <w:r>
        <w:rPr>
          <w:rFonts w:hint="eastAsia" w:ascii="Times New Roman" w:hAnsi="Times New Roman" w:cs="Times New Roman"/>
          <w:sz w:val="24"/>
        </w:rPr>
        <w:t>昼间噪声</w:t>
      </w:r>
      <w:r>
        <w:rPr>
          <w:rFonts w:hint="eastAsia" w:ascii="Times New Roman" w:hAnsi="Times New Roman" w:cs="Times New Roman"/>
          <w:sz w:val="24"/>
          <w:lang w:val="en-US" w:eastAsia="zh-CN"/>
        </w:rPr>
        <w:t>最大值</w:t>
      </w:r>
      <w:r>
        <w:rPr>
          <w:rFonts w:hint="eastAsia" w:ascii="Times New Roman" w:hAnsi="Times New Roman" w:cs="Times New Roman"/>
          <w:sz w:val="24"/>
          <w:highlight w:val="none"/>
          <w:lang w:val="en-US" w:eastAsia="zh-CN"/>
        </w:rPr>
        <w:t>为59</w:t>
      </w:r>
      <w:r>
        <w:rPr>
          <w:rFonts w:ascii="Times New Roman" w:hAnsi="Times New Roman" w:cs="Times New Roman"/>
          <w:sz w:val="24"/>
          <w:highlight w:val="none"/>
        </w:rPr>
        <w:t>dB(A)</w:t>
      </w:r>
      <w:r>
        <w:rPr>
          <w:rFonts w:hint="eastAsia" w:ascii="Times New Roman" w:hAnsi="Times New Roman" w:cs="Times New Roman"/>
          <w:sz w:val="24"/>
          <w:highlight w:val="none"/>
          <w:lang w:eastAsia="zh-CN"/>
        </w:rPr>
        <w:t>，</w:t>
      </w:r>
      <w:r>
        <w:rPr>
          <w:rFonts w:hint="eastAsia" w:ascii="Times New Roman" w:hAnsi="Times New Roman" w:cs="Times New Roman"/>
          <w:color w:val="000000"/>
          <w:sz w:val="24"/>
        </w:rPr>
        <w:t>符合</w:t>
      </w:r>
      <w:r>
        <w:rPr>
          <w:rFonts w:ascii="Times New Roman" w:hAnsi="Times New Roman" w:cs="Times New Roman"/>
          <w:color w:val="000000"/>
          <w:sz w:val="24"/>
        </w:rPr>
        <w:t>《工业企业厂界噪声排放标准》</w:t>
      </w:r>
      <w:r>
        <w:rPr>
          <w:rFonts w:hint="eastAsia" w:ascii="Times New Roman" w:hAnsi="Times New Roman" w:cs="Times New Roman"/>
          <w:color w:val="000000"/>
          <w:sz w:val="24"/>
          <w:lang w:eastAsia="zh-CN"/>
        </w:rPr>
        <w:t>（</w:t>
      </w:r>
      <w:r>
        <w:rPr>
          <w:rFonts w:ascii="Times New Roman" w:hAnsi="Times New Roman" w:cs="Times New Roman"/>
          <w:color w:val="000000"/>
          <w:sz w:val="24"/>
        </w:rPr>
        <w:t>GB</w:t>
      </w:r>
      <w:r>
        <w:rPr>
          <w:rFonts w:hint="eastAsia" w:ascii="Times New Roman" w:hAnsi="Times New Roman" w:cs="Times New Roman"/>
          <w:color w:val="000000"/>
          <w:sz w:val="24"/>
          <w:lang w:val="en-US" w:eastAsia="zh-CN"/>
        </w:rPr>
        <w:t xml:space="preserve"> </w:t>
      </w:r>
      <w:r>
        <w:rPr>
          <w:rFonts w:ascii="Times New Roman" w:hAnsi="Times New Roman" w:cs="Times New Roman"/>
          <w:color w:val="000000"/>
          <w:sz w:val="24"/>
        </w:rPr>
        <w:t>12348-2008</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rPr>
        <w:t>中3</w:t>
      </w:r>
      <w:r>
        <w:rPr>
          <w:rFonts w:ascii="Times New Roman" w:hAnsi="Times New Roman" w:cs="Times New Roman"/>
          <w:color w:val="000000"/>
          <w:sz w:val="24"/>
        </w:rPr>
        <w:t>类</w:t>
      </w:r>
      <w:r>
        <w:rPr>
          <w:rFonts w:hint="eastAsia" w:ascii="Times New Roman" w:hAnsi="Times New Roman" w:cs="Times New Roman"/>
          <w:color w:val="000000"/>
          <w:sz w:val="24"/>
        </w:rPr>
        <w:t>区</w:t>
      </w:r>
      <w:r>
        <w:rPr>
          <w:rFonts w:ascii="Times New Roman" w:hAnsi="Times New Roman" w:cs="Times New Roman"/>
          <w:color w:val="000000"/>
          <w:sz w:val="24"/>
        </w:rPr>
        <w:t>标准</w:t>
      </w:r>
      <w:r>
        <w:rPr>
          <w:rFonts w:hint="eastAsia" w:ascii="Times New Roman" w:hAnsi="Times New Roman" w:cs="Times New Roman"/>
          <w:color w:val="000000"/>
          <w:sz w:val="24"/>
          <w:lang w:eastAsia="zh-CN"/>
        </w:rPr>
        <w:t>，厂界东外1m处（N1）、厂界南外1m处（N2）、厂界西外1m处（N3）不具备检测条件，故不进行检测。</w:t>
      </w:r>
    </w:p>
    <w:p>
      <w:pPr>
        <w:spacing w:line="360" w:lineRule="auto"/>
        <w:ind w:firstLine="480" w:firstLineChars="200"/>
        <w:rPr>
          <w:rFonts w:hint="eastAsia" w:ascii="Times New Roman" w:hAnsi="Times New Roman" w:cs="Times New Roman"/>
          <w:color w:val="000000"/>
          <w:sz w:val="24"/>
          <w:lang w:eastAsia="zh-CN"/>
        </w:rPr>
      </w:pPr>
      <w:r>
        <w:rPr>
          <w:rFonts w:ascii="Times New Roman" w:hAnsi="Times New Roman" w:cs="Times New Roman"/>
          <w:color w:val="000000"/>
          <w:sz w:val="24"/>
        </w:rPr>
        <w:t>（</w:t>
      </w:r>
      <w:r>
        <w:rPr>
          <w:rFonts w:hint="eastAsia" w:ascii="Times New Roman" w:hAnsi="Times New Roman" w:cs="Times New Roman"/>
          <w:color w:val="000000"/>
          <w:sz w:val="24"/>
          <w:lang w:val="en-US" w:eastAsia="zh-CN"/>
        </w:rPr>
        <w:t>5</w:t>
      </w:r>
      <w:r>
        <w:rPr>
          <w:rFonts w:ascii="Times New Roman" w:hAnsi="Times New Roman" w:cs="Times New Roman"/>
          <w:color w:val="000000"/>
          <w:sz w:val="24"/>
        </w:rPr>
        <w:t>）</w:t>
      </w:r>
      <w:bookmarkStart w:id="124" w:name="_Hlk74832291"/>
      <w:r>
        <w:rPr>
          <w:rFonts w:ascii="Times New Roman" w:hAnsi="Times New Roman" w:cs="Times New Roman"/>
          <w:color w:val="000000"/>
          <w:sz w:val="24"/>
        </w:rPr>
        <w:t>固废结论</w:t>
      </w:r>
      <w:r>
        <w:rPr>
          <w:rFonts w:hint="eastAsia" w:ascii="Times New Roman" w:hAnsi="Times New Roman" w:cs="Times New Roman"/>
          <w:color w:val="000000"/>
          <w:sz w:val="24"/>
        </w:rPr>
        <w:t>：</w:t>
      </w:r>
      <w:r>
        <w:rPr>
          <w:rFonts w:hint="eastAsia" w:ascii="Times New Roman" w:hAnsi="Times New Roman" w:cs="Times New Roman"/>
          <w:color w:val="000000"/>
          <w:sz w:val="24"/>
          <w:lang w:eastAsia="zh-CN"/>
        </w:rPr>
        <w:t>危险废物（漆渣、危险废包装桶、废润滑油、废油桶、废活性炭、废过滤棉、废催化剂、废抹布）收集后暂存至危废仓库内，委托永康供联三曜环保技术服务有限公司进行处置；一般固废（金属边角料、一般废包装物、废塑粉、废滤芯）收集后出售给回收公司综合利用；生活垃圾由当地环卫部门统一清运处理。</w:t>
      </w:r>
    </w:p>
    <w:bookmarkEnd w:id="124"/>
    <w:p>
      <w:pPr>
        <w:spacing w:line="360" w:lineRule="auto"/>
        <w:ind w:firstLine="480" w:firstLineChars="200"/>
        <w:rPr>
          <w:rFonts w:hint="eastAsia" w:ascii="Times New Roman" w:hAnsi="Times New Roman" w:cs="Times New Roman" w:eastAsiaTheme="minorEastAsia"/>
          <w:sz w:val="24"/>
          <w:lang w:eastAsia="zh-CN"/>
        </w:rPr>
      </w:pPr>
      <w:r>
        <w:rPr>
          <w:rFonts w:ascii="Times New Roman" w:hAnsi="Times New Roman" w:cs="Times New Roman"/>
          <w:sz w:val="24"/>
        </w:rPr>
        <w:t>（6）</w:t>
      </w:r>
      <w:bookmarkStart w:id="125" w:name="_Hlk12191863"/>
      <w:r>
        <w:rPr>
          <w:rFonts w:hint="eastAsia" w:ascii="Times New Roman" w:hAnsi="Times New Roman" w:eastAsia="宋体" w:cs="Times New Roman"/>
          <w:color w:val="000000" w:themeColor="text1"/>
          <w:sz w:val="24"/>
          <w:szCs w:val="24"/>
          <w14:textFill>
            <w14:solidFill>
              <w14:schemeClr w14:val="tx1"/>
            </w14:solidFill>
          </w14:textFill>
        </w:rPr>
        <w:t>总量核算</w:t>
      </w:r>
      <w:r>
        <w:rPr>
          <w:rFonts w:ascii="Times New Roman" w:hAnsi="Times New Roman" w:eastAsia="宋体" w:cs="Times New Roman"/>
          <w:color w:val="000000" w:themeColor="text1"/>
          <w:sz w:val="24"/>
          <w:szCs w:val="24"/>
          <w14:textFill>
            <w14:solidFill>
              <w14:schemeClr w14:val="tx1"/>
            </w14:solidFill>
          </w14:textFill>
        </w:rPr>
        <w:t>结论</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kern w:val="0"/>
          <w:sz w:val="24"/>
          <w:szCs w:val="24"/>
        </w:rPr>
        <w:t>本项目</w:t>
      </w:r>
      <w:r>
        <w:rPr>
          <w:rFonts w:hint="eastAsia" w:ascii="Times New Roman" w:hAnsi="Times New Roman" w:cs="Times New Roman"/>
          <w:sz w:val="24"/>
          <w:szCs w:val="24"/>
        </w:rPr>
        <w:t>污染物排放量分别为，</w:t>
      </w:r>
      <w:r>
        <w:rPr>
          <w:rFonts w:hint="eastAsia" w:ascii="Times New Roman" w:hAnsi="Times New Roman" w:eastAsia="宋体" w:cs="Times New Roman"/>
          <w:sz w:val="24"/>
          <w:szCs w:val="24"/>
        </w:rPr>
        <w:t>CODcr</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0.</w:t>
      </w:r>
      <w:r>
        <w:rPr>
          <w:rFonts w:hint="eastAsia" w:ascii="Times New Roman" w:hAnsi="Times New Roman" w:eastAsia="宋体" w:cs="Times New Roman"/>
          <w:sz w:val="24"/>
          <w:szCs w:val="24"/>
          <w:lang w:val="en-US" w:eastAsia="zh-CN"/>
        </w:rPr>
        <w:t>022</w:t>
      </w:r>
      <w:r>
        <w:rPr>
          <w:rFonts w:hint="eastAsia" w:ascii="Times New Roman" w:hAnsi="Times New Roman" w:eastAsia="宋体" w:cs="Times New Roman"/>
          <w:sz w:val="24"/>
          <w:szCs w:val="24"/>
        </w:rPr>
        <w:t>吨/年、氨氮</w:t>
      </w:r>
      <w:r>
        <w:rPr>
          <w:rFonts w:hint="eastAsia" w:ascii="Times New Roman" w:hAnsi="Times New Roman" w:eastAsia="宋体" w:cs="Times New Roman"/>
          <w:sz w:val="24"/>
          <w:szCs w:val="24"/>
          <w:lang w:eastAsia="zh-CN"/>
        </w:rPr>
        <w:t>0.00</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吨/年</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二氧化硫0.004</w:t>
      </w:r>
      <w:r>
        <w:rPr>
          <w:rFonts w:hint="eastAsia" w:ascii="Times New Roman" w:hAnsi="Times New Roman" w:eastAsia="宋体" w:cs="Times New Roman"/>
          <w:sz w:val="24"/>
          <w:szCs w:val="24"/>
        </w:rPr>
        <w:t>吨/年</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氮氧化物0.040</w:t>
      </w:r>
      <w:r>
        <w:rPr>
          <w:rFonts w:hint="eastAsia" w:ascii="Times New Roman" w:hAnsi="Times New Roman" w:eastAsia="宋体" w:cs="Times New Roman"/>
          <w:sz w:val="24"/>
          <w:szCs w:val="24"/>
        </w:rPr>
        <w:t>吨/年</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VOC</w:t>
      </w:r>
      <w:r>
        <w:rPr>
          <w:rFonts w:hint="eastAsia" w:ascii="Times New Roman" w:hAnsi="Times New Roman" w:eastAsia="宋体" w:cs="Times New Roman"/>
          <w:sz w:val="24"/>
          <w:szCs w:val="24"/>
          <w:highlight w:val="none"/>
          <w:vertAlign w:val="subscript"/>
          <w:lang w:val="en-US" w:eastAsia="zh-CN"/>
        </w:rPr>
        <w:t xml:space="preserve">S </w:t>
      </w:r>
      <w:r>
        <w:rPr>
          <w:rFonts w:hint="eastAsia" w:ascii="Times New Roman" w:hAnsi="Times New Roman" w:eastAsia="宋体" w:cs="Times New Roman"/>
          <w:sz w:val="24"/>
          <w:szCs w:val="24"/>
          <w:highlight w:val="none"/>
          <w:vertAlign w:val="baseline"/>
          <w:lang w:val="en-US" w:eastAsia="zh-CN"/>
        </w:rPr>
        <w:t>0.371</w:t>
      </w:r>
      <w:r>
        <w:rPr>
          <w:rFonts w:hint="eastAsia" w:ascii="Times New Roman" w:hAnsi="Times New Roman" w:eastAsia="宋体" w:cs="Times New Roman"/>
          <w:sz w:val="24"/>
          <w:szCs w:val="24"/>
        </w:rPr>
        <w:t>吨/年，符合</w:t>
      </w:r>
      <w:r>
        <w:rPr>
          <w:rFonts w:hint="eastAsia" w:ascii="Times New Roman" w:hAnsi="Times New Roman" w:eastAsia="宋体" w:cs="Times New Roman"/>
          <w:sz w:val="24"/>
          <w:szCs w:val="24"/>
          <w:lang w:val="en-US" w:eastAsia="zh-CN"/>
        </w:rPr>
        <w:t>环评批复</w:t>
      </w:r>
      <w:r>
        <w:rPr>
          <w:rFonts w:hint="eastAsia" w:ascii="Times New Roman" w:hAnsi="Times New Roman" w:eastAsia="宋体" w:cs="Times New Roman"/>
          <w:sz w:val="24"/>
          <w:szCs w:val="24"/>
        </w:rPr>
        <w:t>中主要污染物排放总量控制指标“CODcr</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eastAsia="zh-CN"/>
        </w:rPr>
        <w:t>0.0</w:t>
      </w:r>
      <w:r>
        <w:rPr>
          <w:rFonts w:hint="eastAsia" w:ascii="Times New Roman" w:hAnsi="Times New Roman" w:eastAsia="宋体" w:cs="Times New Roman"/>
          <w:sz w:val="24"/>
          <w:szCs w:val="24"/>
          <w:lang w:val="en-US" w:eastAsia="zh-CN"/>
        </w:rPr>
        <w:t>23</w:t>
      </w:r>
      <w:r>
        <w:rPr>
          <w:rFonts w:hint="eastAsia" w:ascii="Times New Roman" w:hAnsi="Times New Roman" w:eastAsia="宋体" w:cs="Times New Roman"/>
          <w:sz w:val="24"/>
          <w:szCs w:val="24"/>
        </w:rPr>
        <w:t>吨/年、氨氮</w:t>
      </w:r>
      <w:r>
        <w:rPr>
          <w:rFonts w:hint="eastAsia" w:ascii="Times New Roman" w:hAnsi="Times New Roman" w:eastAsia="宋体" w:cs="Times New Roman"/>
          <w:sz w:val="24"/>
          <w:szCs w:val="24"/>
          <w:lang w:eastAsia="zh-CN"/>
        </w:rPr>
        <w:t>0.002</w:t>
      </w:r>
      <w:r>
        <w:rPr>
          <w:rFonts w:hint="eastAsia" w:ascii="Times New Roman" w:hAnsi="Times New Roman" w:eastAsia="宋体" w:cs="Times New Roman"/>
          <w:sz w:val="24"/>
          <w:szCs w:val="24"/>
        </w:rPr>
        <w:t>吨/年</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二氧化硫0.020</w:t>
      </w:r>
      <w:r>
        <w:rPr>
          <w:rFonts w:hint="eastAsia" w:ascii="Times New Roman" w:hAnsi="Times New Roman" w:eastAsia="宋体" w:cs="Times New Roman"/>
          <w:sz w:val="24"/>
          <w:szCs w:val="24"/>
          <w:highlight w:val="none"/>
        </w:rPr>
        <w:t>吨/年</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氮氧化物0.187</w:t>
      </w:r>
      <w:r>
        <w:rPr>
          <w:rFonts w:hint="eastAsia" w:ascii="Times New Roman" w:hAnsi="Times New Roman" w:eastAsia="宋体" w:cs="Times New Roman"/>
          <w:sz w:val="24"/>
          <w:szCs w:val="24"/>
          <w:highlight w:val="none"/>
        </w:rPr>
        <w:t>吨/年</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VOC</w:t>
      </w:r>
      <w:r>
        <w:rPr>
          <w:rFonts w:hint="eastAsia" w:ascii="Times New Roman" w:hAnsi="Times New Roman" w:eastAsia="宋体" w:cs="Times New Roman"/>
          <w:sz w:val="24"/>
          <w:szCs w:val="24"/>
          <w:highlight w:val="none"/>
          <w:vertAlign w:val="subscript"/>
          <w:lang w:val="en-US" w:eastAsia="zh-CN"/>
        </w:rPr>
        <w:t xml:space="preserve">S </w:t>
      </w:r>
      <w:r>
        <w:rPr>
          <w:rFonts w:hint="eastAsia" w:ascii="Times New Roman" w:hAnsi="Times New Roman" w:eastAsia="宋体" w:cs="Times New Roman"/>
          <w:sz w:val="24"/>
          <w:szCs w:val="24"/>
          <w:highlight w:val="none"/>
          <w:vertAlign w:val="baseline"/>
          <w:lang w:val="en-US" w:eastAsia="zh-CN"/>
        </w:rPr>
        <w:t>0.415</w:t>
      </w:r>
      <w:r>
        <w:rPr>
          <w:rFonts w:hint="eastAsia" w:ascii="Times New Roman" w:hAnsi="Times New Roman" w:eastAsia="宋体" w:cs="Times New Roman"/>
          <w:sz w:val="24"/>
          <w:szCs w:val="24"/>
        </w:rPr>
        <w:t>吨/年”的总量控制要求</w:t>
      </w:r>
      <w:bookmarkEnd w:id="125"/>
      <w:r>
        <w:rPr>
          <w:rFonts w:hint="eastAsia" w:ascii="Times New Roman" w:hAnsi="Times New Roman" w:cs="Times New Roman"/>
          <w:sz w:val="24"/>
          <w:lang w:eastAsia="zh-CN"/>
        </w:rPr>
        <w:t>。</w:t>
      </w:r>
    </w:p>
    <w:bookmarkEnd w:id="122"/>
    <w:p>
      <w:pPr>
        <w:pStyle w:val="5"/>
        <w:rPr>
          <w:rFonts w:eastAsia="宋体"/>
          <w:kern w:val="22"/>
        </w:rPr>
      </w:pPr>
      <w:bookmarkStart w:id="126" w:name="_Toc7854"/>
      <w:r>
        <w:rPr>
          <w:rFonts w:hint="eastAsia" w:eastAsia="宋体"/>
          <w:kern w:val="22"/>
        </w:rPr>
        <w:t>10.</w:t>
      </w:r>
      <w:r>
        <w:rPr>
          <w:rFonts w:hint="eastAsia" w:eastAsia="宋体"/>
          <w:kern w:val="22"/>
          <w:lang w:val="en-US" w:eastAsia="zh-CN"/>
        </w:rPr>
        <w:t>2</w:t>
      </w:r>
      <w:r>
        <w:rPr>
          <w:rFonts w:eastAsia="宋体"/>
          <w:kern w:val="22"/>
        </w:rPr>
        <w:t>建议</w:t>
      </w:r>
      <w:bookmarkEnd w:id="126"/>
    </w:p>
    <w:p>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1</w:t>
      </w:r>
      <w:r>
        <w:rPr>
          <w:rFonts w:hint="eastAsia" w:ascii="Times New Roman"/>
          <w:kern w:val="22"/>
          <w:sz w:val="24"/>
          <w:szCs w:val="24"/>
        </w:rPr>
        <w:t>）公司实际生产规模已达到环保批复规模，应严格按照环评批复内容实施，不得突破环评批复规模。</w:t>
      </w:r>
    </w:p>
    <w:p>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2</w:t>
      </w:r>
      <w:r>
        <w:rPr>
          <w:rFonts w:hint="eastAsia" w:ascii="Times New Roman"/>
          <w:kern w:val="22"/>
          <w:sz w:val="24"/>
          <w:szCs w:val="24"/>
        </w:rPr>
        <w:t>）</w:t>
      </w:r>
      <w:r>
        <w:rPr>
          <w:rFonts w:hint="eastAsia" w:ascii="Times New Roman" w:hAnsi="Times New Roman" w:eastAsia="宋体" w:cs="Times New Roman"/>
          <w:sz w:val="24"/>
          <w:lang w:val="en-US" w:eastAsia="zh-CN"/>
        </w:rPr>
        <w:t>应当按照国家有关规定和监测规范，定期委托具资质的监测机构对其排放的污染物进行监测，并依法公开监测结果</w:t>
      </w:r>
      <w:r>
        <w:rPr>
          <w:rFonts w:hint="eastAsia" w:ascii="Times New Roman"/>
          <w:kern w:val="22"/>
          <w:sz w:val="24"/>
          <w:szCs w:val="24"/>
        </w:rPr>
        <w:t>。</w:t>
      </w:r>
    </w:p>
    <w:p>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3</w:t>
      </w:r>
      <w:r>
        <w:rPr>
          <w:rFonts w:hint="eastAsia" w:ascii="Times New Roman"/>
          <w:kern w:val="22"/>
          <w:sz w:val="24"/>
          <w:szCs w:val="24"/>
        </w:rPr>
        <w:t>）</w:t>
      </w:r>
      <w:r>
        <w:rPr>
          <w:rFonts w:hint="default" w:ascii="Times New Roman" w:hAnsi="Times New Roman" w:eastAsia="宋体" w:cs="Times New Roman"/>
          <w:sz w:val="24"/>
          <w:lang w:val="en-US" w:eastAsia="zh-CN"/>
        </w:rPr>
        <w:t>健全环保管理体制，切实做好治理设施的维护保养工作，完善操作台帐，使治理设施保持正常运转</w:t>
      </w:r>
      <w:r>
        <w:rPr>
          <w:rFonts w:hint="eastAsia" w:ascii="Times New Roman"/>
          <w:kern w:val="22"/>
          <w:sz w:val="24"/>
          <w:szCs w:val="24"/>
        </w:rPr>
        <w:t>。</w:t>
      </w:r>
    </w:p>
    <w:p>
      <w:pPr>
        <w:spacing w:line="360" w:lineRule="auto"/>
        <w:ind w:firstLine="480" w:firstLineChars="200"/>
        <w:rPr>
          <w:rFonts w:hint="eastAsia" w:ascii="Times New Roman"/>
          <w:kern w:val="22"/>
          <w:sz w:val="24"/>
          <w:szCs w:val="24"/>
          <w:lang w:val="en-US" w:eastAsia="zh-CN"/>
        </w:rPr>
      </w:pPr>
      <w:r>
        <w:rPr>
          <w:rFonts w:hint="eastAsia" w:ascii="Times New Roman"/>
          <w:kern w:val="22"/>
          <w:sz w:val="24"/>
          <w:szCs w:val="24"/>
        </w:rPr>
        <w:t>（4）</w:t>
      </w:r>
      <w:r>
        <w:rPr>
          <w:rFonts w:hint="eastAsia" w:ascii="Times New Roman"/>
          <w:kern w:val="22"/>
          <w:sz w:val="24"/>
          <w:szCs w:val="24"/>
          <w:lang w:eastAsia="zh-CN"/>
        </w:rPr>
        <w:t>落实公司制定的各有关环保管理制度，增强员工的环保意识；加强安全生产管理，避免环境污染事故发生</w:t>
      </w:r>
      <w:r>
        <w:rPr>
          <w:rFonts w:hint="eastAsia" w:ascii="Times New Roman"/>
          <w:kern w:val="22"/>
          <w:sz w:val="24"/>
          <w:szCs w:val="24"/>
          <w:lang w:val="en-US" w:eastAsia="zh-CN"/>
        </w:rPr>
        <w:t>.</w:t>
      </w:r>
    </w:p>
    <w:p>
      <w:pPr>
        <w:spacing w:line="360" w:lineRule="auto"/>
        <w:ind w:firstLine="480" w:firstLineChars="200"/>
        <w:rPr>
          <w:rFonts w:hint="eastAsia" w:ascii="Times New Roman"/>
          <w:kern w:val="22"/>
          <w:sz w:val="24"/>
          <w:szCs w:val="24"/>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ascii="Times New Roman"/>
          <w:kern w:val="22"/>
          <w:sz w:val="24"/>
          <w:szCs w:val="24"/>
          <w:lang w:eastAsia="zh-CN"/>
        </w:rPr>
        <w:t>（</w:t>
      </w:r>
      <w:r>
        <w:rPr>
          <w:rFonts w:hint="eastAsia" w:ascii="Times New Roman"/>
          <w:kern w:val="22"/>
          <w:sz w:val="24"/>
          <w:szCs w:val="24"/>
          <w:lang w:val="en-US" w:eastAsia="zh-CN"/>
        </w:rPr>
        <w:t>5</w:t>
      </w:r>
      <w:r>
        <w:rPr>
          <w:rFonts w:hint="eastAsia" w:ascii="Times New Roman"/>
          <w:kern w:val="22"/>
          <w:sz w:val="24"/>
          <w:szCs w:val="24"/>
          <w:lang w:eastAsia="zh-CN"/>
        </w:rPr>
        <w:t>）</w:t>
      </w:r>
      <w:r>
        <w:rPr>
          <w:rFonts w:hint="eastAsia" w:ascii="Times New Roman"/>
          <w:kern w:val="22"/>
          <w:sz w:val="24"/>
          <w:szCs w:val="24"/>
        </w:rPr>
        <w:t>完善固废、危废管理制度，做好收集、处置台账</w:t>
      </w:r>
      <w:r>
        <w:rPr>
          <w:rFonts w:hint="eastAsia" w:ascii="Times New Roman"/>
          <w:kern w:val="22"/>
          <w:sz w:val="24"/>
          <w:szCs w:val="24"/>
          <w:lang w:eastAsia="zh-CN"/>
        </w:rPr>
        <w:t>。</w:t>
      </w:r>
    </w:p>
    <w:p>
      <w:pPr>
        <w:pStyle w:val="4"/>
        <w:adjustRightInd w:val="0"/>
        <w:snapToGrid w:val="0"/>
        <w:spacing w:before="0" w:after="0" w:line="240" w:lineRule="auto"/>
        <w:rPr>
          <w:rFonts w:eastAsiaTheme="majorEastAsia" w:cstheme="majorBidi"/>
          <w:bCs w:val="0"/>
          <w:sz w:val="32"/>
          <w:szCs w:val="32"/>
        </w:rPr>
      </w:pPr>
      <w:bookmarkStart w:id="127" w:name="_Toc32139"/>
      <w:r>
        <w:rPr>
          <w:rFonts w:hint="eastAsia" w:eastAsiaTheme="majorEastAsia" w:cstheme="majorBidi"/>
          <w:bCs w:val="0"/>
          <w:sz w:val="32"/>
          <w:szCs w:val="32"/>
        </w:rPr>
        <w:t>附件1</w:t>
      </w:r>
      <w:r>
        <w:rPr>
          <w:rFonts w:eastAsiaTheme="majorEastAsia" w:cstheme="majorBidi"/>
          <w:bCs w:val="0"/>
          <w:sz w:val="32"/>
          <w:szCs w:val="32"/>
        </w:rPr>
        <w:t xml:space="preserve"> </w:t>
      </w:r>
      <w:r>
        <w:rPr>
          <w:rFonts w:hint="eastAsia" w:eastAsiaTheme="majorEastAsia" w:cstheme="majorBidi"/>
          <w:bCs w:val="0"/>
          <w:sz w:val="32"/>
          <w:szCs w:val="32"/>
        </w:rPr>
        <w:t>建设项目环境保护“三同时”竣工验收报告表</w:t>
      </w:r>
      <w:bookmarkEnd w:id="127"/>
    </w:p>
    <w:p>
      <w:pPr>
        <w:jc w:val="distribute"/>
        <w:rPr>
          <w:rFonts w:ascii="宋体" w:hAnsi="宋体" w:eastAsia="宋体"/>
          <w:b/>
          <w:color w:val="000000"/>
          <w:sz w:val="16"/>
          <w:szCs w:val="21"/>
        </w:rPr>
      </w:pPr>
      <w:bookmarkStart w:id="128" w:name="_Hlk531809148"/>
      <w:r>
        <w:rPr>
          <w:rFonts w:ascii="宋体" w:hAnsi="宋体" w:eastAsia="宋体"/>
          <w:b/>
          <w:color w:val="000000"/>
          <w:sz w:val="16"/>
          <w:szCs w:val="21"/>
        </w:rPr>
        <w:t>填表单位（盖章）：</w:t>
      </w:r>
      <w:r>
        <w:rPr>
          <w:rFonts w:hint="eastAsia" w:ascii="宋体" w:hAnsi="宋体" w:eastAsia="宋体"/>
          <w:bCs/>
          <w:color w:val="000000"/>
          <w:sz w:val="16"/>
          <w:szCs w:val="21"/>
          <w:lang w:eastAsia="zh-CN"/>
        </w:rPr>
        <w:t>浙江历山红工贸有限公司</w:t>
      </w:r>
      <w:r>
        <w:rPr>
          <w:rFonts w:ascii="宋体" w:hAnsi="宋体" w:eastAsia="宋体"/>
          <w:bCs/>
          <w:color w:val="000000"/>
          <w:sz w:val="16"/>
          <w:szCs w:val="21"/>
        </w:rPr>
        <w:t xml:space="preserve"> </w:t>
      </w:r>
      <w:r>
        <w:rPr>
          <w:rFonts w:ascii="宋体" w:hAnsi="宋体" w:eastAsia="宋体"/>
          <w:b/>
          <w:color w:val="000000"/>
          <w:sz w:val="16"/>
          <w:szCs w:val="21"/>
        </w:rPr>
        <w:t xml:space="preserve">                 填表人（签字）：                              项目经办人（签字）：</w:t>
      </w:r>
    </w:p>
    <w:bookmarkEnd w:id="128"/>
    <w:tbl>
      <w:tblPr>
        <w:tblStyle w:val="31"/>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446"/>
        <w:gridCol w:w="1134"/>
        <w:gridCol w:w="851"/>
        <w:gridCol w:w="549"/>
        <w:gridCol w:w="443"/>
        <w:gridCol w:w="1282"/>
        <w:gridCol w:w="1018"/>
        <w:gridCol w:w="1952"/>
        <w:gridCol w:w="839"/>
        <w:gridCol w:w="862"/>
        <w:gridCol w:w="382"/>
        <w:gridCol w:w="752"/>
        <w:gridCol w:w="350"/>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pPr>
              <w:ind w:left="113" w:right="113"/>
              <w:jc w:val="center"/>
              <w:rPr>
                <w:b/>
                <w:color w:val="auto"/>
                <w:sz w:val="15"/>
                <w:szCs w:val="15"/>
              </w:rPr>
            </w:pPr>
            <w:r>
              <w:rPr>
                <w:b/>
                <w:color w:val="auto"/>
                <w:sz w:val="15"/>
                <w:szCs w:val="15"/>
              </w:rPr>
              <w:t>建设项目</w:t>
            </w:r>
          </w:p>
        </w:tc>
        <w:tc>
          <w:tcPr>
            <w:tcW w:w="1964" w:type="dxa"/>
            <w:gridSpan w:val="3"/>
            <w:tcMar>
              <w:left w:w="57" w:type="dxa"/>
              <w:right w:w="57" w:type="dxa"/>
            </w:tcMar>
            <w:vAlign w:val="center"/>
          </w:tcPr>
          <w:p>
            <w:pP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项目名称</w:t>
            </w:r>
          </w:p>
        </w:tc>
        <w:tc>
          <w:tcPr>
            <w:tcW w:w="5251" w:type="dxa"/>
            <w:gridSpan w:val="6"/>
            <w:tcMar>
              <w:left w:w="57" w:type="dxa"/>
              <w:right w:w="57" w:type="dxa"/>
            </w:tcMar>
            <w:vAlign w:val="center"/>
          </w:tcPr>
          <w:p>
            <w:pPr>
              <w:spacing w:line="240" w:lineRule="exact"/>
              <w:jc w:val="left"/>
              <w:rPr>
                <w:rFonts w:hint="eastAsia" w:ascii="Times New Roman" w:hAnsi="Times New Roman" w:eastAsia="宋体" w:cs="Times New Roman"/>
                <w:color w:val="auto"/>
                <w:sz w:val="13"/>
                <w:szCs w:val="13"/>
                <w:lang w:eastAsia="zh-CN"/>
              </w:rPr>
            </w:pPr>
            <w:r>
              <w:rPr>
                <w:rFonts w:hint="eastAsia" w:ascii="Times New Roman" w:hAnsi="Times New Roman" w:eastAsia="宋体" w:cs="Times New Roman"/>
                <w:bCs/>
                <w:color w:val="auto"/>
                <w:sz w:val="13"/>
                <w:szCs w:val="13"/>
                <w:lang w:eastAsia="zh-CN"/>
              </w:rPr>
              <w:t>浙江历山红工贸有限公司年产8000樘非标门生产线技改项目</w:t>
            </w:r>
          </w:p>
        </w:tc>
        <w:tc>
          <w:tcPr>
            <w:tcW w:w="2300" w:type="dxa"/>
            <w:gridSpan w:val="2"/>
            <w:tcMar>
              <w:left w:w="57" w:type="dxa"/>
              <w:right w:w="57" w:type="dxa"/>
            </w:tcMar>
            <w:vAlign w:val="center"/>
          </w:tcPr>
          <w:p>
            <w:pPr>
              <w:tabs>
                <w:tab w:val="center" w:pos="1093"/>
              </w:tabs>
              <w:rPr>
                <w:rFonts w:hint="eastAsia" w:ascii="Times New Roman" w:hAnsi="Times New Roman" w:eastAsia="宋体" w:cs="Times New Roman"/>
                <w:b/>
                <w:color w:val="auto"/>
                <w:sz w:val="15"/>
                <w:szCs w:val="15"/>
                <w:lang w:eastAsia="zh-CN"/>
              </w:rPr>
            </w:pPr>
            <w:r>
              <w:rPr>
                <w:rFonts w:ascii="Times New Roman" w:hAnsi="Times New Roman" w:eastAsia="宋体" w:cs="Times New Roman"/>
                <w:b/>
                <w:color w:val="auto"/>
                <w:sz w:val="15"/>
                <w:szCs w:val="15"/>
              </w:rPr>
              <w:t>项目代码</w:t>
            </w:r>
            <w:r>
              <w:rPr>
                <w:rFonts w:hint="eastAsia" w:ascii="Times New Roman" w:hAnsi="Times New Roman" w:eastAsia="宋体" w:cs="Times New Roman"/>
                <w:b/>
                <w:color w:val="auto"/>
                <w:sz w:val="15"/>
                <w:szCs w:val="15"/>
                <w:lang w:eastAsia="zh-CN"/>
              </w:rPr>
              <w:tab/>
            </w:r>
          </w:p>
        </w:tc>
        <w:tc>
          <w:tcPr>
            <w:tcW w:w="1952" w:type="dxa"/>
            <w:tcMar>
              <w:left w:w="57" w:type="dxa"/>
              <w:right w:w="57" w:type="dxa"/>
            </w:tcMar>
            <w:vAlign w:val="center"/>
          </w:tcPr>
          <w:p>
            <w:pPr>
              <w:snapToGrid w:val="0"/>
              <w:rPr>
                <w:rFonts w:hint="eastAsia" w:ascii="Times New Roman" w:hAnsi="Times New Roman" w:eastAsia="宋体" w:cs="Times New Roman"/>
                <w:color w:val="auto"/>
                <w:kern w:val="0"/>
                <w:sz w:val="13"/>
                <w:lang w:eastAsia="zh-CN"/>
              </w:rPr>
            </w:pPr>
            <w:r>
              <w:rPr>
                <w:rFonts w:hint="eastAsia" w:ascii="Times New Roman" w:hAnsi="Times New Roman" w:eastAsia="宋体" w:cs="Times New Roman"/>
                <w:color w:val="auto"/>
                <w:kern w:val="0"/>
                <w:sz w:val="13"/>
                <w:lang w:eastAsia="zh-CN"/>
              </w:rPr>
              <w:t>2301-330784-07-02-545484</w:t>
            </w:r>
          </w:p>
        </w:tc>
        <w:tc>
          <w:tcPr>
            <w:tcW w:w="1701" w:type="dxa"/>
            <w:gridSpan w:val="2"/>
            <w:tcMar>
              <w:left w:w="57" w:type="dxa"/>
              <w:right w:w="57" w:type="dxa"/>
            </w:tcMar>
            <w:vAlign w:val="cente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建设地点</w:t>
            </w:r>
          </w:p>
        </w:tc>
        <w:tc>
          <w:tcPr>
            <w:tcW w:w="2278" w:type="dxa"/>
            <w:gridSpan w:val="4"/>
            <w:tcMar>
              <w:left w:w="57" w:type="dxa"/>
              <w:right w:w="57" w:type="dxa"/>
            </w:tcMar>
            <w:vAlign w:val="center"/>
          </w:tcPr>
          <w:p>
            <w:pPr>
              <w:adjustRightInd w:val="0"/>
              <w:snapToGrid w:val="0"/>
              <w:rPr>
                <w:rFonts w:hint="eastAsia" w:ascii="Times New Roman" w:hAnsi="Times New Roman" w:eastAsia="宋体" w:cs="Times New Roman"/>
                <w:color w:val="auto"/>
                <w:sz w:val="15"/>
                <w:szCs w:val="15"/>
                <w:lang w:eastAsia="zh-CN"/>
              </w:rPr>
            </w:pPr>
            <w:r>
              <w:rPr>
                <w:rFonts w:hint="eastAsia" w:ascii="Times New Roman" w:hAnsi="Times New Roman" w:eastAsia="宋体" w:cs="Times New Roman"/>
                <w:color w:val="auto"/>
                <w:kern w:val="0"/>
                <w:sz w:val="13"/>
                <w:lang w:eastAsia="zh-CN"/>
              </w:rPr>
              <w:t>浙江省金华市永康市西城街道西周路18号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auto"/>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行业类别（分类管理名录）</w:t>
            </w:r>
          </w:p>
        </w:tc>
        <w:tc>
          <w:tcPr>
            <w:tcW w:w="5251" w:type="dxa"/>
            <w:gridSpan w:val="6"/>
            <w:tcMar>
              <w:left w:w="57" w:type="dxa"/>
              <w:right w:w="57" w:type="dxa"/>
            </w:tcMar>
            <w:vAlign w:val="center"/>
          </w:tcPr>
          <w:p>
            <w:pPr>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rPr>
              <w:t>C3312金属门窗制造</w:t>
            </w:r>
          </w:p>
        </w:tc>
        <w:tc>
          <w:tcPr>
            <w:tcW w:w="2300" w:type="dxa"/>
            <w:gridSpan w:val="2"/>
            <w:tcMar>
              <w:left w:w="57" w:type="dxa"/>
              <w:right w:w="57" w:type="dxa"/>
            </w:tcMar>
            <w:vAlign w:val="center"/>
          </w:tcPr>
          <w:p>
            <w:pP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建设性质</w:t>
            </w:r>
          </w:p>
        </w:tc>
        <w:tc>
          <w:tcPr>
            <w:tcW w:w="3653" w:type="dxa"/>
            <w:gridSpan w:val="3"/>
            <w:tcMar>
              <w:left w:w="57" w:type="dxa"/>
              <w:right w:w="57" w:type="dxa"/>
            </w:tcMar>
            <w:vAlign w:val="center"/>
          </w:tcPr>
          <w:p>
            <w:pPr>
              <w:jc w:val="both"/>
              <w:rPr>
                <w:rFonts w:hint="eastAsia" w:ascii="Times New Roman" w:hAnsi="Times New Roman" w:eastAsia="宋体" w:cs="Times New Roman"/>
                <w:color w:val="auto"/>
                <w:sz w:val="15"/>
                <w:szCs w:val="15"/>
                <w:lang w:eastAsia="zh-CN"/>
              </w:rPr>
            </w:pPr>
            <w:r>
              <w:rPr>
                <w:rFonts w:ascii="Times New Roman" w:hAnsi="Times New Roman" w:eastAsia="宋体" w:cs="Times New Roman"/>
                <w:b/>
                <w:color w:val="auto"/>
                <w:sz w:val="15"/>
                <w:szCs w:val="15"/>
                <w:highlight w:val="none"/>
              </w:rPr>
              <w:t xml:space="preserve"> </w:t>
            </w:r>
            <w:r>
              <w:rPr>
                <w:rFonts w:ascii="Times New Roman" w:hAnsi="Times New Roman" w:eastAsia="宋体" w:cs="Times New Roman"/>
                <w:b/>
                <w:color w:val="auto"/>
                <w:sz w:val="15"/>
                <w:szCs w:val="15"/>
                <w:highlight w:val="none"/>
              </w:rPr>
              <w:sym w:font="Wingdings 2" w:char="00A3"/>
            </w:r>
            <w:r>
              <w:rPr>
                <w:rFonts w:ascii="Times New Roman" w:hAnsi="Times New Roman" w:eastAsia="宋体" w:cs="Times New Roman"/>
                <w:b/>
                <w:color w:val="auto"/>
                <w:sz w:val="15"/>
                <w:szCs w:val="15"/>
                <w:highlight w:val="none"/>
              </w:rPr>
              <w:t xml:space="preserve">新建  </w:t>
            </w:r>
            <w:r>
              <w:rPr>
                <w:rFonts w:ascii="Times New Roman" w:hAnsi="Times New Roman" w:eastAsia="宋体" w:cs="Times New Roman"/>
                <w:b/>
                <w:color w:val="auto"/>
                <w:sz w:val="15"/>
                <w:szCs w:val="15"/>
                <w:highlight w:val="none"/>
              </w:rPr>
              <w:sym w:font="Wingdings 2" w:char="00A3"/>
            </w:r>
            <w:r>
              <w:rPr>
                <w:rFonts w:hint="eastAsia" w:ascii="Times New Roman" w:hAnsi="Times New Roman" w:eastAsia="宋体" w:cs="Times New Roman"/>
                <w:b/>
                <w:color w:val="auto"/>
                <w:sz w:val="15"/>
                <w:szCs w:val="15"/>
                <w:highlight w:val="none"/>
                <w:lang w:val="en-US" w:eastAsia="zh-CN"/>
              </w:rPr>
              <w:t>改</w:t>
            </w:r>
            <w:r>
              <w:rPr>
                <w:rFonts w:ascii="Times New Roman" w:hAnsi="Times New Roman" w:eastAsia="宋体" w:cs="Times New Roman"/>
                <w:b/>
                <w:color w:val="auto"/>
                <w:sz w:val="15"/>
                <w:szCs w:val="15"/>
                <w:highlight w:val="none"/>
              </w:rPr>
              <w:t xml:space="preserve">建  </w:t>
            </w:r>
            <w:r>
              <w:rPr>
                <w:rFonts w:hint="eastAsia" w:ascii="Times New Roman" w:hAnsi="Times New Roman" w:eastAsia="宋体" w:cs="Times New Roman"/>
                <w:b/>
                <w:color w:val="auto"/>
                <w:sz w:val="15"/>
                <w:szCs w:val="15"/>
                <w:highlight w:val="none"/>
                <w:lang w:eastAsia="zh-CN"/>
              </w:rPr>
              <w:t>☑新建（迁建）</w:t>
            </w:r>
          </w:p>
        </w:tc>
        <w:tc>
          <w:tcPr>
            <w:tcW w:w="1134" w:type="dxa"/>
            <w:gridSpan w:val="2"/>
            <w:tcMar>
              <w:left w:w="57" w:type="dxa"/>
              <w:right w:w="57" w:type="dxa"/>
            </w:tcMar>
          </w:tcPr>
          <w:p>
            <w:pPr>
              <w:spacing w:line="240" w:lineRule="exact"/>
              <w:rPr>
                <w:rFonts w:cs="Times New Roman" w:asciiTheme="minorEastAsia" w:hAnsiTheme="minorEastAsia"/>
                <w:b/>
                <w:bCs/>
                <w:color w:val="auto"/>
                <w:sz w:val="15"/>
                <w:szCs w:val="15"/>
              </w:rPr>
            </w:pPr>
            <w:r>
              <w:rPr>
                <w:rFonts w:cs="Times New Roman" w:asciiTheme="minorEastAsia" w:hAnsiTheme="minorEastAsia"/>
                <w:b/>
                <w:bCs/>
                <w:color w:val="auto"/>
                <w:sz w:val="15"/>
                <w:szCs w:val="15"/>
              </w:rPr>
              <w:t>项目厂区中心经度/纬度</w:t>
            </w:r>
          </w:p>
        </w:tc>
        <w:tc>
          <w:tcPr>
            <w:tcW w:w="1144" w:type="dxa"/>
            <w:gridSpan w:val="2"/>
            <w:tcMar>
              <w:left w:w="57" w:type="dxa"/>
              <w:right w:w="57" w:type="dxa"/>
            </w:tcMar>
          </w:tcPr>
          <w:p>
            <w:pPr>
              <w:spacing w:line="240" w:lineRule="exact"/>
              <w:rPr>
                <w:rFonts w:hint="eastAsia" w:ascii="Times New Roman" w:hAnsi="Times New Roman" w:eastAsia="宋体" w:cs="Times New Roman"/>
                <w:color w:val="auto"/>
                <w:sz w:val="13"/>
                <w:szCs w:val="13"/>
                <w:lang w:eastAsia="zh-CN"/>
              </w:rPr>
            </w:pPr>
            <w:r>
              <w:rPr>
                <w:rFonts w:hint="eastAsia" w:ascii="Times New Roman" w:hAnsi="Times New Roman" w:eastAsia="宋体" w:cs="Times New Roman"/>
                <w:color w:val="auto"/>
                <w:sz w:val="13"/>
                <w:szCs w:val="13"/>
                <w:highlight w:val="none"/>
                <w:lang w:val="en-US" w:eastAsia="zh-CN"/>
              </w:rPr>
              <w:t>东经119.982485；北纬28.893504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auto"/>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设计生产能力</w:t>
            </w:r>
          </w:p>
        </w:tc>
        <w:tc>
          <w:tcPr>
            <w:tcW w:w="5251" w:type="dxa"/>
            <w:gridSpan w:val="6"/>
            <w:tcMar>
              <w:left w:w="57" w:type="dxa"/>
              <w:right w:w="57" w:type="dxa"/>
            </w:tcMar>
            <w:vAlign w:val="center"/>
          </w:tcPr>
          <w:p>
            <w:pPr>
              <w:rPr>
                <w:rFonts w:ascii="Times New Roman" w:hAnsi="Times New Roman" w:eastAsia="宋体" w:cs="Times New Roman"/>
                <w:color w:val="auto"/>
                <w:sz w:val="15"/>
                <w:szCs w:val="15"/>
              </w:rPr>
            </w:pPr>
            <w:r>
              <w:rPr>
                <w:rFonts w:hint="eastAsia" w:ascii="Times New Roman" w:hAnsi="Times New Roman" w:eastAsia="宋体" w:cs="Times New Roman"/>
                <w:bCs/>
                <w:color w:val="auto"/>
                <w:sz w:val="13"/>
                <w:szCs w:val="13"/>
                <w:lang w:eastAsia="zh-CN"/>
              </w:rPr>
              <w:t>年产8000樘非标门</w:t>
            </w:r>
          </w:p>
        </w:tc>
        <w:tc>
          <w:tcPr>
            <w:tcW w:w="2300" w:type="dxa"/>
            <w:gridSpan w:val="2"/>
            <w:tcMar>
              <w:left w:w="57" w:type="dxa"/>
              <w:right w:w="57" w:type="dxa"/>
            </w:tcMa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实际生产能力</w:t>
            </w:r>
          </w:p>
        </w:tc>
        <w:tc>
          <w:tcPr>
            <w:tcW w:w="1952" w:type="dxa"/>
            <w:tcMar>
              <w:left w:w="57" w:type="dxa"/>
              <w:right w:w="57" w:type="dxa"/>
            </w:tcMar>
            <w:vAlign w:val="center"/>
          </w:tcPr>
          <w:p>
            <w:pPr>
              <w:snapToGrid w:val="0"/>
              <w:rPr>
                <w:rFonts w:ascii="Times New Roman" w:hAnsi="Times New Roman" w:eastAsia="宋体" w:cs="Times New Roman"/>
                <w:b/>
                <w:color w:val="auto"/>
                <w:sz w:val="13"/>
                <w:szCs w:val="13"/>
              </w:rPr>
            </w:pPr>
            <w:r>
              <w:rPr>
                <w:rFonts w:hint="eastAsia" w:ascii="Times New Roman" w:hAnsi="Times New Roman" w:eastAsia="宋体" w:cs="Times New Roman"/>
                <w:bCs/>
                <w:color w:val="auto"/>
                <w:sz w:val="13"/>
                <w:szCs w:val="13"/>
                <w:lang w:eastAsia="zh-CN"/>
              </w:rPr>
              <w:t>年产8000樘非标门</w:t>
            </w:r>
          </w:p>
        </w:tc>
        <w:tc>
          <w:tcPr>
            <w:tcW w:w="1701" w:type="dxa"/>
            <w:gridSpan w:val="2"/>
            <w:tcMar>
              <w:left w:w="57" w:type="dxa"/>
              <w:right w:w="57" w:type="dxa"/>
            </w:tcMar>
            <w:vAlign w:val="center"/>
          </w:tcPr>
          <w:p>
            <w:pPr>
              <w:jc w:val="both"/>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环评单位</w:t>
            </w:r>
          </w:p>
        </w:tc>
        <w:tc>
          <w:tcPr>
            <w:tcW w:w="2278" w:type="dxa"/>
            <w:gridSpan w:val="4"/>
            <w:tcMar>
              <w:left w:w="57" w:type="dxa"/>
              <w:right w:w="57" w:type="dxa"/>
            </w:tcMar>
            <w:vAlign w:val="center"/>
          </w:tcPr>
          <w:p>
            <w:pPr>
              <w:snapToGrid w:val="0"/>
              <w:rPr>
                <w:rFonts w:hint="eastAsia" w:ascii="Times New Roman" w:hAnsi="Times New Roman" w:eastAsia="宋体" w:cs="Times New Roman"/>
                <w:bCs/>
                <w:color w:val="auto"/>
                <w:sz w:val="13"/>
                <w:szCs w:val="13"/>
                <w:lang w:eastAsia="zh-CN"/>
              </w:rPr>
            </w:pPr>
            <w:r>
              <w:rPr>
                <w:rFonts w:hint="eastAsia" w:ascii="Times New Roman" w:hAnsi="Times New Roman" w:eastAsia="宋体" w:cs="Times New Roman"/>
                <w:bCs/>
                <w:color w:val="auto"/>
                <w:sz w:val="13"/>
                <w:szCs w:val="13"/>
                <w:lang w:eastAsia="zh-CN"/>
              </w:rPr>
              <w:t>浙江凯峰慈欣环保科技有限责任公司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430" w:type="dxa"/>
            <w:vMerge w:val="continue"/>
            <w:tcMar>
              <w:left w:w="57" w:type="dxa"/>
              <w:right w:w="57" w:type="dxa"/>
            </w:tcMar>
            <w:vAlign w:val="center"/>
          </w:tcPr>
          <w:p>
            <w:pPr>
              <w:rPr>
                <w:color w:val="auto"/>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环评文件审批机关</w:t>
            </w:r>
          </w:p>
        </w:tc>
        <w:tc>
          <w:tcPr>
            <w:tcW w:w="5251" w:type="dxa"/>
            <w:gridSpan w:val="6"/>
            <w:tcMar>
              <w:left w:w="57" w:type="dxa"/>
              <w:right w:w="57" w:type="dxa"/>
            </w:tcMar>
          </w:tcPr>
          <w:p>
            <w:pPr>
              <w:jc w:val="left"/>
              <w:rPr>
                <w:rFonts w:hint="eastAsia" w:ascii="Times New Roman" w:hAnsi="Times New Roman" w:eastAsia="宋体" w:cs="Times New Roman"/>
                <w:bCs/>
                <w:color w:val="auto"/>
                <w:sz w:val="13"/>
                <w:szCs w:val="13"/>
                <w:lang w:eastAsia="zh-CN"/>
              </w:rPr>
            </w:pPr>
            <w:r>
              <w:rPr>
                <w:rFonts w:hint="eastAsia" w:ascii="Times New Roman" w:hAnsi="Times New Roman" w:eastAsia="宋体" w:cs="Times New Roman"/>
                <w:bCs/>
                <w:color w:val="auto"/>
                <w:sz w:val="13"/>
                <w:szCs w:val="13"/>
                <w:lang w:eastAsia="zh-CN"/>
              </w:rPr>
              <w:t>金华市生态环境局</w:t>
            </w:r>
          </w:p>
        </w:tc>
        <w:tc>
          <w:tcPr>
            <w:tcW w:w="2300" w:type="dxa"/>
            <w:gridSpan w:val="2"/>
            <w:tcMar>
              <w:left w:w="57" w:type="dxa"/>
              <w:right w:w="57" w:type="dxa"/>
            </w:tcMar>
            <w:vAlign w:val="center"/>
          </w:tcPr>
          <w:p>
            <w:pP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审批文号</w:t>
            </w:r>
          </w:p>
        </w:tc>
        <w:tc>
          <w:tcPr>
            <w:tcW w:w="1952" w:type="dxa"/>
            <w:tcMar>
              <w:left w:w="57" w:type="dxa"/>
              <w:right w:w="57" w:type="dxa"/>
            </w:tcMar>
            <w:vAlign w:val="center"/>
          </w:tcPr>
          <w:p>
            <w:pPr>
              <w:snapToGrid w:val="0"/>
              <w:rPr>
                <w:rFonts w:hint="eastAsia" w:ascii="Times New Roman" w:hAnsi="Times New Roman" w:eastAsia="宋体" w:cs="Times New Roman"/>
                <w:bCs/>
                <w:color w:val="auto"/>
                <w:sz w:val="13"/>
                <w:szCs w:val="13"/>
                <w:lang w:eastAsia="zh-CN"/>
              </w:rPr>
            </w:pPr>
            <w:r>
              <w:rPr>
                <w:rFonts w:hint="eastAsia" w:ascii="Times New Roman" w:hAnsi="Times New Roman" w:eastAsia="宋体" w:cs="Times New Roman"/>
                <w:bCs/>
                <w:color w:val="auto"/>
                <w:sz w:val="13"/>
                <w:szCs w:val="13"/>
                <w:lang w:eastAsia="zh-CN"/>
              </w:rPr>
              <w:t>金环建永【2023】39</w:t>
            </w:r>
          </w:p>
        </w:tc>
        <w:tc>
          <w:tcPr>
            <w:tcW w:w="1701" w:type="dxa"/>
            <w:gridSpan w:val="2"/>
            <w:tcMar>
              <w:left w:w="57" w:type="dxa"/>
              <w:right w:w="57" w:type="dxa"/>
            </w:tcMar>
            <w:vAlign w:val="center"/>
          </w:tcPr>
          <w:p>
            <w:pP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环评文件类型</w:t>
            </w:r>
          </w:p>
        </w:tc>
        <w:tc>
          <w:tcPr>
            <w:tcW w:w="2278" w:type="dxa"/>
            <w:gridSpan w:val="4"/>
            <w:tcMar>
              <w:left w:w="57" w:type="dxa"/>
              <w:right w:w="57" w:type="dxa"/>
            </w:tcMar>
            <w:vAlign w:val="center"/>
          </w:tcPr>
          <w:p>
            <w:pPr>
              <w:snapToGrid w:val="0"/>
              <w:jc w:val="both"/>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环评报告表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30" w:type="dxa"/>
            <w:vMerge w:val="continue"/>
            <w:tcMar>
              <w:left w:w="57" w:type="dxa"/>
              <w:right w:w="57" w:type="dxa"/>
            </w:tcMar>
            <w:vAlign w:val="center"/>
          </w:tcPr>
          <w:p>
            <w:pPr>
              <w:rPr>
                <w:color w:val="auto"/>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开工日期</w:t>
            </w:r>
          </w:p>
        </w:tc>
        <w:tc>
          <w:tcPr>
            <w:tcW w:w="5251" w:type="dxa"/>
            <w:gridSpan w:val="6"/>
            <w:tcMar>
              <w:left w:w="57" w:type="dxa"/>
              <w:right w:w="57" w:type="dxa"/>
            </w:tcMar>
            <w:vAlign w:val="center"/>
          </w:tcPr>
          <w:p>
            <w:pPr>
              <w:adjustRightInd w:val="0"/>
              <w:snapToGrid w:val="0"/>
              <w:rPr>
                <w:rFonts w:hint="default" w:ascii="Times New Roman" w:hAnsi="Times New Roman" w:eastAsia="宋体" w:cs="Times New Roman"/>
                <w:color w:val="auto"/>
                <w:sz w:val="13"/>
                <w:szCs w:val="13"/>
                <w:lang w:val="en-US" w:eastAsia="zh-CN"/>
              </w:rPr>
            </w:pPr>
            <w:r>
              <w:rPr>
                <w:rFonts w:hint="eastAsia" w:ascii="Times New Roman" w:hAnsi="Times New Roman" w:eastAsia="宋体" w:cs="Times New Roman"/>
                <w:color w:val="auto"/>
                <w:sz w:val="13"/>
                <w:szCs w:val="13"/>
                <w:lang w:val="en-US" w:eastAsia="zh-CN"/>
              </w:rPr>
              <w:t>2023.06</w:t>
            </w:r>
          </w:p>
        </w:tc>
        <w:tc>
          <w:tcPr>
            <w:tcW w:w="2300" w:type="dxa"/>
            <w:gridSpan w:val="2"/>
            <w:tcMar>
              <w:left w:w="57" w:type="dxa"/>
              <w:right w:w="57" w:type="dxa"/>
            </w:tcMar>
            <w:vAlign w:val="center"/>
          </w:tcPr>
          <w:p>
            <w:pP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竣工日期</w:t>
            </w:r>
          </w:p>
        </w:tc>
        <w:tc>
          <w:tcPr>
            <w:tcW w:w="1952" w:type="dxa"/>
            <w:tcMar>
              <w:left w:w="57" w:type="dxa"/>
              <w:right w:w="57" w:type="dxa"/>
            </w:tcMar>
            <w:vAlign w:val="center"/>
          </w:tcPr>
          <w:p>
            <w:pPr>
              <w:snapToGrid w:val="0"/>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2023.10.30</w:t>
            </w:r>
          </w:p>
        </w:tc>
        <w:tc>
          <w:tcPr>
            <w:tcW w:w="1701" w:type="dxa"/>
            <w:gridSpan w:val="2"/>
            <w:tcMar>
              <w:left w:w="57" w:type="dxa"/>
              <w:right w:w="57" w:type="dxa"/>
            </w:tcMar>
            <w:vAlign w:val="center"/>
          </w:tcPr>
          <w:p>
            <w:pPr>
              <w:rPr>
                <w:rFonts w:ascii="Times New Roman" w:hAnsi="Times New Roman" w:eastAsia="宋体" w:cs="Times New Roman"/>
                <w:b/>
                <w:color w:val="auto"/>
                <w:sz w:val="15"/>
                <w:szCs w:val="15"/>
                <w:highlight w:val="none"/>
              </w:rPr>
            </w:pPr>
            <w:r>
              <w:rPr>
                <w:rFonts w:ascii="Times New Roman" w:hAnsi="Times New Roman" w:eastAsia="宋体" w:cs="Times New Roman"/>
                <w:b/>
                <w:color w:val="auto"/>
                <w:sz w:val="15"/>
                <w:szCs w:val="15"/>
                <w:highlight w:val="none"/>
              </w:rPr>
              <w:t>排污许可证申领时间</w:t>
            </w:r>
          </w:p>
        </w:tc>
        <w:tc>
          <w:tcPr>
            <w:tcW w:w="2278" w:type="dxa"/>
            <w:gridSpan w:val="4"/>
            <w:tcMar>
              <w:left w:w="57" w:type="dxa"/>
              <w:right w:w="57" w:type="dxa"/>
            </w:tcMar>
            <w:vAlign w:val="center"/>
          </w:tcPr>
          <w:p>
            <w:pPr>
              <w:snapToGrid w:val="0"/>
              <w:jc w:val="both"/>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2023年04月02日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auto"/>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环保设施设计单位</w:t>
            </w:r>
          </w:p>
        </w:tc>
        <w:tc>
          <w:tcPr>
            <w:tcW w:w="5251" w:type="dxa"/>
            <w:gridSpan w:val="6"/>
            <w:tcMar>
              <w:left w:w="57" w:type="dxa"/>
              <w:right w:w="57" w:type="dxa"/>
            </w:tcMar>
            <w:vAlign w:val="center"/>
          </w:tcPr>
          <w:p>
            <w:pPr>
              <w:adjustRightInd w:val="0"/>
              <w:snapToGrid w:val="0"/>
              <w:rPr>
                <w:rFonts w:hint="default" w:ascii="Times New Roman" w:hAnsi="Times New Roman" w:eastAsia="宋体" w:cs="Times New Roman"/>
                <w:color w:val="auto"/>
                <w:sz w:val="13"/>
                <w:szCs w:val="13"/>
                <w:lang w:val="en-US" w:eastAsia="zh-CN"/>
              </w:rPr>
            </w:pPr>
          </w:p>
        </w:tc>
        <w:tc>
          <w:tcPr>
            <w:tcW w:w="2300" w:type="dxa"/>
            <w:gridSpan w:val="2"/>
            <w:tcMar>
              <w:left w:w="57" w:type="dxa"/>
              <w:right w:w="57" w:type="dxa"/>
            </w:tcMar>
            <w:vAlign w:val="center"/>
          </w:tcPr>
          <w:p>
            <w:pP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环保设施施工单位</w:t>
            </w:r>
          </w:p>
        </w:tc>
        <w:tc>
          <w:tcPr>
            <w:tcW w:w="1952" w:type="dxa"/>
            <w:tcMar>
              <w:left w:w="57" w:type="dxa"/>
              <w:right w:w="57" w:type="dxa"/>
            </w:tcMar>
            <w:vAlign w:val="center"/>
          </w:tcPr>
          <w:p>
            <w:pPr>
              <w:adjustRightInd w:val="0"/>
              <w:snapToGrid w:val="0"/>
              <w:jc w:val="both"/>
              <w:rPr>
                <w:rFonts w:hint="eastAsia" w:ascii="Times New Roman" w:hAnsi="Times New Roman" w:eastAsia="宋体" w:cs="Times New Roman"/>
                <w:color w:val="auto"/>
                <w:sz w:val="13"/>
                <w:szCs w:val="13"/>
                <w:lang w:eastAsia="zh-CN"/>
              </w:rPr>
            </w:pPr>
          </w:p>
        </w:tc>
        <w:tc>
          <w:tcPr>
            <w:tcW w:w="1701" w:type="dxa"/>
            <w:gridSpan w:val="2"/>
            <w:tcMar>
              <w:left w:w="57" w:type="dxa"/>
              <w:right w:w="57" w:type="dxa"/>
            </w:tcMar>
            <w:vAlign w:val="center"/>
          </w:tcPr>
          <w:p>
            <w:pPr>
              <w:rPr>
                <w:rFonts w:ascii="Times New Roman" w:hAnsi="Times New Roman" w:eastAsia="宋体" w:cs="Times New Roman"/>
                <w:b/>
                <w:color w:val="auto"/>
                <w:sz w:val="15"/>
                <w:szCs w:val="15"/>
                <w:highlight w:val="none"/>
              </w:rPr>
            </w:pPr>
            <w:r>
              <w:rPr>
                <w:rFonts w:ascii="Times New Roman" w:hAnsi="Times New Roman" w:eastAsia="宋体" w:cs="Times New Roman"/>
                <w:b/>
                <w:color w:val="auto"/>
                <w:sz w:val="15"/>
                <w:szCs w:val="15"/>
                <w:highlight w:val="none"/>
              </w:rPr>
              <w:t>本工程排污许可证编号</w:t>
            </w:r>
          </w:p>
        </w:tc>
        <w:tc>
          <w:tcPr>
            <w:tcW w:w="2278" w:type="dxa"/>
            <w:gridSpan w:val="4"/>
            <w:tcMar>
              <w:left w:w="57" w:type="dxa"/>
              <w:right w:w="57" w:type="dxa"/>
            </w:tcMar>
            <w:vAlign w:val="center"/>
          </w:tcPr>
          <w:p>
            <w:pPr>
              <w:snapToGrid w:val="0"/>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91330784MAC4NJBF26001W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auto"/>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验收单位</w:t>
            </w:r>
          </w:p>
        </w:tc>
        <w:tc>
          <w:tcPr>
            <w:tcW w:w="5251" w:type="dxa"/>
            <w:gridSpan w:val="6"/>
            <w:tcMar>
              <w:left w:w="57" w:type="dxa"/>
              <w:right w:w="57" w:type="dxa"/>
            </w:tcMar>
            <w:vAlign w:val="center"/>
          </w:tcPr>
          <w:p>
            <w:pPr>
              <w:jc w:val="left"/>
              <w:rPr>
                <w:rFonts w:hint="eastAsia" w:ascii="Times New Roman" w:hAnsi="Times New Roman" w:eastAsia="宋体" w:cs="Times New Roman"/>
                <w:b/>
                <w:color w:val="auto"/>
                <w:sz w:val="13"/>
                <w:szCs w:val="13"/>
                <w:lang w:eastAsia="zh-CN"/>
              </w:rPr>
            </w:pPr>
            <w:r>
              <w:rPr>
                <w:rFonts w:hint="eastAsia" w:ascii="Times New Roman" w:hAnsi="Times New Roman" w:eastAsia="宋体" w:cs="Times New Roman"/>
                <w:bCs/>
                <w:color w:val="auto"/>
                <w:sz w:val="13"/>
                <w:szCs w:val="13"/>
                <w:lang w:eastAsia="zh-CN"/>
              </w:rPr>
              <w:t>浙江历山红工贸有限公司</w:t>
            </w:r>
          </w:p>
        </w:tc>
        <w:tc>
          <w:tcPr>
            <w:tcW w:w="2300" w:type="dxa"/>
            <w:gridSpan w:val="2"/>
            <w:tcMar>
              <w:left w:w="57" w:type="dxa"/>
              <w:right w:w="57" w:type="dxa"/>
            </w:tcMar>
            <w:vAlign w:val="center"/>
          </w:tcPr>
          <w:p>
            <w:pP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环保设施监测单位</w:t>
            </w:r>
          </w:p>
        </w:tc>
        <w:tc>
          <w:tcPr>
            <w:tcW w:w="1952" w:type="dxa"/>
            <w:tcMar>
              <w:left w:w="57" w:type="dxa"/>
              <w:right w:w="57" w:type="dxa"/>
            </w:tcMar>
          </w:tcPr>
          <w:p>
            <w:pPr>
              <w:spacing w:line="240" w:lineRule="exact"/>
              <w:jc w:val="left"/>
              <w:rPr>
                <w:rFonts w:ascii="Times New Roman" w:hAnsi="Times New Roman" w:eastAsia="宋体" w:cs="Times New Roman"/>
                <w:bCs/>
                <w:color w:val="auto"/>
                <w:sz w:val="13"/>
                <w:szCs w:val="13"/>
              </w:rPr>
            </w:pPr>
            <w:r>
              <w:rPr>
                <w:rFonts w:ascii="Times New Roman" w:hAnsi="Times New Roman" w:eastAsia="宋体" w:cs="Times New Roman"/>
                <w:bCs/>
                <w:color w:val="auto"/>
                <w:sz w:val="13"/>
                <w:szCs w:val="13"/>
              </w:rPr>
              <w:t>浙江高鑫安全检测科技有限公司</w:t>
            </w:r>
          </w:p>
        </w:tc>
        <w:tc>
          <w:tcPr>
            <w:tcW w:w="1701" w:type="dxa"/>
            <w:gridSpan w:val="2"/>
            <w:tcMar>
              <w:left w:w="57" w:type="dxa"/>
              <w:right w:w="57" w:type="dxa"/>
            </w:tcMar>
          </w:tcPr>
          <w:p>
            <w:pP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验收监测时工况</w:t>
            </w:r>
          </w:p>
        </w:tc>
        <w:tc>
          <w:tcPr>
            <w:tcW w:w="2278" w:type="dxa"/>
            <w:gridSpan w:val="4"/>
            <w:tcMar>
              <w:left w:w="57" w:type="dxa"/>
              <w:right w:w="57" w:type="dxa"/>
            </w:tcMar>
            <w:vAlign w:val="center"/>
          </w:tcPr>
          <w:p>
            <w:pPr>
              <w:snapToGrid w:val="0"/>
              <w:rPr>
                <w:rFonts w:hint="eastAsia" w:ascii="Times New Roman" w:hAnsi="Times New Roman" w:eastAsia="宋体" w:cs="Times New Roman"/>
                <w:bCs/>
                <w:color w:val="auto"/>
                <w:sz w:val="13"/>
                <w:szCs w:val="13"/>
                <w:lang w:eastAsia="zh-CN"/>
              </w:rPr>
            </w:pPr>
            <w:r>
              <w:rPr>
                <w:rFonts w:hint="eastAsia" w:ascii="Times New Roman" w:hAnsi="Times New Roman" w:eastAsia="宋体" w:cs="Times New Roman"/>
                <w:bCs/>
                <w:color w:val="auto"/>
                <w:sz w:val="13"/>
                <w:szCs w:val="13"/>
                <w:lang w:val="en-US" w:eastAsia="zh-CN"/>
              </w:rPr>
              <w:t>90.0</w:t>
            </w:r>
            <w:r>
              <w:rPr>
                <w:rFonts w:hint="eastAsia" w:ascii="Times New Roman" w:hAnsi="Times New Roman" w:eastAsia="宋体" w:cs="Times New Roman"/>
                <w:bCs/>
                <w:color w:val="auto"/>
                <w:sz w:val="13"/>
                <w:szCs w:val="13"/>
                <w:lang w:eastAsia="zh-CN"/>
              </w:rPr>
              <w:t>%以上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auto"/>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投资总概算（万元）</w:t>
            </w:r>
          </w:p>
        </w:tc>
        <w:tc>
          <w:tcPr>
            <w:tcW w:w="5251" w:type="dxa"/>
            <w:gridSpan w:val="6"/>
            <w:tcMar>
              <w:left w:w="57" w:type="dxa"/>
              <w:right w:w="57" w:type="dxa"/>
            </w:tcMar>
            <w:vAlign w:val="center"/>
          </w:tcPr>
          <w:p>
            <w:pPr>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504</w:t>
            </w:r>
          </w:p>
        </w:tc>
        <w:tc>
          <w:tcPr>
            <w:tcW w:w="2300" w:type="dxa"/>
            <w:gridSpan w:val="2"/>
            <w:tcMar>
              <w:left w:w="57" w:type="dxa"/>
              <w:right w:w="57" w:type="dxa"/>
            </w:tcMar>
            <w:vAlign w:val="center"/>
          </w:tcPr>
          <w:p>
            <w:pPr>
              <w:tabs>
                <w:tab w:val="left" w:pos="690"/>
              </w:tabs>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环保投资总概算（万元）</w:t>
            </w:r>
          </w:p>
        </w:tc>
        <w:tc>
          <w:tcPr>
            <w:tcW w:w="1952" w:type="dxa"/>
            <w:tcMar>
              <w:left w:w="57" w:type="dxa"/>
              <w:right w:w="57" w:type="dxa"/>
            </w:tcMar>
            <w:vAlign w:val="center"/>
          </w:tcPr>
          <w:p>
            <w:pPr>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58</w:t>
            </w:r>
          </w:p>
        </w:tc>
        <w:tc>
          <w:tcPr>
            <w:tcW w:w="1701" w:type="dxa"/>
            <w:gridSpan w:val="2"/>
            <w:tcMar>
              <w:left w:w="57" w:type="dxa"/>
              <w:right w:w="57" w:type="dxa"/>
            </w:tcMar>
            <w:vAlign w:val="center"/>
          </w:tcPr>
          <w:p>
            <w:pPr>
              <w:tabs>
                <w:tab w:val="left" w:pos="690"/>
              </w:tabs>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所占比例（%）</w:t>
            </w:r>
          </w:p>
        </w:tc>
        <w:tc>
          <w:tcPr>
            <w:tcW w:w="2278" w:type="dxa"/>
            <w:gridSpan w:val="4"/>
            <w:tcMar>
              <w:left w:w="57" w:type="dxa"/>
              <w:right w:w="57" w:type="dxa"/>
            </w:tcMar>
            <w:vAlign w:val="center"/>
          </w:tcPr>
          <w:p>
            <w:pPr>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11.5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auto"/>
                <w:sz w:val="15"/>
                <w:szCs w:val="15"/>
              </w:rPr>
            </w:pPr>
          </w:p>
        </w:tc>
        <w:tc>
          <w:tcPr>
            <w:tcW w:w="1964" w:type="dxa"/>
            <w:gridSpan w:val="3"/>
            <w:tcMar>
              <w:left w:w="57" w:type="dxa"/>
              <w:right w:w="57" w:type="dxa"/>
            </w:tcMa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实际总投资</w:t>
            </w:r>
          </w:p>
        </w:tc>
        <w:tc>
          <w:tcPr>
            <w:tcW w:w="5251" w:type="dxa"/>
            <w:gridSpan w:val="6"/>
            <w:tcMar>
              <w:left w:w="57" w:type="dxa"/>
              <w:right w:w="57" w:type="dxa"/>
            </w:tcMar>
          </w:tcPr>
          <w:p>
            <w:pPr>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504</w:t>
            </w:r>
          </w:p>
        </w:tc>
        <w:tc>
          <w:tcPr>
            <w:tcW w:w="2300" w:type="dxa"/>
            <w:gridSpan w:val="2"/>
            <w:tcMar>
              <w:left w:w="57" w:type="dxa"/>
              <w:right w:w="57" w:type="dxa"/>
            </w:tcMar>
            <w:vAlign w:val="center"/>
          </w:tcPr>
          <w:p>
            <w:pPr>
              <w:ind w:right="300"/>
              <w:rPr>
                <w:rFonts w:ascii="Times New Roman" w:hAnsi="Times New Roman" w:eastAsia="宋体" w:cs="Times New Roman"/>
                <w:b/>
                <w:color w:val="auto"/>
                <w:sz w:val="15"/>
                <w:szCs w:val="15"/>
              </w:rPr>
            </w:pPr>
            <w:r>
              <w:rPr>
                <w:rFonts w:hint="eastAsia" w:ascii="Times New Roman" w:hAnsi="Times New Roman" w:eastAsia="宋体" w:cs="Times New Roman"/>
                <w:b/>
                <w:color w:val="auto"/>
                <w:sz w:val="15"/>
                <w:szCs w:val="15"/>
                <w:lang w:val="en-US" w:eastAsia="zh-CN"/>
              </w:rPr>
              <w:t>实际</w:t>
            </w:r>
            <w:r>
              <w:rPr>
                <w:rFonts w:ascii="Times New Roman" w:hAnsi="Times New Roman" w:eastAsia="宋体" w:cs="Times New Roman"/>
                <w:b/>
                <w:color w:val="auto"/>
                <w:sz w:val="15"/>
                <w:szCs w:val="15"/>
              </w:rPr>
              <w:t>环保投资（万元）</w:t>
            </w:r>
          </w:p>
        </w:tc>
        <w:tc>
          <w:tcPr>
            <w:tcW w:w="1952" w:type="dxa"/>
            <w:tcMar>
              <w:left w:w="57" w:type="dxa"/>
              <w:right w:w="57" w:type="dxa"/>
            </w:tcMar>
          </w:tcPr>
          <w:p>
            <w:pPr>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58</w:t>
            </w:r>
          </w:p>
        </w:tc>
        <w:tc>
          <w:tcPr>
            <w:tcW w:w="1701" w:type="dxa"/>
            <w:gridSpan w:val="2"/>
            <w:tcMar>
              <w:left w:w="57" w:type="dxa"/>
              <w:right w:w="57" w:type="dxa"/>
            </w:tcMar>
            <w:vAlign w:val="center"/>
          </w:tcPr>
          <w:p>
            <w:pPr>
              <w:rPr>
                <w:rFonts w:ascii="Times New Roman" w:hAnsi="Times New Roman" w:eastAsia="宋体" w:cs="Times New Roman"/>
                <w:b/>
                <w:color w:val="auto"/>
                <w:sz w:val="15"/>
                <w:szCs w:val="15"/>
                <w:highlight w:val="none"/>
              </w:rPr>
            </w:pPr>
            <w:r>
              <w:rPr>
                <w:rFonts w:ascii="Times New Roman" w:hAnsi="Times New Roman" w:eastAsia="宋体" w:cs="Times New Roman"/>
                <w:b/>
                <w:color w:val="auto"/>
                <w:sz w:val="15"/>
                <w:szCs w:val="15"/>
                <w:highlight w:val="none"/>
              </w:rPr>
              <w:t>所占比例（%）</w:t>
            </w:r>
          </w:p>
        </w:tc>
        <w:tc>
          <w:tcPr>
            <w:tcW w:w="2278" w:type="dxa"/>
            <w:gridSpan w:val="4"/>
            <w:tcMar>
              <w:left w:w="57" w:type="dxa"/>
              <w:right w:w="57" w:type="dxa"/>
            </w:tcMar>
          </w:tcPr>
          <w:p>
            <w:pPr>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11.5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rPr>
                <w:color w:val="auto"/>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废水治理（万元）</w:t>
            </w:r>
          </w:p>
        </w:tc>
        <w:tc>
          <w:tcPr>
            <w:tcW w:w="828" w:type="dxa"/>
            <w:tcMar>
              <w:left w:w="57" w:type="dxa"/>
              <w:right w:w="57" w:type="dxa"/>
            </w:tcMar>
            <w:vAlign w:val="center"/>
          </w:tcPr>
          <w:p>
            <w:pP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13</w:t>
            </w:r>
          </w:p>
        </w:tc>
        <w:tc>
          <w:tcPr>
            <w:tcW w:w="1446" w:type="dxa"/>
            <w:tcMar>
              <w:left w:w="57" w:type="dxa"/>
              <w:right w:w="57" w:type="dxa"/>
            </w:tcMar>
            <w:vAlign w:val="center"/>
          </w:tcPr>
          <w:p>
            <w:pPr>
              <w:jc w:val="cente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废气治理（万元）</w:t>
            </w:r>
          </w:p>
        </w:tc>
        <w:tc>
          <w:tcPr>
            <w:tcW w:w="1134" w:type="dxa"/>
            <w:tcMar>
              <w:left w:w="57" w:type="dxa"/>
              <w:right w:w="57" w:type="dxa"/>
            </w:tcMar>
            <w:vAlign w:val="center"/>
          </w:tcPr>
          <w:p>
            <w:pP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3"/>
                <w:szCs w:val="13"/>
                <w:lang w:val="en-US" w:eastAsia="zh-CN"/>
              </w:rPr>
              <w:t>38</w:t>
            </w:r>
          </w:p>
        </w:tc>
        <w:tc>
          <w:tcPr>
            <w:tcW w:w="1400" w:type="dxa"/>
            <w:gridSpan w:val="2"/>
            <w:tcMar>
              <w:left w:w="57" w:type="dxa"/>
              <w:right w:w="57" w:type="dxa"/>
            </w:tcMar>
            <w:vAlign w:val="center"/>
          </w:tcPr>
          <w:p>
            <w:pPr>
              <w:jc w:val="cente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噪声治理（万元）</w:t>
            </w:r>
          </w:p>
        </w:tc>
        <w:tc>
          <w:tcPr>
            <w:tcW w:w="443" w:type="dxa"/>
            <w:tcMar>
              <w:left w:w="57" w:type="dxa"/>
              <w:right w:w="57" w:type="dxa"/>
            </w:tcMar>
            <w:vAlign w:val="center"/>
          </w:tcPr>
          <w:p>
            <w:pP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2</w:t>
            </w:r>
          </w:p>
        </w:tc>
        <w:tc>
          <w:tcPr>
            <w:tcW w:w="2300" w:type="dxa"/>
            <w:gridSpan w:val="2"/>
            <w:tcMar>
              <w:left w:w="57" w:type="dxa"/>
              <w:right w:w="57" w:type="dxa"/>
            </w:tcMar>
            <w:vAlign w:val="cente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固体废物治理（万元）</w:t>
            </w:r>
          </w:p>
        </w:tc>
        <w:tc>
          <w:tcPr>
            <w:tcW w:w="1952" w:type="dxa"/>
            <w:tcMar>
              <w:left w:w="57" w:type="dxa"/>
              <w:right w:w="57" w:type="dxa"/>
            </w:tcMar>
            <w:vAlign w:val="center"/>
          </w:tcPr>
          <w:p>
            <w:pPr>
              <w:jc w:val="left"/>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3</w:t>
            </w:r>
          </w:p>
        </w:tc>
        <w:tc>
          <w:tcPr>
            <w:tcW w:w="1701" w:type="dxa"/>
            <w:gridSpan w:val="2"/>
            <w:tcMar>
              <w:left w:w="57" w:type="dxa"/>
              <w:right w:w="57" w:type="dxa"/>
            </w:tcMar>
            <w:vAlign w:val="center"/>
          </w:tcPr>
          <w:p>
            <w:pP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绿化及生态（万元）</w:t>
            </w:r>
          </w:p>
        </w:tc>
        <w:tc>
          <w:tcPr>
            <w:tcW w:w="382" w:type="dxa"/>
            <w:tcMar>
              <w:left w:w="57" w:type="dxa"/>
              <w:right w:w="57" w:type="dxa"/>
            </w:tcMar>
            <w:vAlign w:val="center"/>
          </w:tcPr>
          <w:p>
            <w:pPr>
              <w:rPr>
                <w:rFonts w:ascii="Times New Roman" w:hAnsi="Times New Roman" w:eastAsia="宋体" w:cs="Times New Roman"/>
                <w:color w:val="auto"/>
                <w:sz w:val="15"/>
                <w:szCs w:val="15"/>
              </w:rPr>
            </w:pPr>
            <w:r>
              <w:rPr>
                <w:rFonts w:ascii="Times New Roman" w:hAnsi="Times New Roman" w:eastAsia="宋体" w:cs="Times New Roman"/>
                <w:color w:val="auto"/>
                <w:sz w:val="13"/>
                <w:szCs w:val="13"/>
              </w:rPr>
              <w:t>0</w:t>
            </w:r>
          </w:p>
        </w:tc>
        <w:tc>
          <w:tcPr>
            <w:tcW w:w="1102" w:type="dxa"/>
            <w:gridSpan w:val="2"/>
            <w:tcMar>
              <w:left w:w="57" w:type="dxa"/>
              <w:right w:w="57" w:type="dxa"/>
            </w:tcMar>
            <w:vAlign w:val="center"/>
          </w:tcPr>
          <w:p>
            <w:pPr>
              <w:jc w:val="cente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其他（万元）</w:t>
            </w:r>
          </w:p>
        </w:tc>
        <w:tc>
          <w:tcPr>
            <w:tcW w:w="794" w:type="dxa"/>
            <w:tcMar>
              <w:left w:w="57" w:type="dxa"/>
              <w:right w:w="57" w:type="dxa"/>
            </w:tcMar>
            <w:vAlign w:val="center"/>
          </w:tcPr>
          <w:p>
            <w:pP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auto"/>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新增废水处理设施能力</w:t>
            </w:r>
          </w:p>
        </w:tc>
        <w:tc>
          <w:tcPr>
            <w:tcW w:w="5251" w:type="dxa"/>
            <w:gridSpan w:val="6"/>
            <w:tcMar>
              <w:left w:w="57" w:type="dxa"/>
              <w:right w:w="57" w:type="dxa"/>
            </w:tcMar>
          </w:tcPr>
          <w:p>
            <w:pPr>
              <w:rPr>
                <w:rFonts w:hint="eastAsia"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w:t>
            </w:r>
          </w:p>
        </w:tc>
        <w:tc>
          <w:tcPr>
            <w:tcW w:w="2300" w:type="dxa"/>
            <w:gridSpan w:val="2"/>
            <w:tcMar>
              <w:left w:w="57" w:type="dxa"/>
              <w:right w:w="57" w:type="dxa"/>
            </w:tcMa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新增废气处理设施能力</w:t>
            </w:r>
          </w:p>
        </w:tc>
        <w:tc>
          <w:tcPr>
            <w:tcW w:w="1952" w:type="dxa"/>
            <w:tcMar>
              <w:left w:w="57" w:type="dxa"/>
              <w:right w:w="57" w:type="dxa"/>
            </w:tcMar>
          </w:tcPr>
          <w:p>
            <w:pPr>
              <w:jc w:val="left"/>
              <w:rPr>
                <w:rFonts w:hint="eastAsia"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w:t>
            </w:r>
          </w:p>
        </w:tc>
        <w:tc>
          <w:tcPr>
            <w:tcW w:w="1701" w:type="dxa"/>
            <w:gridSpan w:val="2"/>
            <w:tcMar>
              <w:left w:w="57" w:type="dxa"/>
              <w:right w:w="57" w:type="dxa"/>
            </w:tcMar>
          </w:tcPr>
          <w:p>
            <w:pP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年平均工作时间</w:t>
            </w:r>
          </w:p>
        </w:tc>
        <w:tc>
          <w:tcPr>
            <w:tcW w:w="2278" w:type="dxa"/>
            <w:gridSpan w:val="4"/>
            <w:tcMar>
              <w:left w:w="57" w:type="dxa"/>
              <w:right w:w="57" w:type="dxa"/>
            </w:tcMar>
          </w:tcPr>
          <w:p>
            <w:pPr>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3"/>
                <w:szCs w:val="13"/>
                <w:lang w:val="en-US" w:eastAsia="zh-CN"/>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jc w:val="cente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运营单位</w:t>
            </w:r>
          </w:p>
        </w:tc>
        <w:tc>
          <w:tcPr>
            <w:tcW w:w="4259" w:type="dxa"/>
            <w:gridSpan w:val="4"/>
            <w:tcMar>
              <w:left w:w="57" w:type="dxa"/>
              <w:right w:w="57" w:type="dxa"/>
            </w:tcMar>
            <w:vAlign w:val="center"/>
          </w:tcPr>
          <w:p>
            <w:pPr>
              <w:rPr>
                <w:rFonts w:hint="eastAsia" w:ascii="Times New Roman" w:hAnsi="Times New Roman" w:eastAsia="宋体" w:cs="Times New Roman"/>
                <w:color w:val="auto"/>
                <w:sz w:val="15"/>
                <w:szCs w:val="15"/>
                <w:lang w:eastAsia="zh-CN"/>
              </w:rPr>
            </w:pPr>
            <w:r>
              <w:rPr>
                <w:rFonts w:hint="eastAsia" w:ascii="Times New Roman" w:hAnsi="Times New Roman" w:eastAsia="宋体" w:cs="Times New Roman"/>
                <w:color w:val="auto"/>
                <w:sz w:val="13"/>
                <w:szCs w:val="13"/>
                <w:lang w:eastAsia="zh-CN"/>
              </w:rPr>
              <w:t>浙江历山红工贸有限公司</w:t>
            </w:r>
          </w:p>
        </w:tc>
        <w:tc>
          <w:tcPr>
            <w:tcW w:w="3292" w:type="dxa"/>
            <w:gridSpan w:val="4"/>
            <w:tcMar>
              <w:left w:w="57" w:type="dxa"/>
              <w:right w:w="57" w:type="dxa"/>
            </w:tcMar>
            <w:vAlign w:val="center"/>
          </w:tcPr>
          <w:p>
            <w:pPr>
              <w:jc w:val="center"/>
              <w:rPr>
                <w:rFonts w:ascii="Times New Roman" w:hAnsi="Times New Roman" w:eastAsia="宋体" w:cs="Times New Roman"/>
                <w:color w:val="auto"/>
                <w:sz w:val="15"/>
                <w:szCs w:val="15"/>
              </w:rPr>
            </w:pPr>
            <w:r>
              <w:rPr>
                <w:rFonts w:ascii="Times New Roman" w:hAnsi="Times New Roman" w:eastAsia="宋体" w:cs="Times New Roman"/>
                <w:b/>
                <w:color w:val="auto"/>
                <w:sz w:val="15"/>
                <w:szCs w:val="15"/>
              </w:rPr>
              <w:t>运营单位社会统一信用代码（或组织机构代码）</w:t>
            </w:r>
          </w:p>
        </w:tc>
        <w:tc>
          <w:tcPr>
            <w:tcW w:w="1952" w:type="dxa"/>
            <w:tcMar>
              <w:left w:w="57" w:type="dxa"/>
              <w:right w:w="57" w:type="dxa"/>
            </w:tcMar>
            <w:vAlign w:val="center"/>
          </w:tcPr>
          <w:p>
            <w:pPr>
              <w:jc w:val="left"/>
              <w:rPr>
                <w:rFonts w:hint="eastAsia"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91330784MAC4NJBF26</w:t>
            </w:r>
          </w:p>
        </w:tc>
        <w:tc>
          <w:tcPr>
            <w:tcW w:w="1701" w:type="dxa"/>
            <w:gridSpan w:val="2"/>
            <w:tcMar>
              <w:left w:w="57" w:type="dxa"/>
              <w:right w:w="57" w:type="dxa"/>
            </w:tcMar>
          </w:tcPr>
          <w:p>
            <w:pP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验收时间</w:t>
            </w:r>
          </w:p>
        </w:tc>
        <w:tc>
          <w:tcPr>
            <w:tcW w:w="2278" w:type="dxa"/>
            <w:gridSpan w:val="4"/>
            <w:tcMar>
              <w:left w:w="57" w:type="dxa"/>
              <w:right w:w="57" w:type="dxa"/>
            </w:tcMar>
          </w:tcPr>
          <w:p>
            <w:pPr>
              <w:rPr>
                <w:rFonts w:hint="default" w:ascii="Times New Roman" w:hAnsi="Times New Roman" w:eastAsia="宋体" w:cs="Times New Roman"/>
                <w:color w:val="auto"/>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snapToGrid w:val="0"/>
              <w:spacing w:line="312" w:lineRule="auto"/>
              <w:rPr>
                <w:rFonts w:ascii="Times New Roman" w:hAnsi="Times New Roman" w:eastAsia="黑体" w:cs="Times New Roman"/>
                <w:b/>
                <w:color w:val="auto"/>
                <w:spacing w:val="20"/>
                <w:sz w:val="15"/>
                <w:szCs w:val="15"/>
              </w:rPr>
            </w:pPr>
            <w:r>
              <w:rPr>
                <w:rFonts w:ascii="Times New Roman" w:hAnsi="Times New Roman" w:eastAsia="黑体" w:cs="Times New Roman"/>
                <w:b/>
                <w:color w:val="auto"/>
                <w:spacing w:val="20"/>
                <w:sz w:val="15"/>
                <w:szCs w:val="15"/>
              </w:rPr>
              <w:t>污染</w:t>
            </w:r>
          </w:p>
          <w:p>
            <w:pPr>
              <w:snapToGrid w:val="0"/>
              <w:spacing w:line="312" w:lineRule="auto"/>
              <w:rPr>
                <w:rFonts w:ascii="Times New Roman" w:hAnsi="Times New Roman" w:eastAsia="黑体" w:cs="Times New Roman"/>
                <w:b/>
                <w:color w:val="auto"/>
                <w:spacing w:val="20"/>
                <w:sz w:val="15"/>
                <w:szCs w:val="15"/>
              </w:rPr>
            </w:pPr>
            <w:r>
              <w:rPr>
                <w:rFonts w:ascii="Times New Roman" w:hAnsi="Times New Roman" w:eastAsia="黑体" w:cs="Times New Roman"/>
                <w:b/>
                <w:color w:val="auto"/>
                <w:spacing w:val="20"/>
                <w:sz w:val="15"/>
                <w:szCs w:val="15"/>
              </w:rPr>
              <w:t>物排</w:t>
            </w:r>
          </w:p>
          <w:p>
            <w:pPr>
              <w:snapToGrid w:val="0"/>
              <w:spacing w:line="312" w:lineRule="auto"/>
              <w:rPr>
                <w:rFonts w:ascii="Times New Roman" w:hAnsi="Times New Roman" w:eastAsia="黑体" w:cs="Times New Roman"/>
                <w:b/>
                <w:color w:val="auto"/>
                <w:spacing w:val="20"/>
                <w:sz w:val="15"/>
                <w:szCs w:val="15"/>
              </w:rPr>
            </w:pPr>
            <w:r>
              <w:rPr>
                <w:rFonts w:ascii="Times New Roman" w:hAnsi="Times New Roman" w:eastAsia="黑体" w:cs="Times New Roman"/>
                <w:b/>
                <w:color w:val="auto"/>
                <w:spacing w:val="20"/>
                <w:sz w:val="15"/>
                <w:szCs w:val="15"/>
              </w:rPr>
              <w:t>放达</w:t>
            </w:r>
          </w:p>
          <w:p>
            <w:pPr>
              <w:snapToGrid w:val="0"/>
              <w:spacing w:line="312" w:lineRule="auto"/>
              <w:rPr>
                <w:rFonts w:ascii="Times New Roman" w:hAnsi="Times New Roman" w:eastAsia="黑体" w:cs="Times New Roman"/>
                <w:b/>
                <w:color w:val="auto"/>
                <w:spacing w:val="20"/>
                <w:sz w:val="15"/>
                <w:szCs w:val="15"/>
              </w:rPr>
            </w:pPr>
            <w:r>
              <w:rPr>
                <w:rFonts w:ascii="Times New Roman" w:hAnsi="Times New Roman" w:eastAsia="黑体" w:cs="Times New Roman"/>
                <w:b/>
                <w:color w:val="auto"/>
                <w:spacing w:val="20"/>
                <w:sz w:val="15"/>
                <w:szCs w:val="15"/>
              </w:rPr>
              <w:t>标与</w:t>
            </w:r>
          </w:p>
          <w:p>
            <w:pPr>
              <w:snapToGrid w:val="0"/>
              <w:spacing w:line="312" w:lineRule="auto"/>
              <w:jc w:val="left"/>
              <w:rPr>
                <w:rFonts w:ascii="Times New Roman" w:hAnsi="Times New Roman" w:eastAsia="黑体" w:cs="Times New Roman"/>
                <w:b/>
                <w:color w:val="auto"/>
                <w:spacing w:val="20"/>
                <w:sz w:val="15"/>
                <w:szCs w:val="15"/>
              </w:rPr>
            </w:pPr>
            <w:r>
              <w:rPr>
                <w:rFonts w:ascii="Times New Roman" w:hAnsi="Times New Roman" w:eastAsia="黑体" w:cs="Times New Roman"/>
                <w:b/>
                <w:color w:val="auto"/>
                <w:spacing w:val="20"/>
                <w:sz w:val="15"/>
                <w:szCs w:val="15"/>
              </w:rPr>
              <w:t>总量</w:t>
            </w:r>
          </w:p>
          <w:p>
            <w:pPr>
              <w:snapToGrid w:val="0"/>
              <w:spacing w:line="312" w:lineRule="auto"/>
              <w:jc w:val="left"/>
              <w:rPr>
                <w:rFonts w:ascii="Times New Roman" w:hAnsi="Times New Roman" w:eastAsia="黑体" w:cs="Times New Roman"/>
                <w:b/>
                <w:color w:val="auto"/>
                <w:spacing w:val="20"/>
                <w:sz w:val="15"/>
                <w:szCs w:val="15"/>
              </w:rPr>
            </w:pPr>
            <w:r>
              <w:rPr>
                <w:rFonts w:ascii="Times New Roman" w:hAnsi="Times New Roman" w:eastAsia="黑体" w:cs="Times New Roman"/>
                <w:b/>
                <w:color w:val="auto"/>
                <w:spacing w:val="20"/>
                <w:sz w:val="15"/>
                <w:szCs w:val="15"/>
              </w:rPr>
              <w:t>控制（工</w:t>
            </w:r>
          </w:p>
          <w:p>
            <w:pPr>
              <w:snapToGrid w:val="0"/>
              <w:spacing w:line="312" w:lineRule="auto"/>
              <w:jc w:val="left"/>
              <w:rPr>
                <w:rFonts w:ascii="Times New Roman" w:hAnsi="Times New Roman" w:eastAsia="黑体" w:cs="Times New Roman"/>
                <w:b/>
                <w:color w:val="auto"/>
                <w:spacing w:val="20"/>
                <w:sz w:val="15"/>
                <w:szCs w:val="15"/>
              </w:rPr>
            </w:pPr>
            <w:r>
              <w:rPr>
                <w:rFonts w:ascii="Times New Roman" w:hAnsi="Times New Roman" w:eastAsia="黑体" w:cs="Times New Roman"/>
                <w:b/>
                <w:color w:val="auto"/>
                <w:spacing w:val="20"/>
                <w:sz w:val="15"/>
                <w:szCs w:val="15"/>
              </w:rPr>
              <w:t>业建</w:t>
            </w:r>
          </w:p>
          <w:p>
            <w:pPr>
              <w:snapToGrid w:val="0"/>
              <w:spacing w:line="312" w:lineRule="auto"/>
              <w:jc w:val="left"/>
              <w:rPr>
                <w:rFonts w:ascii="Times New Roman" w:hAnsi="Times New Roman" w:eastAsia="黑体" w:cs="Times New Roman"/>
                <w:b/>
                <w:color w:val="auto"/>
                <w:spacing w:val="20"/>
                <w:sz w:val="15"/>
                <w:szCs w:val="15"/>
              </w:rPr>
            </w:pPr>
            <w:r>
              <w:rPr>
                <w:rFonts w:ascii="Times New Roman" w:hAnsi="Times New Roman" w:eastAsia="黑体" w:cs="Times New Roman"/>
                <w:b/>
                <w:color w:val="auto"/>
                <w:spacing w:val="20"/>
                <w:sz w:val="15"/>
                <w:szCs w:val="15"/>
              </w:rPr>
              <w:t>设项</w:t>
            </w:r>
          </w:p>
          <w:p>
            <w:pPr>
              <w:snapToGrid w:val="0"/>
              <w:spacing w:line="312" w:lineRule="auto"/>
              <w:jc w:val="left"/>
              <w:rPr>
                <w:rFonts w:ascii="Times New Roman" w:hAnsi="Times New Roman" w:eastAsia="黑体" w:cs="Times New Roman"/>
                <w:b/>
                <w:color w:val="auto"/>
                <w:spacing w:val="20"/>
                <w:sz w:val="15"/>
                <w:szCs w:val="15"/>
              </w:rPr>
            </w:pPr>
            <w:r>
              <w:rPr>
                <w:rFonts w:ascii="Times New Roman" w:hAnsi="Times New Roman" w:eastAsia="黑体" w:cs="Times New Roman"/>
                <w:b/>
                <w:color w:val="auto"/>
                <w:spacing w:val="20"/>
                <w:sz w:val="15"/>
                <w:szCs w:val="15"/>
              </w:rPr>
              <w:t>目详填）</w:t>
            </w:r>
          </w:p>
        </w:tc>
        <w:tc>
          <w:tcPr>
            <w:tcW w:w="1796" w:type="dxa"/>
            <w:gridSpan w:val="2"/>
            <w:tcMar>
              <w:left w:w="57" w:type="dxa"/>
              <w:right w:w="57" w:type="dxa"/>
            </w:tcMar>
            <w:vAlign w:val="center"/>
          </w:tcPr>
          <w:p>
            <w:pPr>
              <w:snapToGrid w:val="0"/>
              <w:spacing w:line="312" w:lineRule="auto"/>
              <w:rPr>
                <w:rFonts w:ascii="Times New Roman" w:hAnsi="Times New Roman" w:cs="Times New Roman"/>
                <w:color w:val="auto"/>
                <w:sz w:val="15"/>
                <w:szCs w:val="15"/>
              </w:rPr>
            </w:pPr>
            <w:r>
              <w:rPr>
                <w:rFonts w:ascii="Times New Roman" w:hAnsi="Times New Roman" w:cs="Times New Roman"/>
                <w:b/>
                <w:color w:val="auto"/>
                <w:sz w:val="15"/>
                <w:szCs w:val="15"/>
              </w:rPr>
              <w:t>污染物</w:t>
            </w:r>
          </w:p>
        </w:tc>
        <w:tc>
          <w:tcPr>
            <w:tcW w:w="828" w:type="dxa"/>
            <w:tcMar>
              <w:left w:w="57" w:type="dxa"/>
              <w:right w:w="57" w:type="dxa"/>
            </w:tcMar>
            <w:vAlign w:val="center"/>
          </w:tcPr>
          <w:p>
            <w:pPr>
              <w:snapToGrid w:val="0"/>
              <w:spacing w:line="312" w:lineRule="auto"/>
              <w:rPr>
                <w:rFonts w:ascii="Times New Roman" w:hAnsi="Times New Roman" w:cs="Times New Roman"/>
                <w:b/>
                <w:color w:val="auto"/>
                <w:sz w:val="15"/>
                <w:szCs w:val="15"/>
              </w:rPr>
            </w:pPr>
            <w:r>
              <w:rPr>
                <w:rFonts w:ascii="Times New Roman" w:hAnsi="Times New Roman" w:cs="Times New Roman"/>
                <w:b/>
                <w:color w:val="auto"/>
                <w:sz w:val="15"/>
                <w:szCs w:val="15"/>
              </w:rPr>
              <w:t>原有排</w:t>
            </w:r>
          </w:p>
          <w:p>
            <w:pPr>
              <w:snapToGrid w:val="0"/>
              <w:spacing w:line="312" w:lineRule="auto"/>
              <w:rPr>
                <w:rFonts w:ascii="Times New Roman" w:hAnsi="Times New Roman" w:cs="Times New Roman"/>
                <w:b/>
                <w:color w:val="auto"/>
                <w:sz w:val="15"/>
                <w:szCs w:val="15"/>
              </w:rPr>
            </w:pPr>
            <w:r>
              <w:rPr>
                <w:rFonts w:ascii="Times New Roman" w:hAnsi="Times New Roman" w:cs="Times New Roman"/>
                <w:b/>
                <w:color w:val="auto"/>
                <w:sz w:val="15"/>
                <w:szCs w:val="15"/>
              </w:rPr>
              <w:t>放量(1)</w:t>
            </w:r>
          </w:p>
        </w:tc>
        <w:tc>
          <w:tcPr>
            <w:tcW w:w="1446" w:type="dxa"/>
            <w:tcMar>
              <w:left w:w="57" w:type="dxa"/>
              <w:right w:w="57" w:type="dxa"/>
            </w:tcMar>
            <w:vAlign w:val="center"/>
          </w:tcPr>
          <w:p>
            <w:pPr>
              <w:snapToGrid w:val="0"/>
              <w:spacing w:line="312" w:lineRule="auto"/>
              <w:rPr>
                <w:rFonts w:ascii="Times New Roman" w:hAnsi="Times New Roman" w:cs="Times New Roman"/>
                <w:b/>
                <w:color w:val="auto"/>
                <w:sz w:val="15"/>
                <w:szCs w:val="15"/>
              </w:rPr>
            </w:pPr>
            <w:r>
              <w:rPr>
                <w:rFonts w:ascii="Times New Roman" w:hAnsi="Times New Roman" w:cs="Times New Roman"/>
                <w:b/>
                <w:color w:val="auto"/>
                <w:sz w:val="15"/>
                <w:szCs w:val="15"/>
              </w:rPr>
              <w:t>本期工程实际排放浓度(2)</w:t>
            </w:r>
          </w:p>
        </w:tc>
        <w:tc>
          <w:tcPr>
            <w:tcW w:w="1134" w:type="dxa"/>
            <w:tcMar>
              <w:left w:w="57" w:type="dxa"/>
              <w:right w:w="57" w:type="dxa"/>
            </w:tcMar>
            <w:vAlign w:val="center"/>
          </w:tcPr>
          <w:p>
            <w:pPr>
              <w:snapToGrid w:val="0"/>
              <w:spacing w:line="312" w:lineRule="auto"/>
              <w:rPr>
                <w:rFonts w:ascii="Times New Roman" w:hAnsi="Times New Roman" w:cs="Times New Roman"/>
                <w:b/>
                <w:color w:val="auto"/>
                <w:sz w:val="15"/>
                <w:szCs w:val="15"/>
              </w:rPr>
            </w:pPr>
            <w:r>
              <w:rPr>
                <w:rFonts w:ascii="Times New Roman" w:hAnsi="Times New Roman" w:cs="Times New Roman"/>
                <w:b/>
                <w:color w:val="auto"/>
                <w:sz w:val="15"/>
                <w:szCs w:val="15"/>
              </w:rPr>
              <w:t>本期工程允许排放浓度(3)</w:t>
            </w:r>
          </w:p>
        </w:tc>
        <w:tc>
          <w:tcPr>
            <w:tcW w:w="851" w:type="dxa"/>
            <w:tcMar>
              <w:left w:w="57" w:type="dxa"/>
              <w:right w:w="57" w:type="dxa"/>
            </w:tcMar>
            <w:vAlign w:val="center"/>
          </w:tcPr>
          <w:p>
            <w:pPr>
              <w:snapToGrid w:val="0"/>
              <w:spacing w:line="312" w:lineRule="auto"/>
              <w:rPr>
                <w:rFonts w:ascii="Times New Roman" w:hAnsi="Times New Roman" w:cs="Times New Roman"/>
                <w:b/>
                <w:color w:val="auto"/>
                <w:sz w:val="15"/>
                <w:szCs w:val="15"/>
              </w:rPr>
            </w:pPr>
            <w:r>
              <w:rPr>
                <w:rFonts w:ascii="Times New Roman" w:hAnsi="Times New Roman" w:cs="Times New Roman"/>
                <w:b/>
                <w:color w:val="auto"/>
                <w:sz w:val="15"/>
                <w:szCs w:val="15"/>
              </w:rPr>
              <w:t>本期工程产生量(4)</w:t>
            </w:r>
          </w:p>
        </w:tc>
        <w:tc>
          <w:tcPr>
            <w:tcW w:w="992" w:type="dxa"/>
            <w:gridSpan w:val="2"/>
            <w:tcMar>
              <w:left w:w="57" w:type="dxa"/>
              <w:right w:w="57" w:type="dxa"/>
            </w:tcMar>
            <w:vAlign w:val="center"/>
          </w:tcPr>
          <w:p>
            <w:pPr>
              <w:snapToGrid w:val="0"/>
              <w:spacing w:line="312" w:lineRule="auto"/>
              <w:rPr>
                <w:rFonts w:ascii="Times New Roman" w:hAnsi="Times New Roman" w:cs="Times New Roman"/>
                <w:b/>
                <w:color w:val="auto"/>
                <w:sz w:val="15"/>
                <w:szCs w:val="15"/>
              </w:rPr>
            </w:pPr>
            <w:r>
              <w:rPr>
                <w:rFonts w:ascii="Times New Roman" w:hAnsi="Times New Roman" w:cs="Times New Roman"/>
                <w:b/>
                <w:color w:val="auto"/>
                <w:sz w:val="15"/>
                <w:szCs w:val="15"/>
              </w:rPr>
              <w:t>本期工程自身削减量(5)</w:t>
            </w:r>
          </w:p>
        </w:tc>
        <w:tc>
          <w:tcPr>
            <w:tcW w:w="1282" w:type="dxa"/>
            <w:tcMar>
              <w:left w:w="57" w:type="dxa"/>
              <w:right w:w="57" w:type="dxa"/>
            </w:tcMar>
            <w:vAlign w:val="center"/>
          </w:tcPr>
          <w:p>
            <w:pPr>
              <w:snapToGrid w:val="0"/>
              <w:spacing w:line="312" w:lineRule="auto"/>
              <w:rPr>
                <w:rFonts w:ascii="Times New Roman" w:hAnsi="Times New Roman" w:cs="Times New Roman"/>
                <w:b/>
                <w:color w:val="auto"/>
                <w:sz w:val="15"/>
                <w:szCs w:val="15"/>
              </w:rPr>
            </w:pPr>
            <w:r>
              <w:rPr>
                <w:rFonts w:ascii="Times New Roman" w:hAnsi="Times New Roman" w:cs="Times New Roman"/>
                <w:b/>
                <w:color w:val="auto"/>
                <w:sz w:val="15"/>
                <w:szCs w:val="15"/>
              </w:rPr>
              <w:t>本期工程实际排放量(6)</w:t>
            </w:r>
          </w:p>
        </w:tc>
        <w:tc>
          <w:tcPr>
            <w:tcW w:w="1018" w:type="dxa"/>
            <w:tcMar>
              <w:left w:w="57" w:type="dxa"/>
              <w:right w:w="57" w:type="dxa"/>
            </w:tcMar>
            <w:vAlign w:val="center"/>
          </w:tcPr>
          <w:p>
            <w:pPr>
              <w:snapToGrid w:val="0"/>
              <w:spacing w:line="312" w:lineRule="auto"/>
              <w:jc w:val="center"/>
              <w:rPr>
                <w:rFonts w:ascii="Times New Roman" w:hAnsi="Times New Roman" w:cs="Times New Roman"/>
                <w:b/>
                <w:color w:val="auto"/>
                <w:sz w:val="15"/>
                <w:szCs w:val="15"/>
              </w:rPr>
            </w:pPr>
            <w:r>
              <w:rPr>
                <w:rFonts w:ascii="Times New Roman" w:hAnsi="Times New Roman" w:cs="Times New Roman"/>
                <w:b/>
                <w:color w:val="auto"/>
                <w:sz w:val="15"/>
                <w:szCs w:val="15"/>
              </w:rPr>
              <w:t>本期工程核定排放总量(7)</w:t>
            </w:r>
          </w:p>
        </w:tc>
        <w:tc>
          <w:tcPr>
            <w:tcW w:w="1952" w:type="dxa"/>
            <w:tcMar>
              <w:left w:w="57" w:type="dxa"/>
              <w:right w:w="57" w:type="dxa"/>
            </w:tcMar>
            <w:vAlign w:val="center"/>
          </w:tcPr>
          <w:p>
            <w:pPr>
              <w:snapToGrid w:val="0"/>
              <w:spacing w:line="312" w:lineRule="auto"/>
              <w:rPr>
                <w:rFonts w:ascii="Times New Roman" w:hAnsi="Times New Roman" w:cs="Times New Roman"/>
                <w:b/>
                <w:color w:val="auto"/>
                <w:sz w:val="15"/>
                <w:szCs w:val="15"/>
              </w:rPr>
            </w:pPr>
            <w:r>
              <w:rPr>
                <w:rFonts w:ascii="Times New Roman" w:hAnsi="Times New Roman" w:cs="Times New Roman"/>
                <w:b/>
                <w:color w:val="auto"/>
                <w:sz w:val="15"/>
                <w:szCs w:val="15"/>
              </w:rPr>
              <w:t>本期工程“以新带老”削减量(8)</w:t>
            </w:r>
          </w:p>
        </w:tc>
        <w:tc>
          <w:tcPr>
            <w:tcW w:w="839" w:type="dxa"/>
            <w:tcMar>
              <w:left w:w="57" w:type="dxa"/>
              <w:right w:w="57" w:type="dxa"/>
            </w:tcMar>
            <w:vAlign w:val="center"/>
          </w:tcPr>
          <w:p>
            <w:pPr>
              <w:snapToGrid w:val="0"/>
              <w:spacing w:line="312" w:lineRule="auto"/>
              <w:rPr>
                <w:rFonts w:ascii="Times New Roman" w:hAnsi="Times New Roman" w:cs="Times New Roman"/>
                <w:b/>
                <w:color w:val="auto"/>
                <w:sz w:val="15"/>
                <w:szCs w:val="15"/>
              </w:rPr>
            </w:pPr>
            <w:r>
              <w:rPr>
                <w:rFonts w:ascii="Times New Roman" w:hAnsi="Times New Roman" w:cs="Times New Roman"/>
                <w:b/>
                <w:color w:val="auto"/>
                <w:sz w:val="15"/>
                <w:szCs w:val="15"/>
              </w:rPr>
              <w:t>全厂实际排放总量(9)</w:t>
            </w:r>
          </w:p>
        </w:tc>
        <w:tc>
          <w:tcPr>
            <w:tcW w:w="1244" w:type="dxa"/>
            <w:gridSpan w:val="2"/>
            <w:tcMar>
              <w:left w:w="57" w:type="dxa"/>
              <w:right w:w="57" w:type="dxa"/>
            </w:tcMar>
            <w:vAlign w:val="center"/>
          </w:tcPr>
          <w:p>
            <w:pPr>
              <w:snapToGrid w:val="0"/>
              <w:spacing w:line="312" w:lineRule="auto"/>
              <w:rPr>
                <w:rFonts w:ascii="Times New Roman" w:hAnsi="Times New Roman" w:cs="Times New Roman"/>
                <w:b/>
                <w:color w:val="auto"/>
                <w:sz w:val="15"/>
                <w:szCs w:val="15"/>
              </w:rPr>
            </w:pPr>
            <w:r>
              <w:rPr>
                <w:rFonts w:ascii="Times New Roman" w:hAnsi="Times New Roman" w:cs="Times New Roman"/>
                <w:b/>
                <w:color w:val="auto"/>
                <w:sz w:val="15"/>
                <w:szCs w:val="15"/>
              </w:rPr>
              <w:t>全厂核定排放总量(10)</w:t>
            </w:r>
          </w:p>
        </w:tc>
        <w:tc>
          <w:tcPr>
            <w:tcW w:w="1102" w:type="dxa"/>
            <w:gridSpan w:val="2"/>
            <w:tcMar>
              <w:left w:w="57" w:type="dxa"/>
              <w:right w:w="57" w:type="dxa"/>
            </w:tcMar>
            <w:vAlign w:val="center"/>
          </w:tcPr>
          <w:p>
            <w:pPr>
              <w:snapToGrid w:val="0"/>
              <w:spacing w:line="312" w:lineRule="auto"/>
              <w:rPr>
                <w:rFonts w:ascii="Times New Roman" w:hAnsi="Times New Roman" w:cs="Times New Roman"/>
                <w:b/>
                <w:color w:val="auto"/>
                <w:sz w:val="15"/>
                <w:szCs w:val="15"/>
              </w:rPr>
            </w:pPr>
            <w:r>
              <w:rPr>
                <w:rFonts w:ascii="Times New Roman" w:hAnsi="Times New Roman" w:cs="Times New Roman"/>
                <w:b/>
                <w:color w:val="auto"/>
                <w:sz w:val="15"/>
                <w:szCs w:val="15"/>
              </w:rPr>
              <w:t>区域平衡替代削减量(11)</w:t>
            </w:r>
          </w:p>
        </w:tc>
        <w:tc>
          <w:tcPr>
            <w:tcW w:w="794" w:type="dxa"/>
            <w:tcMar>
              <w:left w:w="57" w:type="dxa"/>
              <w:right w:w="57" w:type="dxa"/>
            </w:tcMar>
            <w:vAlign w:val="center"/>
          </w:tcPr>
          <w:p>
            <w:pPr>
              <w:snapToGrid w:val="0"/>
              <w:rPr>
                <w:rFonts w:ascii="Times New Roman" w:hAnsi="Times New Roman" w:cs="Times New Roman"/>
                <w:b/>
                <w:color w:val="auto"/>
                <w:sz w:val="15"/>
                <w:szCs w:val="15"/>
              </w:rPr>
            </w:pPr>
            <w:r>
              <w:rPr>
                <w:rFonts w:ascii="Times New Roman" w:hAnsi="Times New Roman" w:cs="Times New Roman"/>
                <w:b/>
                <w:color w:val="auto"/>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废水</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vAlign w:val="cente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悬浮物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40</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400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auto"/>
                <w:sz w:val="15"/>
                <w:szCs w:val="15"/>
              </w:rPr>
            </w:pPr>
            <w:r>
              <w:rPr>
                <w:rFonts w:hint="eastAsia" w:ascii="Times New Roman" w:hAnsi="Times New Roman" w:eastAsia="宋体" w:cs="Times New Roman"/>
                <w:b/>
                <w:color w:val="auto"/>
                <w:sz w:val="15"/>
                <w:szCs w:val="15"/>
              </w:rPr>
              <w:t>五日生化需氧量</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76.0</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300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val="en-US" w:eastAsia="zh-CN"/>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化学需氧量</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340</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500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0.022</w:t>
            </w: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0.022</w:t>
            </w: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0.023</w:t>
            </w: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0.022</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0.023</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氨氮</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8.00</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35</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0.002</w:t>
            </w: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0.002</w:t>
            </w: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0.002</w:t>
            </w: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0.002</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0.002</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sz w:val="13"/>
                <w:szCs w:val="13"/>
                <w:lang w:val="en-US" w:eastAsia="zh-CN"/>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总磷</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1.67</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8</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color w:val="auto"/>
                <w:sz w:val="15"/>
                <w:szCs w:val="15"/>
                <w:lang w:val="en-US" w:eastAsia="zh-CN"/>
              </w:rPr>
            </w:pPr>
            <w:r>
              <w:rPr>
                <w:rFonts w:hint="eastAsia" w:ascii="Times New Roman" w:hAnsi="Times New Roman" w:eastAsia="宋体" w:cs="Times New Roman"/>
                <w:b/>
                <w:color w:val="auto"/>
                <w:sz w:val="15"/>
                <w:szCs w:val="15"/>
                <w:lang w:val="en-US" w:eastAsia="zh-CN"/>
              </w:rPr>
              <w:t>石油类</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0.48</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20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auto"/>
                <w:sz w:val="15"/>
                <w:szCs w:val="15"/>
              </w:rPr>
            </w:pPr>
            <w:r>
              <w:rPr>
                <w:rFonts w:hint="eastAsia" w:ascii="Times New Roman" w:hAnsi="Times New Roman" w:eastAsia="宋体" w:cs="Times New Roman"/>
                <w:b/>
                <w:color w:val="auto"/>
                <w:sz w:val="15"/>
                <w:szCs w:val="15"/>
                <w:lang w:eastAsia="zh-CN"/>
              </w:rPr>
              <w:t>动植物</w:t>
            </w:r>
            <w:r>
              <w:rPr>
                <w:rFonts w:hint="eastAsia" w:ascii="Times New Roman" w:hAnsi="Times New Roman" w:eastAsia="宋体" w:cs="Times New Roman"/>
                <w:b/>
                <w:color w:val="auto"/>
                <w:sz w:val="15"/>
                <w:szCs w:val="15"/>
              </w:rPr>
              <w:t>油类</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0.58</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100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auto"/>
                <w:sz w:val="15"/>
                <w:szCs w:val="15"/>
                <w:lang w:val="en-US" w:eastAsia="zh-CN"/>
              </w:rPr>
            </w:pPr>
            <w:r>
              <w:rPr>
                <w:rFonts w:hint="eastAsia" w:ascii="Times New Roman" w:hAnsi="Times New Roman" w:eastAsia="宋体" w:cs="Times New Roman"/>
                <w:b/>
                <w:color w:val="auto"/>
                <w:sz w:val="15"/>
                <w:szCs w:val="15"/>
                <w:lang w:val="en-US" w:eastAsia="zh-CN"/>
              </w:rPr>
              <w:t>阴离子表面活性剂</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2.81</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20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auto"/>
                <w:sz w:val="15"/>
                <w:szCs w:val="15"/>
                <w:lang w:val="en-US" w:eastAsia="zh-CN"/>
              </w:rPr>
            </w:pPr>
            <w:r>
              <w:rPr>
                <w:rFonts w:ascii="Times New Roman" w:hAnsi="Times New Roman" w:eastAsia="宋体" w:cs="Times New Roman"/>
                <w:b/>
                <w:color w:val="auto"/>
                <w:sz w:val="15"/>
                <w:szCs w:val="15"/>
              </w:rPr>
              <w:t>非甲烷总烃</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3.06</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r>
              <w:rPr>
                <w:rFonts w:hint="eastAsia" w:ascii="Times New Roman" w:hAnsi="Times New Roman" w:eastAsia="宋体" w:cs="Times New Roman"/>
                <w:bCs/>
                <w:color w:val="auto"/>
                <w:sz w:val="13"/>
                <w:szCs w:val="13"/>
                <w:lang w:val="en-US" w:eastAsia="zh-CN"/>
              </w:rPr>
              <w:t>80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0.371</w:t>
            </w: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0.371</w:t>
            </w: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0.415</w:t>
            </w: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0.371</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0.415</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r>
              <w:rPr>
                <w:rFonts w:hint="eastAsia" w:ascii="Times New Roman" w:hAnsi="Times New Roman" w:eastAsia="宋体" w:cs="Times New Roman"/>
                <w:bCs/>
                <w:color w:val="auto"/>
                <w:kern w:val="2"/>
                <w:sz w:val="13"/>
                <w:szCs w:val="13"/>
                <w:lang w:val="en-US" w:eastAsia="zh-CN" w:bidi="ar-SA"/>
              </w:rPr>
              <w:t>+0.371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颗粒物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auto"/>
                <w:sz w:val="15"/>
                <w:szCs w:val="15"/>
                <w:lang w:val="en-US" w:eastAsia="zh-CN"/>
              </w:rPr>
            </w:pPr>
            <w:r>
              <w:rPr>
                <w:rFonts w:hint="eastAsia" w:ascii="Times New Roman" w:hAnsi="Times New Roman" w:eastAsia="宋体" w:cs="Times New Roman"/>
                <w:b/>
                <w:color w:val="auto"/>
                <w:sz w:val="15"/>
                <w:szCs w:val="15"/>
                <w:lang w:val="en-US" w:eastAsia="zh-CN"/>
              </w:rPr>
              <w:t>甲苯</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auto"/>
                <w:sz w:val="15"/>
                <w:szCs w:val="15"/>
                <w:lang w:val="en-US" w:eastAsia="zh-CN"/>
              </w:rPr>
            </w:pPr>
            <w:r>
              <w:rPr>
                <w:rFonts w:hint="eastAsia" w:ascii="Times New Roman" w:hAnsi="Times New Roman" w:eastAsia="宋体" w:cs="Times New Roman"/>
                <w:b/>
                <w:color w:val="auto"/>
                <w:sz w:val="15"/>
                <w:szCs w:val="15"/>
                <w:lang w:val="en-US" w:eastAsia="zh-CN"/>
              </w:rPr>
              <w:t>二甲苯</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color w:val="auto"/>
                <w:sz w:val="15"/>
                <w:szCs w:val="15"/>
                <w:lang w:val="en-US" w:eastAsia="zh-CN"/>
              </w:rPr>
            </w:pPr>
            <w:r>
              <w:rPr>
                <w:rFonts w:hint="eastAsia" w:ascii="Times New Roman" w:hAnsi="Times New Roman" w:eastAsia="宋体" w:cs="Times New Roman"/>
                <w:b/>
                <w:color w:val="auto"/>
                <w:sz w:val="15"/>
                <w:szCs w:val="15"/>
                <w:lang w:val="en-US" w:eastAsia="zh-CN"/>
              </w:rPr>
              <w:t>苯乙烯</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auto"/>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color w:val="auto"/>
                <w:sz w:val="15"/>
                <w:szCs w:val="15"/>
                <w:lang w:val="en-US" w:eastAsia="zh-CN"/>
              </w:rPr>
            </w:pPr>
            <w:r>
              <w:rPr>
                <w:rFonts w:hint="eastAsia" w:ascii="Times New Roman" w:hAnsi="Times New Roman" w:eastAsia="宋体" w:cs="Times New Roman"/>
                <w:b/>
                <w:color w:val="auto"/>
                <w:sz w:val="15"/>
                <w:szCs w:val="15"/>
                <w:lang w:val="en-US" w:eastAsia="zh-CN"/>
              </w:rPr>
              <w:t>乙酸丁酯</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13"/>
                <w:szCs w:val="13"/>
                <w:lang w:val="en-US" w:eastAsia="zh-CN"/>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98" w:type="dxa"/>
            <w:gridSpan w:val="2"/>
            <w:vMerge w:val="continue"/>
            <w:tcMar>
              <w:left w:w="57" w:type="dxa"/>
              <w:right w:w="57" w:type="dxa"/>
            </w:tcMar>
          </w:tcPr>
          <w:p>
            <w:pPr>
              <w:snapToGrid w:val="0"/>
              <w:spacing w:line="312" w:lineRule="auto"/>
              <w:rPr>
                <w:color w:val="auto"/>
                <w:sz w:val="15"/>
                <w:szCs w:val="15"/>
              </w:rPr>
            </w:pPr>
          </w:p>
        </w:tc>
        <w:tc>
          <w:tcPr>
            <w:tcW w:w="1099" w:type="dxa"/>
            <w:tcMar>
              <w:left w:w="57" w:type="dxa"/>
              <w:right w:w="57" w:type="dxa"/>
            </w:tcMar>
          </w:tcPr>
          <w:p>
            <w:pPr>
              <w:snapToGrid w:val="0"/>
              <w:rPr>
                <w:color w:val="auto"/>
                <w:sz w:val="15"/>
                <w:szCs w:val="15"/>
              </w:rPr>
            </w:pPr>
            <w:r>
              <w:rPr>
                <w:b/>
                <w:color w:val="auto"/>
                <w:sz w:val="15"/>
                <w:szCs w:val="15"/>
              </w:rPr>
              <w:t>与项目有关的其</w:t>
            </w:r>
            <w:r>
              <w:rPr>
                <w:rFonts w:hint="eastAsia"/>
                <w:b/>
                <w:color w:val="auto"/>
                <w:sz w:val="15"/>
                <w:szCs w:val="15"/>
              </w:rPr>
              <w:t>他</w:t>
            </w:r>
            <w:r>
              <w:rPr>
                <w:b/>
                <w:color w:val="auto"/>
                <w:sz w:val="15"/>
                <w:szCs w:val="15"/>
              </w:rPr>
              <w:t>特征污染物</w:t>
            </w:r>
          </w:p>
        </w:tc>
        <w:tc>
          <w:tcPr>
            <w:tcW w:w="697" w:type="dxa"/>
            <w:tcMar>
              <w:left w:w="57" w:type="dxa"/>
              <w:right w:w="57" w:type="dxa"/>
            </w:tcMar>
            <w:vAlign w:val="center"/>
          </w:tcPr>
          <w:p>
            <w:pPr>
              <w:snapToGrid w:val="0"/>
              <w:spacing w:line="312" w:lineRule="auto"/>
              <w:rPr>
                <w:rFonts w:ascii="Times New Roman" w:hAnsi="Times New Roman" w:cs="Times New Roman"/>
                <w:color w:val="auto"/>
                <w:sz w:val="15"/>
                <w:szCs w:val="15"/>
                <w:vertAlign w:val="subscript"/>
              </w:rPr>
            </w:pPr>
            <w:r>
              <w:rPr>
                <w:rFonts w:ascii="Times New Roman" w:hAnsi="Times New Roman" w:cs="Times New Roman"/>
                <w:color w:val="auto"/>
                <w:sz w:val="15"/>
                <w:szCs w:val="15"/>
              </w:rPr>
              <w:t>VOC</w:t>
            </w:r>
            <w:r>
              <w:rPr>
                <w:rFonts w:ascii="Times New Roman" w:hAnsi="Times New Roman" w:cs="Times New Roman"/>
                <w:color w:val="auto"/>
                <w:sz w:val="15"/>
                <w:szCs w:val="15"/>
                <w:vertAlign w:val="subscript"/>
              </w:rPr>
              <w:t>S</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 w:val="13"/>
                <w:szCs w:val="13"/>
                <w:lang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01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9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13"/>
                <w:szCs w:val="13"/>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13"/>
                <w:szCs w:val="13"/>
                <w:lang w:val="en-US" w:eastAsia="zh-CN" w:bidi="ar-SA"/>
              </w:rPr>
            </w:pPr>
          </w:p>
        </w:tc>
      </w:tr>
    </w:tbl>
    <w:p>
      <w:pPr>
        <w:rPr>
          <w:rFonts w:ascii="Times New Roman" w:hAnsi="Times New Roman"/>
          <w:sz w:val="18"/>
          <w:szCs w:val="18"/>
        </w:rPr>
      </w:pPr>
      <w:r>
        <w:rPr>
          <w:rFonts w:hint="eastAsia" w:ascii="Times New Roman" w:hAnsi="Times New Roman"/>
          <w:sz w:val="18"/>
          <w:szCs w:val="18"/>
        </w:rPr>
        <w:t>注：</w:t>
      </w:r>
      <w:r>
        <w:rPr>
          <w:rFonts w:ascii="Times New Roman" w:hAnsi="Times New Roman"/>
          <w:sz w:val="18"/>
          <w:szCs w:val="18"/>
        </w:rPr>
        <w:t>1</w:t>
      </w:r>
      <w:r>
        <w:rPr>
          <w:rFonts w:hint="eastAsia" w:ascii="Times New Roman" w:hAnsi="Times New Roman"/>
          <w:sz w:val="18"/>
          <w:szCs w:val="18"/>
        </w:rPr>
        <w:t>、排放增减量：（</w:t>
      </w:r>
      <w:r>
        <w:rPr>
          <w:rFonts w:ascii="Times New Roman" w:hAnsi="Times New Roman"/>
          <w:sz w:val="18"/>
          <w:szCs w:val="18"/>
        </w:rPr>
        <w:t>+</w:t>
      </w:r>
      <w:r>
        <w:rPr>
          <w:rFonts w:hint="eastAsia" w:ascii="Times New Roman" w:hAnsi="Times New Roman"/>
          <w:sz w:val="18"/>
          <w:szCs w:val="18"/>
        </w:rPr>
        <w:t>）表示增加，（</w:t>
      </w:r>
      <w:r>
        <w:rPr>
          <w:rFonts w:ascii="Times New Roman" w:hAnsi="Times New Roman"/>
          <w:sz w:val="18"/>
          <w:szCs w:val="18"/>
        </w:rPr>
        <w:t>-</w:t>
      </w:r>
      <w:r>
        <w:rPr>
          <w:rFonts w:hint="eastAsia" w:ascii="Times New Roman" w:hAnsi="Times New Roman"/>
          <w:sz w:val="18"/>
          <w:szCs w:val="18"/>
        </w:rPr>
        <w:t>）表示减少；</w:t>
      </w:r>
      <w:r>
        <w:rPr>
          <w:rFonts w:ascii="Times New Roman" w:hAnsi="Times New Roman"/>
          <w:sz w:val="18"/>
          <w:szCs w:val="18"/>
        </w:rPr>
        <w:t>2</w:t>
      </w:r>
      <w:r>
        <w:rPr>
          <w:rFonts w:hint="eastAsia" w:ascii="Times New Roman" w:hAnsi="Times New Roman"/>
          <w:sz w:val="18"/>
          <w:szCs w:val="18"/>
        </w:rPr>
        <w:t>、（</w:t>
      </w:r>
      <w:r>
        <w:rPr>
          <w:rFonts w:ascii="Times New Roman" w:hAnsi="Times New Roman"/>
          <w:sz w:val="18"/>
          <w:szCs w:val="18"/>
        </w:rPr>
        <w:t>12</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6</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8</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11</w:t>
      </w:r>
      <w:r>
        <w:rPr>
          <w:rFonts w:hint="eastAsia" w:ascii="Times New Roman" w:hAnsi="Times New Roman"/>
          <w:sz w:val="18"/>
          <w:szCs w:val="18"/>
        </w:rPr>
        <w:t>），（</w:t>
      </w:r>
      <w:r>
        <w:rPr>
          <w:rFonts w:ascii="Times New Roman" w:hAnsi="Times New Roman"/>
          <w:sz w:val="18"/>
          <w:szCs w:val="18"/>
        </w:rPr>
        <w:t>9</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4</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5</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8</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11</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w:t>
      </w:r>
      <w:r>
        <w:rPr>
          <w:rFonts w:hint="eastAsia" w:ascii="Times New Roman" w:hAnsi="Times New Roman"/>
          <w:sz w:val="18"/>
          <w:szCs w:val="18"/>
        </w:rPr>
        <w:t>）；</w:t>
      </w:r>
      <w:r>
        <w:rPr>
          <w:rFonts w:ascii="Times New Roman" w:hAnsi="Times New Roman"/>
          <w:sz w:val="18"/>
          <w:szCs w:val="18"/>
        </w:rPr>
        <w:t>3</w:t>
      </w:r>
      <w:r>
        <w:rPr>
          <w:rFonts w:hint="eastAsia" w:ascii="Times New Roman" w:hAnsi="Times New Roman"/>
          <w:sz w:val="18"/>
          <w:szCs w:val="18"/>
        </w:rPr>
        <w:t>、计量单位：废水排放量</w:t>
      </w:r>
      <w:r>
        <w:rPr>
          <w:rFonts w:ascii="Times New Roman" w:hAnsi="Times New Roman"/>
          <w:sz w:val="18"/>
          <w:szCs w:val="18"/>
        </w:rPr>
        <w:t>——</w:t>
      </w:r>
      <w:r>
        <w:rPr>
          <w:rFonts w:hint="eastAsia" w:ascii="Times New Roman" w:hAnsi="Times New Roman"/>
          <w:sz w:val="18"/>
          <w:szCs w:val="18"/>
        </w:rPr>
        <w:t>万吨</w:t>
      </w:r>
      <w:r>
        <w:rPr>
          <w:rFonts w:ascii="Times New Roman" w:hAnsi="Times New Roman"/>
          <w:sz w:val="18"/>
          <w:szCs w:val="18"/>
        </w:rPr>
        <w:t>/</w:t>
      </w:r>
      <w:r>
        <w:rPr>
          <w:rFonts w:hint="eastAsia" w:ascii="Times New Roman" w:hAnsi="Times New Roman"/>
          <w:sz w:val="18"/>
          <w:szCs w:val="18"/>
        </w:rPr>
        <w:t>年；废气排放量</w:t>
      </w:r>
      <w:r>
        <w:rPr>
          <w:rFonts w:ascii="Times New Roman" w:hAnsi="Times New Roman"/>
          <w:sz w:val="18"/>
          <w:szCs w:val="18"/>
        </w:rPr>
        <w:t>——</w:t>
      </w:r>
      <w:r>
        <w:rPr>
          <w:rFonts w:hint="eastAsia" w:ascii="Times New Roman" w:hAnsi="Times New Roman"/>
          <w:sz w:val="18"/>
          <w:szCs w:val="18"/>
        </w:rPr>
        <w:t>万标立方米</w:t>
      </w:r>
      <w:r>
        <w:rPr>
          <w:rFonts w:ascii="Times New Roman" w:hAnsi="Times New Roman"/>
          <w:sz w:val="18"/>
          <w:szCs w:val="18"/>
        </w:rPr>
        <w:t>/</w:t>
      </w:r>
      <w:r>
        <w:rPr>
          <w:rFonts w:hint="eastAsia" w:ascii="Times New Roman" w:hAnsi="Times New Roman"/>
          <w:sz w:val="18"/>
          <w:szCs w:val="18"/>
        </w:rPr>
        <w:t>年；水污染物排放浓度</w:t>
      </w:r>
      <w:r>
        <w:rPr>
          <w:rFonts w:ascii="Times New Roman" w:hAnsi="Times New Roman"/>
          <w:sz w:val="18"/>
          <w:szCs w:val="18"/>
        </w:rPr>
        <w:t>——</w:t>
      </w:r>
      <w:r>
        <w:rPr>
          <w:rFonts w:hint="eastAsia" w:ascii="Times New Roman" w:hAnsi="Times New Roman"/>
          <w:sz w:val="18"/>
          <w:szCs w:val="18"/>
        </w:rPr>
        <w:t>毫克</w:t>
      </w:r>
      <w:r>
        <w:rPr>
          <w:rFonts w:ascii="Times New Roman" w:hAnsi="Times New Roman"/>
          <w:sz w:val="18"/>
          <w:szCs w:val="18"/>
        </w:rPr>
        <w:t>/</w:t>
      </w:r>
      <w:r>
        <w:rPr>
          <w:rFonts w:hint="eastAsia" w:ascii="Times New Roman" w:hAnsi="Times New Roman"/>
          <w:sz w:val="18"/>
          <w:szCs w:val="18"/>
        </w:rPr>
        <w:t>升；大气污染物排放浓度</w:t>
      </w:r>
      <w:r>
        <w:rPr>
          <w:rFonts w:ascii="Times New Roman" w:hAnsi="Times New Roman"/>
          <w:sz w:val="18"/>
          <w:szCs w:val="18"/>
        </w:rPr>
        <w:t>——</w:t>
      </w:r>
      <w:r>
        <w:rPr>
          <w:rFonts w:hint="eastAsia" w:ascii="Times New Roman" w:hAnsi="Times New Roman"/>
          <w:sz w:val="18"/>
          <w:szCs w:val="18"/>
        </w:rPr>
        <w:t>毫克</w:t>
      </w:r>
      <w:r>
        <w:rPr>
          <w:rFonts w:ascii="Times New Roman" w:hAnsi="Times New Roman"/>
          <w:sz w:val="18"/>
          <w:szCs w:val="18"/>
        </w:rPr>
        <w:t>/</w:t>
      </w:r>
      <w:r>
        <w:rPr>
          <w:rFonts w:hint="eastAsia" w:ascii="Times New Roman" w:hAnsi="Times New Roman"/>
          <w:sz w:val="18"/>
          <w:szCs w:val="18"/>
        </w:rPr>
        <w:t>立方米；水污染物排放量</w:t>
      </w:r>
      <w:r>
        <w:rPr>
          <w:rFonts w:ascii="Times New Roman" w:hAnsi="Times New Roman"/>
          <w:sz w:val="18"/>
          <w:szCs w:val="18"/>
        </w:rPr>
        <w:t>——</w:t>
      </w:r>
      <w:r>
        <w:rPr>
          <w:rFonts w:hint="eastAsia" w:ascii="Times New Roman" w:hAnsi="Times New Roman"/>
          <w:sz w:val="18"/>
          <w:szCs w:val="18"/>
        </w:rPr>
        <w:t>吨</w:t>
      </w:r>
      <w:r>
        <w:rPr>
          <w:rFonts w:ascii="Times New Roman" w:hAnsi="Times New Roman"/>
          <w:sz w:val="18"/>
          <w:szCs w:val="18"/>
        </w:rPr>
        <w:t>/</w:t>
      </w:r>
      <w:r>
        <w:rPr>
          <w:rFonts w:hint="eastAsia" w:ascii="Times New Roman" w:hAnsi="Times New Roman"/>
          <w:sz w:val="18"/>
          <w:szCs w:val="18"/>
        </w:rPr>
        <w:t>年；大气污染物排放量</w:t>
      </w:r>
      <w:r>
        <w:rPr>
          <w:rFonts w:ascii="Times New Roman" w:hAnsi="Times New Roman"/>
          <w:sz w:val="18"/>
          <w:szCs w:val="18"/>
        </w:rPr>
        <w:t>——</w:t>
      </w:r>
      <w:r>
        <w:rPr>
          <w:rFonts w:hint="eastAsia" w:ascii="Times New Roman" w:hAnsi="Times New Roman"/>
          <w:sz w:val="18"/>
          <w:szCs w:val="18"/>
        </w:rPr>
        <w:t>吨</w:t>
      </w:r>
      <w:r>
        <w:rPr>
          <w:rFonts w:ascii="Times New Roman" w:hAnsi="Times New Roman"/>
          <w:sz w:val="18"/>
          <w:szCs w:val="18"/>
        </w:rPr>
        <w:t>/</w:t>
      </w:r>
      <w:r>
        <w:rPr>
          <w:rFonts w:hint="eastAsia" w:ascii="Times New Roman" w:hAnsi="Times New Roman"/>
          <w:sz w:val="18"/>
          <w:szCs w:val="18"/>
        </w:rPr>
        <w:t>年.</w:t>
      </w:r>
      <w:r>
        <w:rPr>
          <w:rFonts w:hint="eastAsia" w:ascii="Times New Roman" w:hAnsi="Times New Roman" w:eastAsia="黑体"/>
          <w:sz w:val="28"/>
          <w:szCs w:val="28"/>
        </w:rPr>
        <w:t xml:space="preserve"> </w:t>
      </w: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sz w:val="18"/>
          <w:szCs w:val="18"/>
        </w:rPr>
      </w:pPr>
    </w:p>
    <w:p>
      <w:pPr>
        <w:tabs>
          <w:tab w:val="left" w:pos="9351"/>
        </w:tabs>
        <w:rPr>
          <w:rFonts w:ascii="Times New Roman" w:hAnsi="Times New Roman"/>
          <w:sz w:val="18"/>
          <w:szCs w:val="18"/>
        </w:rPr>
      </w:pPr>
      <w:r>
        <w:rPr>
          <w:rFonts w:ascii="Times New Roman" w:hAnsi="Times New Roman"/>
          <w:sz w:val="18"/>
          <w:szCs w:val="18"/>
        </w:rPr>
        <w:tab/>
      </w:r>
    </w:p>
    <w:p>
      <w:pPr>
        <w:tabs>
          <w:tab w:val="left" w:pos="9351"/>
        </w:tabs>
        <w:rPr>
          <w:rFonts w:ascii="Times New Roman" w:hAnsi="Times New Roman" w:eastAsia="黑体"/>
          <w:sz w:val="28"/>
          <w:szCs w:val="28"/>
        </w:rPr>
        <w:sectPr>
          <w:headerReference r:id="rId15" w:type="default"/>
          <w:footerReference r:id="rId16" w:type="default"/>
          <w:pgSz w:w="16838" w:h="11906" w:orient="landscape"/>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ascii="Times New Roman" w:hAnsi="Times New Roman" w:eastAsia="黑体"/>
          <w:sz w:val="28"/>
          <w:szCs w:val="28"/>
        </w:rPr>
        <w:tab/>
      </w:r>
    </w:p>
    <w:p>
      <w:pPr>
        <w:pStyle w:val="4"/>
        <w:adjustRightInd w:val="0"/>
        <w:snapToGrid w:val="0"/>
        <w:spacing w:before="0" w:after="0" w:line="240" w:lineRule="auto"/>
        <w:rPr>
          <w:rFonts w:eastAsiaTheme="majorEastAsia" w:cstheme="majorBidi"/>
          <w:bCs w:val="0"/>
          <w:sz w:val="32"/>
          <w:szCs w:val="32"/>
        </w:rPr>
      </w:pPr>
      <w:bookmarkStart w:id="129" w:name="_Toc16250"/>
      <w:r>
        <w:rPr>
          <w:rFonts w:hint="eastAsia" w:eastAsiaTheme="majorEastAsia" w:cstheme="majorBidi"/>
          <w:bCs w:val="0"/>
          <w:sz w:val="32"/>
          <w:szCs w:val="32"/>
        </w:rPr>
        <w:t>附件2</w:t>
      </w:r>
      <w:r>
        <w:rPr>
          <w:rFonts w:eastAsiaTheme="majorEastAsia" w:cstheme="majorBidi"/>
          <w:bCs w:val="0"/>
          <w:sz w:val="32"/>
          <w:szCs w:val="32"/>
        </w:rPr>
        <w:t xml:space="preserve"> </w:t>
      </w:r>
      <w:r>
        <w:rPr>
          <w:rFonts w:hint="eastAsia" w:eastAsiaTheme="majorEastAsia" w:cstheme="majorBidi"/>
          <w:bCs w:val="0"/>
          <w:sz w:val="32"/>
          <w:szCs w:val="32"/>
        </w:rPr>
        <w:t>环评批复</w:t>
      </w:r>
      <w:bookmarkEnd w:id="129"/>
    </w:p>
    <w:p>
      <w:pPr>
        <w:pStyle w:val="13"/>
        <w:rPr>
          <w:rFonts w:hint="eastAsia"/>
          <w:lang w:eastAsia="zh-CN"/>
        </w:rPr>
      </w:pPr>
      <w:r>
        <w:rPr>
          <w:rFonts w:hint="eastAsia"/>
          <w:lang w:eastAsia="zh-CN"/>
        </w:rPr>
        <w:drawing>
          <wp:inline distT="0" distB="0" distL="114300" distR="114300">
            <wp:extent cx="5262880" cy="7421245"/>
            <wp:effectExtent l="0" t="0" r="13970" b="8255"/>
            <wp:docPr id="48" name="图片 48" descr="历山红环评批复文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历山红环评批复文件_00"/>
                    <pic:cNvPicPr>
                      <a:picLocks noChangeAspect="1"/>
                    </pic:cNvPicPr>
                  </pic:nvPicPr>
                  <pic:blipFill>
                    <a:blip r:embed="rId42"/>
                    <a:stretch>
                      <a:fillRect/>
                    </a:stretch>
                  </pic:blipFill>
                  <pic:spPr>
                    <a:xfrm>
                      <a:off x="0" y="0"/>
                      <a:ext cx="5262880" cy="7421245"/>
                    </a:xfrm>
                    <a:prstGeom prst="rect">
                      <a:avLst/>
                    </a:prstGeom>
                  </pic:spPr>
                </pic:pic>
              </a:graphicData>
            </a:graphic>
          </wp:inline>
        </w:drawing>
      </w:r>
    </w:p>
    <w:p>
      <w:pPr>
        <w:pStyle w:val="13"/>
        <w:rPr>
          <w:rFonts w:hint="eastAsia"/>
          <w:lang w:eastAsia="zh-CN"/>
        </w:rPr>
        <w:sectPr>
          <w:footerReference r:id="rId17" w:type="default"/>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lang w:eastAsia="zh-CN"/>
        </w:rPr>
        <w:drawing>
          <wp:inline distT="0" distB="0" distL="114300" distR="114300">
            <wp:extent cx="5259070" cy="7579360"/>
            <wp:effectExtent l="0" t="0" r="17780" b="2540"/>
            <wp:docPr id="47" name="图片 47" descr="历山红环评批复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历山红环评批复文件_01"/>
                    <pic:cNvPicPr>
                      <a:picLocks noChangeAspect="1"/>
                    </pic:cNvPicPr>
                  </pic:nvPicPr>
                  <pic:blipFill>
                    <a:blip r:embed="rId43"/>
                    <a:stretch>
                      <a:fillRect/>
                    </a:stretch>
                  </pic:blipFill>
                  <pic:spPr>
                    <a:xfrm>
                      <a:off x="0" y="0"/>
                      <a:ext cx="5259070" cy="7579360"/>
                    </a:xfrm>
                    <a:prstGeom prst="rect">
                      <a:avLst/>
                    </a:prstGeom>
                  </pic:spPr>
                </pic:pic>
              </a:graphicData>
            </a:graphic>
          </wp:inline>
        </w:drawing>
      </w:r>
      <w:r>
        <w:rPr>
          <w:rFonts w:hint="eastAsia"/>
          <w:lang w:eastAsia="zh-CN"/>
        </w:rPr>
        <w:drawing>
          <wp:inline distT="0" distB="0" distL="114300" distR="114300">
            <wp:extent cx="5259070" cy="7382510"/>
            <wp:effectExtent l="0" t="0" r="17780" b="8890"/>
            <wp:docPr id="46" name="图片 46" descr="历山红环评批复文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历山红环评批复文件_02"/>
                    <pic:cNvPicPr>
                      <a:picLocks noChangeAspect="1"/>
                    </pic:cNvPicPr>
                  </pic:nvPicPr>
                  <pic:blipFill>
                    <a:blip r:embed="rId44"/>
                    <a:stretch>
                      <a:fillRect/>
                    </a:stretch>
                  </pic:blipFill>
                  <pic:spPr>
                    <a:xfrm>
                      <a:off x="0" y="0"/>
                      <a:ext cx="5259070" cy="7382510"/>
                    </a:xfrm>
                    <a:prstGeom prst="rect">
                      <a:avLst/>
                    </a:prstGeom>
                  </pic:spPr>
                </pic:pic>
              </a:graphicData>
            </a:graphic>
          </wp:inline>
        </w:drawing>
      </w:r>
      <w:r>
        <w:rPr>
          <w:rFonts w:hint="eastAsia"/>
          <w:lang w:eastAsia="zh-CN"/>
        </w:rPr>
        <w:drawing>
          <wp:inline distT="0" distB="0" distL="114300" distR="114300">
            <wp:extent cx="5259070" cy="7297420"/>
            <wp:effectExtent l="0" t="0" r="17780" b="17780"/>
            <wp:docPr id="45" name="图片 45" descr="历山红环评批复文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历山红环评批复文件_03"/>
                    <pic:cNvPicPr>
                      <a:picLocks noChangeAspect="1"/>
                    </pic:cNvPicPr>
                  </pic:nvPicPr>
                  <pic:blipFill>
                    <a:blip r:embed="rId45"/>
                    <a:stretch>
                      <a:fillRect/>
                    </a:stretch>
                  </pic:blipFill>
                  <pic:spPr>
                    <a:xfrm>
                      <a:off x="0" y="0"/>
                      <a:ext cx="5259070" cy="7297420"/>
                    </a:xfrm>
                    <a:prstGeom prst="rect">
                      <a:avLst/>
                    </a:prstGeom>
                  </pic:spPr>
                </pic:pic>
              </a:graphicData>
            </a:graphic>
          </wp:inline>
        </w:drawing>
      </w:r>
    </w:p>
    <w:p>
      <w:pPr>
        <w:pStyle w:val="4"/>
        <w:adjustRightInd w:val="0"/>
        <w:snapToGrid w:val="0"/>
        <w:spacing w:before="0" w:after="0" w:line="240" w:lineRule="auto"/>
        <w:rPr>
          <w:rFonts w:hint="default" w:eastAsiaTheme="majorEastAsia" w:cstheme="majorBidi"/>
          <w:bCs w:val="0"/>
          <w:sz w:val="32"/>
          <w:szCs w:val="32"/>
          <w:highlight w:val="yellow"/>
          <w:lang w:val="en-US" w:eastAsia="zh-CN"/>
        </w:rPr>
      </w:pPr>
      <w:bookmarkStart w:id="130" w:name="_Toc28933"/>
      <w:r>
        <w:rPr>
          <w:rFonts w:hint="eastAsia" w:eastAsiaTheme="majorEastAsia" w:cstheme="majorBidi"/>
          <w:bCs w:val="0"/>
          <w:sz w:val="32"/>
          <w:szCs w:val="32"/>
        </w:rPr>
        <w:t>附件3</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城镇污水排入排水管网许可证</w:t>
      </w:r>
      <w:bookmarkEnd w:id="130"/>
    </w:p>
    <w:p>
      <w:pPr>
        <w:tabs>
          <w:tab w:val="center" w:pos="4150"/>
        </w:tabs>
        <w:bidi w:val="0"/>
        <w:jc w:val="center"/>
        <w:rPr>
          <w:rFonts w:hint="eastAsia"/>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adjustRightInd w:val="0"/>
        <w:snapToGrid w:val="0"/>
        <w:spacing w:before="0" w:after="0" w:line="240" w:lineRule="auto"/>
        <w:rPr>
          <w:rFonts w:hint="eastAsia" w:eastAsiaTheme="majorEastAsia" w:cstheme="majorBidi"/>
          <w:b w:val="0"/>
          <w:sz w:val="32"/>
          <w:szCs w:val="32"/>
          <w:lang w:eastAsia="zh-CN"/>
        </w:rPr>
      </w:pPr>
      <w:bookmarkStart w:id="131" w:name="_Toc32140"/>
      <w:r>
        <w:rPr>
          <w:rFonts w:hint="eastAsia" w:eastAsiaTheme="majorEastAsia" w:cstheme="majorBidi"/>
          <w:bCs w:val="0"/>
          <w:sz w:val="32"/>
          <w:szCs w:val="32"/>
        </w:rPr>
        <w:t>附件4</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排污登记回执</w:t>
      </w:r>
      <w:bookmarkEnd w:id="131"/>
    </w:p>
    <w:p>
      <w:pPr>
        <w:jc w:val="center"/>
        <w:rPr>
          <w:rFonts w:hint="eastAsia" w:eastAsiaTheme="majorEastAsia" w:cstheme="majorBidi"/>
          <w:bCs/>
          <w:sz w:val="32"/>
          <w:szCs w:val="32"/>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adjustRightInd w:val="0"/>
        <w:snapToGrid w:val="0"/>
        <w:spacing w:before="0" w:after="0" w:line="240" w:lineRule="auto"/>
        <w:rPr>
          <w:rFonts w:hint="default" w:eastAsiaTheme="majorEastAsia" w:cstheme="majorBidi"/>
          <w:bCs w:val="0"/>
          <w:sz w:val="32"/>
          <w:szCs w:val="32"/>
          <w:highlight w:val="none"/>
          <w:lang w:val="en-US" w:eastAsia="zh-CN"/>
        </w:rPr>
      </w:pPr>
      <w:bookmarkStart w:id="132" w:name="_Toc7920"/>
      <w:r>
        <w:rPr>
          <w:rFonts w:hint="eastAsia" w:eastAsiaTheme="majorEastAsia" w:cstheme="majorBidi"/>
          <w:bCs w:val="0"/>
          <w:sz w:val="32"/>
          <w:szCs w:val="32"/>
        </w:rPr>
        <w:t>附件</w:t>
      </w:r>
      <w:r>
        <w:rPr>
          <w:rFonts w:hint="eastAsia" w:eastAsiaTheme="majorEastAsia" w:cstheme="majorBidi"/>
          <w:bCs w:val="0"/>
          <w:sz w:val="32"/>
          <w:szCs w:val="32"/>
          <w:lang w:val="en-US" w:eastAsia="zh-CN"/>
        </w:rPr>
        <w:t>5</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固废处置协议</w:t>
      </w:r>
      <w:bookmarkEnd w:id="132"/>
    </w:p>
    <w:p>
      <w:pPr>
        <w:pStyle w:val="13"/>
        <w:rPr>
          <w:rFonts w:hint="eastAsia"/>
          <w:lang w:eastAsia="zh-CN"/>
        </w:rPr>
      </w:pPr>
      <w:r>
        <w:rPr>
          <w:rFonts w:hint="eastAsia"/>
          <w:lang w:eastAsia="zh-CN"/>
        </w:rPr>
        <w:drawing>
          <wp:inline distT="0" distB="0" distL="114300" distR="114300">
            <wp:extent cx="5240655" cy="6542405"/>
            <wp:effectExtent l="0" t="0" r="17145" b="10795"/>
            <wp:docPr id="57" name="图片 57" descr="微信图片_2024040110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40401103234"/>
                    <pic:cNvPicPr>
                      <a:picLocks noChangeAspect="1"/>
                    </pic:cNvPicPr>
                  </pic:nvPicPr>
                  <pic:blipFill>
                    <a:blip r:embed="rId46"/>
                    <a:stretch>
                      <a:fillRect/>
                    </a:stretch>
                  </pic:blipFill>
                  <pic:spPr>
                    <a:xfrm>
                      <a:off x="0" y="0"/>
                      <a:ext cx="5240655" cy="6542405"/>
                    </a:xfrm>
                    <a:prstGeom prst="rect">
                      <a:avLst/>
                    </a:prstGeom>
                  </pic:spPr>
                </pic:pic>
              </a:graphicData>
            </a:graphic>
          </wp:inline>
        </w:drawing>
      </w:r>
    </w:p>
    <w:p>
      <w:pPr>
        <w:pStyle w:val="13"/>
        <w:rPr>
          <w:rFonts w:hint="eastAsia"/>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lang w:eastAsia="zh-CN"/>
        </w:rPr>
        <w:drawing>
          <wp:inline distT="0" distB="0" distL="114300" distR="114300">
            <wp:extent cx="5260340" cy="6908800"/>
            <wp:effectExtent l="0" t="0" r="16510" b="6350"/>
            <wp:docPr id="56" name="图片 56" descr="微信图片_2024040110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240401105704"/>
                    <pic:cNvPicPr>
                      <a:picLocks noChangeAspect="1"/>
                    </pic:cNvPicPr>
                  </pic:nvPicPr>
                  <pic:blipFill>
                    <a:blip r:embed="rId47"/>
                    <a:stretch>
                      <a:fillRect/>
                    </a:stretch>
                  </pic:blipFill>
                  <pic:spPr>
                    <a:xfrm>
                      <a:off x="0" y="0"/>
                      <a:ext cx="5260340" cy="6908800"/>
                    </a:xfrm>
                    <a:prstGeom prst="rect">
                      <a:avLst/>
                    </a:prstGeom>
                  </pic:spPr>
                </pic:pic>
              </a:graphicData>
            </a:graphic>
          </wp:inline>
        </w:drawing>
      </w:r>
      <w:r>
        <w:rPr>
          <w:rFonts w:hint="eastAsia"/>
          <w:lang w:eastAsia="zh-CN"/>
        </w:rPr>
        <w:drawing>
          <wp:inline distT="0" distB="0" distL="114300" distR="114300">
            <wp:extent cx="5265420" cy="6831965"/>
            <wp:effectExtent l="0" t="0" r="11430" b="6985"/>
            <wp:docPr id="54" name="图片 54" descr="微信图片_2024040119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40401190707"/>
                    <pic:cNvPicPr>
                      <a:picLocks noChangeAspect="1"/>
                    </pic:cNvPicPr>
                  </pic:nvPicPr>
                  <pic:blipFill>
                    <a:blip r:embed="rId48"/>
                    <a:stretch>
                      <a:fillRect/>
                    </a:stretch>
                  </pic:blipFill>
                  <pic:spPr>
                    <a:xfrm>
                      <a:off x="0" y="0"/>
                      <a:ext cx="5265420" cy="6831965"/>
                    </a:xfrm>
                    <a:prstGeom prst="rect">
                      <a:avLst/>
                    </a:prstGeom>
                  </pic:spPr>
                </pic:pic>
              </a:graphicData>
            </a:graphic>
          </wp:inline>
        </w:drawing>
      </w:r>
    </w:p>
    <w:p>
      <w:pPr>
        <w:pStyle w:val="4"/>
        <w:adjustRightInd w:val="0"/>
        <w:snapToGrid w:val="0"/>
        <w:spacing w:before="0" w:after="0" w:line="240" w:lineRule="auto"/>
        <w:rPr>
          <w:rFonts w:hint="default" w:eastAsiaTheme="majorEastAsia" w:cstheme="majorBidi"/>
          <w:bCs w:val="0"/>
          <w:sz w:val="32"/>
          <w:szCs w:val="32"/>
          <w:highlight w:val="none"/>
          <w:lang w:val="en-US" w:eastAsia="zh-CN"/>
        </w:rPr>
      </w:pPr>
      <w:bookmarkStart w:id="133" w:name="_Toc9866"/>
      <w:r>
        <w:rPr>
          <w:rFonts w:hint="eastAsia" w:eastAsiaTheme="majorEastAsia" w:cstheme="majorBidi"/>
          <w:bCs w:val="0"/>
          <w:sz w:val="32"/>
          <w:szCs w:val="32"/>
        </w:rPr>
        <w:t>附件</w:t>
      </w:r>
      <w:r>
        <w:rPr>
          <w:rFonts w:hint="eastAsia" w:eastAsiaTheme="majorEastAsia" w:cstheme="majorBidi"/>
          <w:bCs w:val="0"/>
          <w:sz w:val="32"/>
          <w:szCs w:val="32"/>
          <w:lang w:val="en-US" w:eastAsia="zh-CN"/>
        </w:rPr>
        <w:t>6</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危废台账</w:t>
      </w:r>
      <w:bookmarkEnd w:id="133"/>
    </w:p>
    <w:p>
      <w:pPr>
        <w:pStyle w:val="14"/>
        <w:ind w:left="0" w:leftChars="0" w:firstLine="0" w:firstLineChars="0"/>
        <w:jc w:val="center"/>
        <w:rPr>
          <w:rFonts w:hint="eastAsia"/>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adjustRightInd w:val="0"/>
        <w:snapToGrid w:val="0"/>
        <w:spacing w:before="0" w:after="0" w:line="240" w:lineRule="auto"/>
        <w:rPr>
          <w:rFonts w:hint="default" w:eastAsiaTheme="majorEastAsia" w:cstheme="majorBidi"/>
          <w:bCs w:val="0"/>
          <w:sz w:val="32"/>
          <w:szCs w:val="32"/>
          <w:highlight w:val="none"/>
          <w:lang w:val="en-US" w:eastAsia="zh-CN"/>
        </w:rPr>
      </w:pPr>
      <w:bookmarkStart w:id="134" w:name="_Toc19033"/>
      <w:r>
        <w:rPr>
          <w:rFonts w:hint="eastAsia" w:eastAsiaTheme="majorEastAsia" w:cstheme="majorBidi"/>
          <w:bCs w:val="0"/>
          <w:sz w:val="32"/>
          <w:szCs w:val="32"/>
        </w:rPr>
        <w:t>附件</w:t>
      </w:r>
      <w:r>
        <w:rPr>
          <w:rFonts w:hint="eastAsia" w:eastAsiaTheme="majorEastAsia" w:cstheme="majorBidi"/>
          <w:bCs w:val="0"/>
          <w:sz w:val="32"/>
          <w:szCs w:val="32"/>
          <w:lang w:val="en-US" w:eastAsia="zh-CN"/>
        </w:rPr>
        <w:t>7</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天然气月使用量</w:t>
      </w:r>
      <w:bookmarkEnd w:id="134"/>
    </w:p>
    <w:p>
      <w:pPr>
        <w:rPr>
          <w:rFonts w:hint="eastAsia"/>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lang w:eastAsia="zh-CN"/>
        </w:rPr>
        <w:drawing>
          <wp:inline distT="0" distB="0" distL="114300" distR="114300">
            <wp:extent cx="5222875" cy="3917315"/>
            <wp:effectExtent l="0" t="0" r="15875" b="6985"/>
            <wp:docPr id="53" name="图片 53" descr="a526d81d9b6120ae3f690e4b818b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526d81d9b6120ae3f690e4b818b212"/>
                    <pic:cNvPicPr>
                      <a:picLocks noChangeAspect="1"/>
                    </pic:cNvPicPr>
                  </pic:nvPicPr>
                  <pic:blipFill>
                    <a:blip r:embed="rId49"/>
                    <a:stretch>
                      <a:fillRect/>
                    </a:stretch>
                  </pic:blipFill>
                  <pic:spPr>
                    <a:xfrm>
                      <a:off x="0" y="0"/>
                      <a:ext cx="5222875" cy="3917315"/>
                    </a:xfrm>
                    <a:prstGeom prst="rect">
                      <a:avLst/>
                    </a:prstGeom>
                  </pic:spPr>
                </pic:pic>
              </a:graphicData>
            </a:graphic>
          </wp:inline>
        </w:drawing>
      </w:r>
    </w:p>
    <w:p>
      <w:pPr>
        <w:pStyle w:val="4"/>
        <w:adjustRightInd w:val="0"/>
        <w:snapToGrid w:val="0"/>
        <w:spacing w:before="0" w:after="0" w:line="240" w:lineRule="auto"/>
        <w:rPr>
          <w:rFonts w:hint="eastAsia" w:eastAsiaTheme="majorEastAsia" w:cstheme="majorBidi"/>
          <w:bCs w:val="0"/>
          <w:sz w:val="32"/>
          <w:szCs w:val="32"/>
          <w:highlight w:val="none"/>
          <w:lang w:val="en-US" w:eastAsia="zh-CN"/>
        </w:rPr>
      </w:pPr>
      <w:bookmarkStart w:id="135" w:name="_Toc30024"/>
      <w:r>
        <w:rPr>
          <w:rFonts w:hint="eastAsia" w:eastAsiaTheme="majorEastAsia" w:cstheme="majorBidi"/>
          <w:bCs w:val="0"/>
          <w:sz w:val="32"/>
          <w:szCs w:val="32"/>
        </w:rPr>
        <w:t>附件</w:t>
      </w:r>
      <w:r>
        <w:rPr>
          <w:rFonts w:hint="eastAsia" w:eastAsiaTheme="majorEastAsia" w:cstheme="majorBidi"/>
          <w:bCs w:val="0"/>
          <w:sz w:val="32"/>
          <w:szCs w:val="32"/>
          <w:lang w:val="en-US" w:eastAsia="zh-CN"/>
        </w:rPr>
        <w:t>8</w:t>
      </w:r>
      <w:r>
        <w:rPr>
          <w:rFonts w:eastAsiaTheme="majorEastAsia" w:cstheme="majorBidi"/>
          <w:bCs w:val="0"/>
          <w:sz w:val="32"/>
          <w:szCs w:val="32"/>
        </w:rPr>
        <w:t xml:space="preserve"> </w:t>
      </w:r>
      <w:r>
        <w:rPr>
          <w:rFonts w:hint="eastAsia" w:eastAsiaTheme="majorEastAsia" w:cstheme="majorBidi"/>
          <w:bCs w:val="0"/>
          <w:sz w:val="32"/>
          <w:szCs w:val="32"/>
          <w:lang w:val="en-US" w:eastAsia="zh-CN"/>
        </w:rPr>
        <w:t>验</w:t>
      </w:r>
      <w:r>
        <w:rPr>
          <w:rFonts w:hint="eastAsia" w:eastAsiaTheme="majorEastAsia" w:cstheme="majorBidi"/>
          <w:bCs w:val="0"/>
          <w:sz w:val="32"/>
          <w:szCs w:val="32"/>
          <w:highlight w:val="none"/>
          <w:lang w:val="en-US" w:eastAsia="zh-CN"/>
        </w:rPr>
        <w:t>收期间生产工况</w:t>
      </w:r>
      <w:bookmarkEnd w:id="135"/>
    </w:p>
    <w:p>
      <w:pPr>
        <w:rPr>
          <w:rFonts w:hint="eastAsia"/>
          <w:highlight w:val="none"/>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adjustRightInd w:val="0"/>
        <w:snapToGrid w:val="0"/>
        <w:spacing w:before="0" w:after="0" w:line="240" w:lineRule="auto"/>
        <w:rPr>
          <w:rFonts w:eastAsiaTheme="majorEastAsia" w:cstheme="majorBidi"/>
          <w:bCs w:val="0"/>
          <w:sz w:val="32"/>
          <w:szCs w:val="32"/>
        </w:rPr>
      </w:pPr>
      <w:bookmarkStart w:id="136" w:name="_Toc7894"/>
      <w:r>
        <w:rPr>
          <w:rFonts w:hint="eastAsia" w:eastAsiaTheme="majorEastAsia" w:cstheme="majorBidi"/>
          <w:bCs w:val="0"/>
          <w:sz w:val="32"/>
          <w:szCs w:val="32"/>
        </w:rPr>
        <w:t>附件</w:t>
      </w:r>
      <w:r>
        <w:rPr>
          <w:rFonts w:hint="eastAsia" w:eastAsiaTheme="majorEastAsia" w:cstheme="majorBidi"/>
          <w:bCs w:val="0"/>
          <w:sz w:val="32"/>
          <w:szCs w:val="32"/>
          <w:lang w:val="en-US" w:eastAsia="zh-CN"/>
        </w:rPr>
        <w:t>9</w:t>
      </w:r>
      <w:r>
        <w:rPr>
          <w:rFonts w:eastAsiaTheme="majorEastAsia" w:cstheme="majorBidi"/>
          <w:bCs w:val="0"/>
          <w:sz w:val="32"/>
          <w:szCs w:val="32"/>
        </w:rPr>
        <w:t xml:space="preserve"> </w:t>
      </w:r>
      <w:r>
        <w:rPr>
          <w:rFonts w:hint="eastAsia" w:eastAsiaTheme="majorEastAsia" w:cstheme="majorBidi"/>
          <w:bCs w:val="0"/>
          <w:sz w:val="32"/>
          <w:szCs w:val="32"/>
        </w:rPr>
        <w:t>验收意见及签到表</w:t>
      </w:r>
      <w:bookmarkEnd w:id="136"/>
    </w:p>
    <w:p>
      <w:pPr>
        <w:pStyle w:val="13"/>
        <w:rPr>
          <w:rFonts w:hint="eastAsia" w:eastAsiaTheme="majorEastAsia" w:cstheme="majorBidi"/>
          <w:bCs/>
          <w:sz w:val="32"/>
          <w:szCs w:val="32"/>
          <w:lang w:eastAsia="zh-CN"/>
        </w:rPr>
      </w:pPr>
    </w:p>
    <w:p>
      <w:pPr>
        <w:pStyle w:val="13"/>
        <w:rPr>
          <w:rFonts w:hint="eastAsia" w:eastAsiaTheme="majorEastAsia" w:cstheme="majorBidi"/>
          <w:bCs/>
          <w:sz w:val="32"/>
          <w:szCs w:val="32"/>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adjustRightInd w:val="0"/>
        <w:snapToGrid w:val="0"/>
        <w:spacing w:before="0" w:after="0" w:line="240" w:lineRule="auto"/>
        <w:rPr>
          <w:rFonts w:hint="eastAsia" w:eastAsiaTheme="majorEastAsia" w:cstheme="majorBidi"/>
          <w:bCs w:val="0"/>
          <w:sz w:val="32"/>
          <w:szCs w:val="32"/>
        </w:rPr>
      </w:pPr>
      <w:bookmarkStart w:id="137" w:name="_Toc6860"/>
      <w:r>
        <w:rPr>
          <w:rFonts w:hint="eastAsia" w:eastAsiaTheme="majorEastAsia" w:cstheme="majorBidi"/>
          <w:bCs w:val="0"/>
          <w:sz w:val="32"/>
          <w:szCs w:val="32"/>
        </w:rPr>
        <w:t>附件</w:t>
      </w:r>
      <w:r>
        <w:rPr>
          <w:rFonts w:hint="eastAsia" w:eastAsiaTheme="majorEastAsia" w:cstheme="majorBidi"/>
          <w:bCs w:val="0"/>
          <w:sz w:val="32"/>
          <w:szCs w:val="32"/>
          <w:lang w:val="en-US" w:eastAsia="zh-CN"/>
        </w:rPr>
        <w:t>10</w:t>
      </w:r>
      <w:r>
        <w:rPr>
          <w:rFonts w:eastAsiaTheme="majorEastAsia" w:cstheme="majorBidi"/>
          <w:bCs w:val="0"/>
          <w:sz w:val="32"/>
          <w:szCs w:val="32"/>
        </w:rPr>
        <w:t xml:space="preserve"> </w:t>
      </w:r>
      <w:r>
        <w:rPr>
          <w:rFonts w:hint="eastAsia" w:eastAsiaTheme="majorEastAsia" w:cstheme="majorBidi"/>
          <w:bCs w:val="0"/>
          <w:sz w:val="32"/>
          <w:szCs w:val="32"/>
        </w:rPr>
        <w:t>验收公示截图</w:t>
      </w:r>
      <w:bookmarkEnd w:id="137"/>
    </w:p>
    <w:p>
      <w:pPr>
        <w:pStyle w:val="13"/>
        <w:rPr>
          <w:rFonts w:hint="eastAsia"/>
          <w:lang w:eastAsia="zh-CN"/>
        </w:rPr>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pPr>
    </w:p>
    <w:p>
      <w:pPr>
        <w:pStyle w:val="4"/>
        <w:adjustRightInd w:val="0"/>
        <w:snapToGrid w:val="0"/>
        <w:spacing w:before="0" w:after="0" w:line="240" w:lineRule="auto"/>
        <w:rPr>
          <w:rFonts w:eastAsiaTheme="majorEastAsia" w:cstheme="majorBidi"/>
          <w:bCs w:val="0"/>
          <w:sz w:val="32"/>
          <w:szCs w:val="32"/>
        </w:rPr>
      </w:pPr>
      <w:bookmarkStart w:id="138" w:name="_Toc5621"/>
      <w:r>
        <w:rPr>
          <w:rFonts w:hint="eastAsia" w:eastAsiaTheme="majorEastAsia" w:cstheme="majorBidi"/>
          <w:bCs w:val="0"/>
          <w:sz w:val="32"/>
          <w:szCs w:val="32"/>
        </w:rPr>
        <w:t>附件</w:t>
      </w:r>
      <w:r>
        <w:rPr>
          <w:rFonts w:hint="eastAsia" w:eastAsiaTheme="majorEastAsia" w:cstheme="majorBidi"/>
          <w:bCs w:val="0"/>
          <w:sz w:val="32"/>
          <w:szCs w:val="32"/>
          <w:lang w:val="en-US" w:eastAsia="zh-CN"/>
        </w:rPr>
        <w:t>11</w:t>
      </w:r>
      <w:r>
        <w:rPr>
          <w:rFonts w:eastAsiaTheme="majorEastAsia" w:cstheme="majorBidi"/>
          <w:bCs w:val="0"/>
          <w:sz w:val="32"/>
          <w:szCs w:val="32"/>
        </w:rPr>
        <w:t xml:space="preserve"> </w:t>
      </w:r>
      <w:r>
        <w:rPr>
          <w:rFonts w:hint="eastAsia" w:eastAsiaTheme="majorEastAsia" w:cstheme="majorBidi"/>
          <w:bCs w:val="0"/>
          <w:sz w:val="32"/>
          <w:szCs w:val="32"/>
        </w:rPr>
        <w:t>其他需要说明的事项</w:t>
      </w:r>
      <w:bookmarkEnd w:id="138"/>
    </w:p>
    <w:p/>
    <w:sectPr>
      <w:pgSz w:w="11906"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Yu Gothic UI Semibold">
    <w:panose1 w:val="020B0700000000000000"/>
    <w:charset w:val="80"/>
    <w:family w:val="auto"/>
    <w:pitch w:val="default"/>
    <w:sig w:usb0="E00002FF" w:usb1="2AC7FDFF" w:usb2="00000016" w:usb3="00000000" w:csb0="2002009F"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Times New Roman" w:hAnsi="Times New Roman" w:cs="Times New Roman"/>
      </w:rPr>
    </w:pPr>
  </w:p>
  <w:p>
    <w:pPr>
      <w:pStyle w:val="19"/>
      <w:rPr>
        <w:rFonts w:ascii="Times New Roman" w:hAnsi="Times New Roman" w:cs="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right" w:pos="7952"/>
      </w:tabs>
      <w:ind w:right="360"/>
      <w:jc w:val="both"/>
    </w:pPr>
    <w:r>
      <w:rPr>
        <w:rStyle w:val="35"/>
      </w:rPr>
      <w:tab/>
    </w:r>
    <w:r>
      <w:rPr>
        <w:rStyle w:val="35"/>
      </w:rPr>
      <w:tab/>
    </w:r>
    <w:r>
      <w:rPr>
        <w:rStyle w:val="3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1888926"/>
    </w:sdtPr>
    <w:sdtEndPr>
      <w:rPr>
        <w:rFonts w:ascii="Times New Roman" w:hAnsi="Times New Roman" w:cs="Times New Roman"/>
      </w:rPr>
    </w:sdtEndPr>
    <w:sdtContent>
      <w:p>
        <w:pPr>
          <w:pStyle w:val="1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pPr>
      <w:pStyle w:val="19"/>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9535827"/>
    </w:sdtPr>
    <w:sdtEndPr>
      <w:rPr>
        <w:rFonts w:ascii="Times New Roman" w:hAnsi="Times New Roman" w:cs="Times New Roman"/>
      </w:rPr>
    </w:sdtEndPr>
    <w:sdtContent>
      <w:p>
        <w:pPr>
          <w:pStyle w:val="19"/>
          <w:wordWrap w:val="0"/>
          <w:ind w:right="360"/>
          <w:jc w:val="right"/>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-12700</wp:posOffset>
                  </wp:positionV>
                  <wp:extent cx="5571490" cy="0"/>
                  <wp:effectExtent l="0" t="0" r="0" b="0"/>
                  <wp:wrapNone/>
                  <wp:docPr id="55" name="自选图形 1"/>
                  <wp:cNvGraphicFramePr/>
                  <a:graphic xmlns:a="http://schemas.openxmlformats.org/drawingml/2006/main">
                    <a:graphicData uri="http://schemas.microsoft.com/office/word/2010/wordprocessingShape">
                      <wps:wsp>
                        <wps:cNvCnPr/>
                        <wps:spPr>
                          <a:xfrm>
                            <a:off x="0" y="0"/>
                            <a:ext cx="55714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pt;width:438.7pt;z-index:251659264;mso-width-relative:page;mso-height-relative:page;" filled="f" stroked="t" coordsize="21600,21600" o:gfxdata="UEsDBAoAAAAAAIdO4kAAAAAAAAAAAAAAAAAEAAAAZHJzL1BLAwQUAAAACACHTuJAtUyKv9cAAAAJ&#10;AQAADwAAAGRycy9kb3ducmV2LnhtbE2PQU/DMAyF70j7D5GRuKAtaQXV1jWdJiQOHNkmcc0ar+1o&#10;nKpJ17FfjxEHuNl+T8/fKzZX14kLDqH1pCFZKBBIlbct1RoO+9f5EkSIhqzpPKGGLwywKWd3hcmt&#10;n+gdL7tYCw6hkBsNTYx9LmWoGnQmLHyPxNrJD85EXoda2sFMHO46mSqVSWda4g+N6fGlwepzNzoN&#10;GMbnRG1Xrj683abHj/R2nvq91g/3iVqDiHiNf2b4wWd0KJnp6EeyQXQa5kmasZWHlDuxYZk9cZfj&#10;70GWhfzfoPwGUEsDBBQAAAAIAIdO4kCO+b1U9QEAAOQDAAAOAAAAZHJzL2Uyb0RvYy54bWytU72O&#10;EzEQ7pF4B8s92SQiwK2yuSLhaBCcBDzAxPbuWvKfPL5s0tEhnoGOkneAtzkJ3oKxN5eDo0nBFt6x&#10;Z+ab+T6Pl5d7a9hORdTeNXw2mXKmnPBSu67hH95fPXnBGSZwEox3quEHhfxy9fjRcgi1mvveG6ki&#10;IxCH9RAa3qcU6qpC0SsLOPFBOXK2PlpItI1dJSMMhG5NNZ9On1WDjzJELxQinW5GJz8ixnMAfdtq&#10;oTZe3Fjl0ogalYFElLDXAfmqdNu2SqS3bYsqMdNwYprKSkXI3ua1Wi2h7iKEXotjC3BOCw84WdCO&#10;ip6gNpCA3UT9D5TVInr0bZoIb6uRSFGEWMymD7R510NQhQtJjeEkOv4/WPFmdx2Zlg1fLDhzYOnG&#10;f3769uvj59svP26/f2WzLNEQsKbItbuOxx2G65j57tto85+YsH2R9XCSVe0TE3S4WDyfPb0gxcWd&#10;r7pPDBHTK+Uty0bDMUXQXZ/W3jm6PB9nRVbYvcZEpSnxLiFXNY4NDb9YzKl3ATSMLQ0BmTYQIXRd&#10;yUVvtLzSxuQMjN12bSLbQR6I8mWChPtXWC6yAezHuOIaR6VXIF86ydIhkFKOXgjPLVglOTOKHlS2&#10;CBDqBNqcE0mljaMOssajqtnaenkoYpdzuvzS43FQ83T9uS/Z94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TIq/1wAAAAkBAAAPAAAAAAAAAAEAIAAAACIAAABkcnMvZG93bnJldi54bWxQSwEC&#10;FAAUAAAACACHTuJAjvm9VPUBAADkAwAADgAAAAAAAAABACAAAAAmAQAAZHJzL2Uyb0RvYy54bWxQ&#10;SwUGAAAAAAYABgBZAQAAjQUAAAAA&#10;">
                  <v:fill on="f" focussize="0,0"/>
                  <v:stroke color="#000000" joinstyle="round"/>
                  <v:imagedata o:title=""/>
                  <o:lock v:ext="edit" aspectratio="f"/>
                </v:shape>
              </w:pict>
            </mc:Fallback>
          </mc:AlternateContent>
        </w:r>
        <w:r>
          <w:rPr>
            <w:rFonts w:hint="eastAsia"/>
          </w:rPr>
          <w:t xml:space="preserve">浙江高鑫安全检测科技有限公司  </w:t>
        </w:r>
        <w:r>
          <w:rPr>
            <w:rFonts w:hint="eastAsia"/>
            <w:lang w:val="en-US" w:eastAsia="zh-CN"/>
          </w:rPr>
          <w:t xml:space="preserve"> </w:t>
        </w:r>
        <w:r>
          <w:rPr>
            <w:rFonts w:hint="eastAsia"/>
          </w:rPr>
          <w:t xml:space="preserve">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w:t>
        </w:r>
        <w:r>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32"/>
      </w:rPr>
      <mc:AlternateContent>
        <mc:Choice Requires="wps">
          <w:drawing>
            <wp:anchor distT="0" distB="0" distL="114300" distR="114300" simplePos="0" relativeHeight="251661312" behindDoc="1" locked="0" layoutInCell="1" allowOverlap="1">
              <wp:simplePos x="0" y="0"/>
              <wp:positionH relativeFrom="page">
                <wp:posOffset>1211580</wp:posOffset>
              </wp:positionH>
              <wp:positionV relativeFrom="page">
                <wp:posOffset>9939655</wp:posOffset>
              </wp:positionV>
              <wp:extent cx="648970" cy="222885"/>
              <wp:effectExtent l="1905" t="0" r="0" b="635"/>
              <wp:wrapNone/>
              <wp:docPr id="251780" name="文本框 251780"/>
              <wp:cNvGraphicFramePr/>
              <a:graphic xmlns:a="http://schemas.openxmlformats.org/drawingml/2006/main">
                <a:graphicData uri="http://schemas.microsoft.com/office/word/2010/wordprocessingShape">
                  <wps:wsp>
                    <wps:cNvSpPr txBox="1">
                      <a:spLocks noChangeArrowheads="1"/>
                    </wps:cNvSpPr>
                    <wps:spPr bwMode="auto">
                      <a:xfrm>
                        <a:off x="0" y="0"/>
                        <a:ext cx="648970" cy="222885"/>
                      </a:xfrm>
                      <a:prstGeom prst="rect">
                        <a:avLst/>
                      </a:prstGeom>
                      <a:noFill/>
                      <a:ln>
                        <a:noFill/>
                      </a:ln>
                    </wps:spPr>
                    <wps:txbx>
                      <w:txbxContent>
                        <w:p>
                          <w:pPr>
                            <w:spacing w:line="349" w:lineRule="exact"/>
                            <w:ind w:left="20"/>
                            <w:rPr>
                              <w:rFonts w:ascii="宋体" w:hAnsi="宋体"/>
                              <w:sz w:val="28"/>
                            </w:rPr>
                          </w:pPr>
                          <w:r>
                            <w:rPr>
                              <w:rFonts w:ascii="宋体" w:hAnsi="宋体"/>
                              <w:sz w:val="28"/>
                            </w:rPr>
                            <w:t xml:space="preserve">— </w:t>
                          </w:r>
                          <w:r>
                            <w:fldChar w:fldCharType="begin"/>
                          </w:r>
                          <w:r>
                            <w:rPr>
                              <w:rFonts w:ascii="Times New Roman" w:hAnsi="Times New Roman"/>
                              <w:sz w:val="28"/>
                            </w:rPr>
                            <w:instrText xml:space="preserve"> PAGE </w:instrText>
                          </w:r>
                          <w:r>
                            <w:fldChar w:fldCharType="separate"/>
                          </w:r>
                          <w:r>
                            <w:t>2</w:t>
                          </w:r>
                          <w:r>
                            <w:fldChar w:fldCharType="end"/>
                          </w:r>
                          <w:r>
                            <w:rPr>
                              <w:rFonts w:ascii="Times New Roman" w:hAnsi="Times New Roman"/>
                              <w:sz w:val="28"/>
                            </w:rPr>
                            <w:t xml:space="preserve"> </w:t>
                          </w:r>
                          <w:r>
                            <w:rPr>
                              <w:rFonts w:ascii="宋体" w:hAnsi="宋体"/>
                              <w:sz w:val="2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95.4pt;margin-top:782.65pt;height:17.55pt;width:51.1pt;mso-position-horizontal-relative:page;mso-position-vertical-relative:page;z-index:-251655168;mso-width-relative:page;mso-height-relative:page;" filled="f" stroked="f" coordsize="21600,21600" o:gfxdata="UEsDBAoAAAAAAIdO4kAAAAAAAAAAAAAAAAAEAAAAZHJzL1BLAwQUAAAACACHTuJAOuBpStoAAAAN&#10;AQAADwAAAGRycy9kb3ducmV2LnhtbE2PzU7DMBCE70i8g7WVuFG7LY1IGqdCCE5IiDQcODrxNoka&#10;r0Ps/vD2LKdy29kdzX6Tby9uECecQu9Jw2KuQCA13vbUavisXu8fQYRoyJrBE2r4wQDb4vYmN5n1&#10;ZyrxtIut4BAKmdHQxThmUoamQ2fC3I9IfNv7yZnIcmqlncyZw90gl0ol0pme+ENnRnzusDnsjk7D&#10;0xeVL/33e/1R7su+qlJFb8lB67vZQm1ARLzEqxn+8BkdCmaq/ZFsEAPrVDF65GGdrFcg2LJMV1yv&#10;5lWi1APIIpf/WxS/UEsDBBQAAAAIAIdO4kAfROK8EgIAAA4EAAAOAAAAZHJzL2Uyb0RvYy54bWyt&#10;U8uO0zAU3SPxD5b3NG3EzJSo6WiYahDS8JAGPsB1nMYi9jXXbpPyAfAHrNiw57v6HVw7aRmGzSzY&#10;RDfX9rnnHB8vLnvTsp1Cr8GWfDaZcqashErbTck/frh5NufMB2Er0YJVJd8rzy+XT58sOleoHBpo&#10;K4WMQKwvOlfyJgRXZJmXjTLCT8ApS4s1oBGBfnGTVSg6Qjdtlk+n51kHWDkEqbyn7mpY5CMiPgYQ&#10;6lpLtQK5NcqGARVVKwJJ8o12ni8T27pWMryra68Ca0tOSkP60hCq1/GbLRei2KBwjZYjBfEYCg80&#10;GaEtDT1BrUQQbIv6HyijJYKHOkwkmGwQkhwhFbPpA2/uGuFU0kJWe3cy3f8/WPl29x6Zrkqen80u&#10;5mSLFYZu/fD92+HHr8PPr2zsk1Gd8wXtv3N0IvQvoaf4JNHe3YL85JmF60bYjbpChK5RoiKis2hx&#10;du/ogOMjyLp7AxUNE9sACaiv0UQXyRdG6MRmf7ok1QcmqXn+fP7iglYkLeV5Pp+fpQmiOB526MMr&#10;BYbFouRIGUjgYnfrQyQjiuOWOMvCjW7blIPW/tWgjbGTyEe+A/PQr/vRjDVUe5KBMMSKHhUVDeAX&#10;zjqKVMn9561AxVn72pIVRDocCzwW62MhrKSjJQ+cDeV1GHK6dag3DSEPZlu4IrtqnaREXwcWI0+K&#10;SVI4Rjrm8P5/2vXnGS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rgaUraAAAADQEAAA8AAAAA&#10;AAAAAQAgAAAAIgAAAGRycy9kb3ducmV2LnhtbFBLAQIUABQAAAAIAIdO4kAfROK8EgIAAA4EAAAO&#10;AAAAAAAAAAEAIAAAACkBAABkcnMvZTJvRG9jLnhtbFBLBQYAAAAABgAGAFkBAACtBQAAAAA=&#10;">
              <v:fill on="f" focussize="0,0"/>
              <v:stroke on="f"/>
              <v:imagedata o:title=""/>
              <o:lock v:ext="edit" aspectratio="f"/>
              <v:textbox inset="0mm,0mm,0mm,0mm">
                <w:txbxContent>
                  <w:p>
                    <w:pPr>
                      <w:spacing w:line="349" w:lineRule="exact"/>
                      <w:ind w:left="20"/>
                      <w:rPr>
                        <w:rFonts w:ascii="宋体" w:hAnsi="宋体"/>
                        <w:sz w:val="28"/>
                      </w:rPr>
                    </w:pPr>
                    <w:r>
                      <w:rPr>
                        <w:rFonts w:ascii="宋体" w:hAnsi="宋体"/>
                        <w:sz w:val="28"/>
                      </w:rPr>
                      <w:t xml:space="preserve">— </w:t>
                    </w:r>
                    <w:r>
                      <w:fldChar w:fldCharType="begin"/>
                    </w:r>
                    <w:r>
                      <w:rPr>
                        <w:rFonts w:ascii="Times New Roman" w:hAnsi="Times New Roman"/>
                        <w:sz w:val="28"/>
                      </w:rPr>
                      <w:instrText xml:space="preserve"> PAGE </w:instrText>
                    </w:r>
                    <w:r>
                      <w:fldChar w:fldCharType="separate"/>
                    </w:r>
                    <w:r>
                      <w:t>2</w:t>
                    </w:r>
                    <w:r>
                      <w:fldChar w:fldCharType="end"/>
                    </w:r>
                    <w:r>
                      <w:rPr>
                        <w:rFonts w:ascii="Times New Roman" w:hAnsi="Times New Roman"/>
                        <w:sz w:val="28"/>
                      </w:rPr>
                      <w:t xml:space="preserve"> </w:t>
                    </w:r>
                    <w:r>
                      <w:rPr>
                        <w:rFonts w:ascii="宋体" w:hAnsi="宋体"/>
                        <w:sz w:val="28"/>
                      </w:rPr>
                      <w:t>—</w:t>
                    </w:r>
                  </w:p>
                </w:txbxContent>
              </v:textbox>
            </v:shape>
          </w:pict>
        </mc:Fallback>
      </mc:AlternateContent>
    </w:r>
  </w:p>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9535827"/>
    </w:sdtPr>
    <w:sdtEndPr>
      <w:rPr>
        <w:rFonts w:ascii="Times New Roman" w:hAnsi="Times New Roman" w:cs="Times New Roman"/>
      </w:rPr>
    </w:sdtEndPr>
    <w:sdtContent>
      <w:p>
        <w:pPr>
          <w:pStyle w:val="19"/>
          <w:wordWrap/>
          <w:ind w:right="360"/>
          <w:jc w:val="center"/>
          <w:rPr>
            <w:rFonts w:ascii="Times New Roman" w:hAnsi="Times New Roman" w:cs="Times New Roman"/>
          </w:rPr>
        </w:pPr>
        <w:r>
          <mc:AlternateContent>
            <mc:Choice Requires="wps">
              <w:drawing>
                <wp:anchor distT="0" distB="0" distL="114300" distR="114300" simplePos="0" relativeHeight="251663360" behindDoc="0" locked="0" layoutInCell="1" allowOverlap="1">
                  <wp:simplePos x="0" y="0"/>
                  <wp:positionH relativeFrom="column">
                    <wp:posOffset>-80010</wp:posOffset>
                  </wp:positionH>
                  <wp:positionV relativeFrom="paragraph">
                    <wp:posOffset>-12700</wp:posOffset>
                  </wp:positionV>
                  <wp:extent cx="9026525" cy="3810"/>
                  <wp:effectExtent l="0" t="0" r="0" b="0"/>
                  <wp:wrapNone/>
                  <wp:docPr id="3" name="自选图形 1"/>
                  <wp:cNvGraphicFramePr/>
                  <a:graphic xmlns:a="http://schemas.openxmlformats.org/drawingml/2006/main">
                    <a:graphicData uri="http://schemas.microsoft.com/office/word/2010/wordprocessingShape">
                      <wps:wsp>
                        <wps:cNvCnPr/>
                        <wps:spPr>
                          <a:xfrm>
                            <a:off x="0" y="0"/>
                            <a:ext cx="9026525" cy="38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3pt;width:710.75pt;z-index:251663360;mso-width-relative:page;mso-height-relative:page;" filled="f" stroked="t" coordsize="21600,21600" o:gfxdata="UEsDBAoAAAAAAIdO4kAAAAAAAAAAAAAAAAAEAAAAZHJzL1BLAwQUAAAACACHTuJAIfNLftcAAAAK&#10;AQAADwAAAGRycy9kb3ducmV2LnhtbE2PwW7CMBBE75X6D9Yi9VKBnQgQpHFQVamHHgtIvZp4m6TE&#10;6yh2COXruzmV247maXYm311dKy7Yh8aThmShQCCV3jZUaTge3ucbECEasqb1hBp+McCueHzITWb9&#10;SJ942cdKcAiFzGioY+wyKUNZozNh4Tsk9r5970xk2VfS9mbkcNfKVKm1dKYh/lCbDt9qLM/7wWnA&#10;MKwS9bp11fHjNj5/pbefsTto/TRL1AuIiNf4D8NUn6tDwZ1OfiAbRKthnqRrRvlIedMELNVmC+I0&#10;WUuQRS7vJxR/UEsDBBQAAAAIAIdO4kCiPSqP9gEAAOYDAAAOAAAAZHJzL2Uyb0RvYy54bWytU72O&#10;EzEQ7pF4B8s92SSnOx2rbK5IOBoEkYAHmNjeXUv+k8eXTTo6xDPQUfIO8DYnwVsw9oYcHE0KtvCO&#10;PTPfzPd5vLjZW8N2KqL2ruGzyZQz5YSX2nUNf//u9tk1Z5jASTDeqYYfFPKb5dMniyHUau57b6SK&#10;jEAc1kNoeJ9SqKsKRa8s4MQH5cjZ+mgh0TZ2lYwwELo11Xw6vaoGH2WIXihEOl2PTn5EjOcA+rbV&#10;Qq29uLPKpRE1KgOJKGGvA/Jl6bZtlUhv2hZVYqbhxDSVlYqQvc1rtVxA3UUIvRbHFuCcFh5xsqAd&#10;FT1BrSEBu4v6HyirRfTo2zQR3lYjkaIIsZhNH2nztoegCheSGsNJdPx/sOL1bhOZlg2/4MyBpQv/&#10;8fHrzw+f7j9/v//2hc2yQkPAmgJXbhOPOwybmOnu22jzn4iwfVH1cFJV7RMTdPh8Or+6nF9yJsh3&#10;cT0rolcPuSFieqm8ZdloOKYIuuvTyjtH1+fjrAgLu1eYqDol/k7IhY1jA5UY8YHGsaUxoFI2ECV0&#10;XclFb7S81cbkDIzddmUi20EeifJljoT7V1gusgbsx7jiGoelVyBfOMnSIZBYjt4Izy1YJTkzip5U&#10;tggQ6gTanBNJpY2jDrLMo7DZ2np5KHqXc7r+0uNxVPN8/bkv2Q/Pc/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fNLftcAAAAKAQAADwAAAAAAAAABACAAAAAiAAAAZHJzL2Rvd25yZXYueG1sUEsB&#10;AhQAFAAAAAgAh07iQKI9Ko/2AQAA5gMAAA4AAAAAAAAAAQAgAAAAJgEAAGRycy9lMm9Eb2MueG1s&#10;UEsFBgAAAAAGAAYAWQEAAI4FAAAAAA==&#10;">
                  <v:fill on="f" focussize="0,0"/>
                  <v:stroke color="#000000" joinstyle="round"/>
                  <v:imagedata o:title=""/>
                  <o:lock v:ext="edit" aspectratio="f"/>
                </v:shape>
              </w:pict>
            </mc:Fallback>
          </mc:AlternateContent>
        </w:r>
        <w:r>
          <w:rPr>
            <w:rFonts w:hint="eastAsia"/>
          </w:rPr>
          <w:t xml:space="preserve">浙江高鑫安全检测科技有限公司  </w:t>
        </w:r>
        <w:r>
          <w:rPr>
            <w:rFonts w:hint="eastAsia"/>
            <w:lang w:val="en-US" w:eastAsia="zh-CN"/>
          </w:rPr>
          <w:t xml:space="preserve"> </w:t>
        </w:r>
        <w:r>
          <w:rPr>
            <w:rFonts w:hint="eastAsia"/>
          </w:rPr>
          <w:t xml:space="preserve">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9535827"/>
    </w:sdtPr>
    <w:sdtEndPr>
      <w:rPr>
        <w:rFonts w:ascii="Times New Roman" w:hAnsi="Times New Roman" w:cs="Times New Roman"/>
      </w:rPr>
    </w:sdtEndPr>
    <w:sdtContent>
      <w:p>
        <w:pPr>
          <w:pStyle w:val="19"/>
          <w:wordWrap w:val="0"/>
          <w:ind w:right="360"/>
          <w:jc w:val="right"/>
          <w:rPr>
            <w:rFonts w:ascii="Times New Roman" w:hAnsi="Times New Roman" w:cs="Times New Roman"/>
          </w:rPr>
        </w:pPr>
        <w:r>
          <mc:AlternateContent>
            <mc:Choice Requires="wps">
              <w:drawing>
                <wp:anchor distT="0" distB="0" distL="114300" distR="114300" simplePos="0" relativeHeight="251669504" behindDoc="0" locked="0" layoutInCell="1" allowOverlap="1">
                  <wp:simplePos x="0" y="0"/>
                  <wp:positionH relativeFrom="column">
                    <wp:posOffset>-152400</wp:posOffset>
                  </wp:positionH>
                  <wp:positionV relativeFrom="paragraph">
                    <wp:posOffset>-12065</wp:posOffset>
                  </wp:positionV>
                  <wp:extent cx="5613400" cy="0"/>
                  <wp:effectExtent l="0" t="0" r="0" b="0"/>
                  <wp:wrapNone/>
                  <wp:docPr id="4" name="自选图形 1"/>
                  <wp:cNvGraphicFramePr/>
                  <a:graphic xmlns:a="http://schemas.openxmlformats.org/drawingml/2006/main">
                    <a:graphicData uri="http://schemas.microsoft.com/office/word/2010/wordprocessingShape">
                      <wps:wsp>
                        <wps:cNvCnPr/>
                        <wps:spPr>
                          <a:xfrm>
                            <a:off x="0" y="0"/>
                            <a:ext cx="56134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12pt;margin-top:-0.95pt;height:0pt;width:442pt;z-index:251669504;mso-width-relative:page;mso-height-relative:page;" filled="f" stroked="t" coordsize="21600,21600" o:gfxdata="UEsDBAoAAAAAAIdO4kAAAAAAAAAAAAAAAAAEAAAAZHJzL1BLAwQUAAAACACHTuJAVCS4ttcAAAAJ&#10;AQAADwAAAGRycy9kb3ducmV2LnhtbE2PQW/CMAyF70j7D5En7YIgabUhKE3RNGmHHQdIu4bGa8sa&#10;p2pSyvj1M+Iwbvbz0/P38s3ZteKEfWg8aUjmCgRS6W1DlYb97n22BBGiIWtaT6jhFwNsiodJbjLr&#10;R/rE0zZWgkMoZEZDHWOXSRnKGp0Jc98h8e3b985EXvtK2t6MHO5amSq1kM40xB9q0+FbjeXPdnAa&#10;MAwviXpduWr/cRmnX+nlOHY7rZ8eE7UGEfEc/81wxWd0KJjp4AeyQbQaZukzd4k8JCsQbFguFAuH&#10;myCLXN43KP4AUEsDBBQAAAAIAIdO4kBrnJJb9QEAAOMDAAAOAAAAZHJzL2Uyb0RvYy54bWytU82O&#10;0zAQviPxDpbvNE3ZriBquoeW5YKgEvAAU8dJLPlPHm/T3rghnoEbR94B3mal5S0YO90uLJceyMEZ&#10;e2a+me/zeHG1N5rtZEDlbM3LyZQzaYVrlO1q/vHD9bMXnGEE24B2Vtb8IJFfLZ8+WQy+kjPXO93I&#10;wAjEYjX4mvcx+qooUPTSAE6cl5acrQsGIm1DVzQBBkI3uphNp5fF4ELjgxMSkU7Xo5MfEcM5gK5t&#10;lZBrJ26MtHFEDVJDJErYK498mbttWyniu7ZFGZmuOTGNeaUiZG/TWiwXUHUBfK/EsQU4p4VHnAwo&#10;S0VPUGuIwG6C+gfKKBEcujZOhDPFSCQrQizK6SNt3vfgZeZCUqM/iY7/D1a83W0CU03NLzizYOjC&#10;7z5///Xpy+3Xn7c/vrEyKTR4rChwZTfhuEO/CYnuvg0m/YkI22dVDydV5T4yQYfzy/L5xZQEF/e+&#10;4iHRB4yvpTMsGTXHGEB1fVw5a+nuXCizqrB7g5FKU+J9QqqqLRtq/nI+mxM40Cy2NANkGk980HY5&#10;F51WzbXSOmVg6LYrHdgO0jzkLxEk3L/CUpE1YD/GZdc4Kb2E5pVtWDx4UsrSA+GpBSMbzrSk95Qs&#10;AoQqgtLnRFJpbamDpPGoarK2rjlksfM53X3u8Tinabj+3Ofsh7e5/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JLi21wAAAAkBAAAPAAAAAAAAAAEAIAAAACIAAABkcnMvZG93bnJldi54bWxQSwEC&#10;FAAUAAAACACHTuJAa5ySW/UBAADjAwAADgAAAAAAAAABACAAAAAmAQAAZHJzL2Uyb0RvYy54bWxQ&#10;SwUGAAAAAAYABgBZAQAAjQUAAAAA&#10;">
                  <v:fill on="f" focussize="0,0"/>
                  <v:stroke color="#000000" joinstyle="round"/>
                  <v:imagedata o:title=""/>
                  <o:lock v:ext="edit" aspectratio="f"/>
                </v:shape>
              </w:pict>
            </mc:Fallback>
          </mc:AlternateContent>
        </w:r>
        <w:r>
          <w:rPr>
            <w:rFonts w:hint="eastAsia"/>
          </w:rPr>
          <w:t xml:space="preserve">浙江高鑫安全检测科技有限公司  </w:t>
        </w:r>
        <w:r>
          <w:rPr>
            <w:rFonts w:hint="eastAsia"/>
            <w:lang w:val="en-US" w:eastAsia="zh-CN"/>
          </w:rPr>
          <w:t xml:space="preserve"> </w:t>
        </w:r>
        <w:r>
          <w:rPr>
            <w:rFonts w:hint="eastAsia"/>
          </w:rPr>
          <w:t xml:space="preserve">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w:t>
        </w:r>
        <w:r>
          <w:rPr>
            <w:rFonts w:ascii="Times New Roman" w:hAnsi="Times New Roman" w:cs="Times New Roma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1378951"/>
    </w:sdtPr>
    <w:sdtEndPr>
      <w:rPr>
        <w:rFonts w:ascii="Times New Roman" w:hAnsi="Times New Roman" w:cs="Times New Roman"/>
      </w:rPr>
    </w:sdtEndPr>
    <w:sdtContent>
      <w:p>
        <w:pPr>
          <w:pStyle w:val="19"/>
          <w:wordWrap w:val="0"/>
          <w:ind w:right="360"/>
          <w:jc w:val="right"/>
          <w:rPr>
            <w:rFonts w:ascii="Times New Roman" w:hAnsi="Times New Roman" w:cs="Times New Roman"/>
          </w:rPr>
        </w:pPr>
        <w: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-12700</wp:posOffset>
                  </wp:positionV>
                  <wp:extent cx="5571490" cy="0"/>
                  <wp:effectExtent l="0" t="0" r="0" b="0"/>
                  <wp:wrapNone/>
                  <wp:docPr id="28" name="自选图形 1"/>
                  <wp:cNvGraphicFramePr/>
                  <a:graphic xmlns:a="http://schemas.openxmlformats.org/drawingml/2006/main">
                    <a:graphicData uri="http://schemas.microsoft.com/office/word/2010/wordprocessingShape">
                      <wps:wsp>
                        <wps:cNvCnPr/>
                        <wps:spPr>
                          <a:xfrm>
                            <a:off x="0" y="0"/>
                            <a:ext cx="55714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pt;width:438.7pt;z-index:251660288;mso-width-relative:page;mso-height-relative:page;" filled="f" stroked="t" coordsize="21600,21600" o:gfxdata="UEsDBAoAAAAAAIdO4kAAAAAAAAAAAAAAAAAEAAAAZHJzL1BLAwQUAAAACACHTuJAtUyKv9cAAAAJ&#10;AQAADwAAAGRycy9kb3ducmV2LnhtbE2PQU/DMAyF70j7D5GRuKAtaQXV1jWdJiQOHNkmcc0ar+1o&#10;nKpJ17FfjxEHuNl+T8/fKzZX14kLDqH1pCFZKBBIlbct1RoO+9f5EkSIhqzpPKGGLwywKWd3hcmt&#10;n+gdL7tYCw6hkBsNTYx9LmWoGnQmLHyPxNrJD85EXoda2sFMHO46mSqVSWda4g+N6fGlwepzNzoN&#10;GMbnRG1Xrj683abHj/R2nvq91g/3iVqDiHiNf2b4wWd0KJnp6EeyQXQa5kmasZWHlDuxYZk9cZfj&#10;70GWhfzfoPwGUEsDBBQAAAAIAIdO4kC6TnxT9QEAAOQDAAAOAAAAZHJzL2Uyb0RvYy54bWytU72O&#10;EzEQ7pF4B8s92SQiwK2yuSLhaBCcBDzAxPbuWvKfPL5s0tEhnoGOkneAtzkJ3oKxN5eDo0nBFt6x&#10;PfPNfN+Ml5d7a9hORdTeNXw2mXKmnPBSu67hH95fPXnBGSZwEox3quEHhfxy9fjRcgi1mvveG6ki&#10;IxCH9RAa3qcU6qpC0SsLOPFBObpsfbSQaBu7SkYYCN2aaj6dPqsGH2WIXihEOt2Ml/yIGM8B9G2r&#10;hdp4cWOVSyNqVAYSUcJeB+SrUm3bKpHeti2qxEzDiWkqKyUhe5vXarWEuosQei2OJcA5JTzgZEE7&#10;SnqC2kACdhP1P1BWi+jRt2kivK1GIkURYjGbPtDmXQ9BFS4kNYaT6Pj/YMWb3XVkWjZ8Tn13YKnj&#10;Pz99+/Xx8+2XH7ffv7JZlmgIWJPn2l3H4w7Ddcx89220+U9M2L7IejjJqvaJCTpcLJ7Pnl6Q4uLu&#10;rroPDBHTK+Uty0bDMUXQXZ/W3jlqno+zIivsXmOi1BR4F5CzGseGhl8s5gsCBxrGloaATBuIELqu&#10;xKI3Wl5pY3IExm67NpHtIA9E+TJBwv3LLSfZAPajX7kaR6VXIF86ydIhkFKOXgjPJVglOTOKHlS2&#10;CBDqBNqc40mpjaMKssajqtnaenkoYpdzan6p8Tioebr+3Jfo+8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TIq/1wAAAAkBAAAPAAAAAAAAAAEAIAAAACIAAABkcnMvZG93bnJldi54bWxQSwEC&#10;FAAUAAAACACHTuJAuk58U/UBAADkAwAADgAAAAAAAAABACAAAAAmAQAAZHJzL2Uyb0RvYy54bWxQ&#10;SwUGAAAAAAYABgBZAQAAjQUAAAAA&#10;">
                  <v:fill on="f" focussize="0,0"/>
                  <v:stroke color="#000000" joinstyle="round"/>
                  <v:imagedata o:title=""/>
                  <o:lock v:ext="edit" aspectratio="f"/>
                </v:shape>
              </w:pict>
            </mc:Fallback>
          </mc:AlternateContent>
        </w:r>
        <w:r>
          <w:rPr>
            <w:rFonts w:hint="eastAsia"/>
          </w:rPr>
          <w:t xml:space="preserve">浙江高鑫安全检测科技有限公司   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1378951"/>
    </w:sdtPr>
    <w:sdtEndPr>
      <w:rPr>
        <w:rFonts w:ascii="Times New Roman" w:hAnsi="Times New Roman" w:cs="Times New Roman"/>
      </w:rPr>
    </w:sdtEndPr>
    <w:sdtContent>
      <w:p>
        <w:pPr>
          <w:pStyle w:val="19"/>
          <w:wordWrap/>
          <w:ind w:right="360"/>
          <w:jc w:val="center"/>
          <w:rPr>
            <w:rFonts w:ascii="Times New Roman" w:hAnsi="Times New Roman" w:cs="Times New Roman"/>
          </w:rPr>
        </w:pPr>
        <w:r>
          <mc:AlternateContent>
            <mc:Choice Requires="wps">
              <w:drawing>
                <wp:anchor distT="0" distB="0" distL="114300" distR="114300" simplePos="0" relativeHeight="251671552" behindDoc="0" locked="0" layoutInCell="1" allowOverlap="1">
                  <wp:simplePos x="0" y="0"/>
                  <wp:positionH relativeFrom="column">
                    <wp:posOffset>-80010</wp:posOffset>
                  </wp:positionH>
                  <wp:positionV relativeFrom="paragraph">
                    <wp:posOffset>-12700</wp:posOffset>
                  </wp:positionV>
                  <wp:extent cx="9145905" cy="3175"/>
                  <wp:effectExtent l="0" t="0" r="0" b="0"/>
                  <wp:wrapNone/>
                  <wp:docPr id="70" name="自选图形 1"/>
                  <wp:cNvGraphicFramePr/>
                  <a:graphic xmlns:a="http://schemas.openxmlformats.org/drawingml/2006/main">
                    <a:graphicData uri="http://schemas.microsoft.com/office/word/2010/wordprocessingShape">
                      <wps:wsp>
                        <wps:cNvCnPr/>
                        <wps:spPr>
                          <a:xfrm>
                            <a:off x="0" y="0"/>
                            <a:ext cx="9145905" cy="31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25pt;width:720.15pt;z-index:251671552;mso-width-relative:page;mso-height-relative:page;" filled="f" stroked="t" coordsize="21600,21600" o:gfxdata="UEsDBAoAAAAAAIdO4kAAAAAAAAAAAAAAAAAEAAAAZHJzL1BLAwQUAAAACACHTuJAx1HbGNcAAAAK&#10;AQAADwAAAGRycy9kb3ducmV2LnhtbE2PwU7DMBBE70j8g7VIXFBrx6IthDgVQuLAkbYSVzdekkC8&#10;jmKnKf16Nie47WieZmeK7dl34oRDbAMZyJYKBFIVXEu1gcP+dfEAIiZLznaB0MAPRtiW11eFzV2Y&#10;6B1Pu1QLDqGYWwNNSn0uZawa9DYuQ4/E3mcYvE0sh1q6wU4c7juplVpLb1viD43t8aXB6ns3egMY&#10;x1Wmnh99fXi7THcf+vI19Xtjbm8y9QQi4Tn9wTDX5+pQcqdjGMlF0RlYZHrNKB+aN83Avd5sQBxn&#10;awWyLOT/CeUvUEsDBBQAAAAIAIdO4kAwU1Zq9gEAAOcDAAAOAAAAZHJzL2Uyb0RvYy54bWytU82O&#10;0zAQviPxDpbvNE2hLBs13UPLckFQCXiAqeMklvwnj7dpb9wQz8CNI+/Avs1K8BaMndKF5dIDOThj&#10;z8w3830eL672RrOdDKicrXk5mXImrXCNsl3NP7y/fvKCM4xgG9DOypofJPKr5eNHi8FXcuZ6pxsZ&#10;GIFYrAZf8z5GXxUFil4awInz0pKzdcFApG3oiibAQOhGF7Pp9HkxuND44IREpNP16ORHxHAOoGtb&#10;JeTaiRsjbRxRg9QQiRL2yiNf5m7bVor4tm1RRqZrTkxjXqkI2du0FssFVF0A3ytxbAHOaeEBJwPK&#10;UtET1BoisJug/oEySgSHro0T4UwxEsmKEIty+kCbdz14mbmQ1OhPouP/gxVvdpvAVFPzC5LEgqEb&#10;//Hp28+Pn+++3N59/8rKJNHgsaLIld2E4w79JiS++zaY9CcmbJ9lPZxklfvIBB1els/ml9M5Z4J8&#10;T8uLeYIs7nN9wPhKOsOSUXOMAVTXx5Wzlu7PhTIrC7vXGMfE3wmpsLZsoBLzWcIHmseW5oBM44kT&#10;2i7notOquVZapwwM3XalA9tBmon8HRv6KywVWQP2Y1x2pTCoegnNS9uwePAklqVHwlMLRjacaUlv&#10;Klk5MoLS50SSFtqSJEnmUdhkbV1zyHrnc7r/LNpxVtOA/bnP2ffvc/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1HbGNcAAAAKAQAADwAAAAAAAAABACAAAAAiAAAAZHJzL2Rvd25yZXYueG1sUEsB&#10;AhQAFAAAAAgAh07iQDBTVmr2AQAA5wMAAA4AAAAAAAAAAQAgAAAAJgEAAGRycy9lMm9Eb2MueG1s&#10;UEsFBgAAAAAGAAYAWQEAAI4FAAAAAA==&#10;">
                  <v:fill on="f" focussize="0,0"/>
                  <v:stroke color="#000000" joinstyle="round"/>
                  <v:imagedata o:title=""/>
                  <o:lock v:ext="edit" aspectratio="f"/>
                </v:shape>
              </w:pict>
            </mc:Fallback>
          </mc:AlternateContent>
        </w:r>
        <w:r>
          <w:rPr>
            <w:rFonts w:hint="eastAsia"/>
          </w:rPr>
          <w:t xml:space="preserve">浙江高鑫安全检测科技有限公司   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1378951"/>
    </w:sdtPr>
    <w:sdtEndPr>
      <w:rPr>
        <w:rFonts w:ascii="Times New Roman" w:hAnsi="Times New Roman" w:cs="Times New Roman"/>
      </w:rPr>
    </w:sdtEndPr>
    <w:sdtContent>
      <w:p>
        <w:pPr>
          <w:pStyle w:val="19"/>
          <w:wordWrap w:val="0"/>
          <w:ind w:right="360"/>
          <w:jc w:val="right"/>
          <w:rPr>
            <w:rFonts w:ascii="Times New Roman" w:hAnsi="Times New Roman" w:cs="Times New Roman"/>
          </w:rPr>
        </w:pPr>
        <w:r>
          <mc:AlternateContent>
            <mc:Choice Requires="wps">
              <w:drawing>
                <wp:anchor distT="0" distB="0" distL="114300" distR="114300" simplePos="0" relativeHeight="251670528" behindDoc="0" locked="0" layoutInCell="1" allowOverlap="1">
                  <wp:simplePos x="0" y="0"/>
                  <wp:positionH relativeFrom="column">
                    <wp:posOffset>-80010</wp:posOffset>
                  </wp:positionH>
                  <wp:positionV relativeFrom="paragraph">
                    <wp:posOffset>-12700</wp:posOffset>
                  </wp:positionV>
                  <wp:extent cx="5571490" cy="0"/>
                  <wp:effectExtent l="0" t="0" r="0" b="0"/>
                  <wp:wrapNone/>
                  <wp:docPr id="163" name="自选图形 1"/>
                  <wp:cNvGraphicFramePr/>
                  <a:graphic xmlns:a="http://schemas.openxmlformats.org/drawingml/2006/main">
                    <a:graphicData uri="http://schemas.microsoft.com/office/word/2010/wordprocessingShape">
                      <wps:wsp>
                        <wps:cNvCnPr/>
                        <wps:spPr>
                          <a:xfrm>
                            <a:off x="0" y="0"/>
                            <a:ext cx="55714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pt;width:438.7pt;z-index:251670528;mso-width-relative:page;mso-height-relative:page;" filled="f" stroked="t" coordsize="21600,21600" o:gfxdata="UEsDBAoAAAAAAIdO4kAAAAAAAAAAAAAAAAAEAAAAZHJzL1BLAwQUAAAACACHTuJAtUyKv9cAAAAJ&#10;AQAADwAAAGRycy9kb3ducmV2LnhtbE2PQU/DMAyF70j7D5GRuKAtaQXV1jWdJiQOHNkmcc0ar+1o&#10;nKpJ17FfjxEHuNl+T8/fKzZX14kLDqH1pCFZKBBIlbct1RoO+9f5EkSIhqzpPKGGLwywKWd3hcmt&#10;n+gdL7tYCw6hkBsNTYx9LmWoGnQmLHyPxNrJD85EXoda2sFMHO46mSqVSWda4g+N6fGlwepzNzoN&#10;GMbnRG1Xrj683abHj/R2nvq91g/3iVqDiHiNf2b4wWd0KJnp6EeyQXQa5kmasZWHlDuxYZk9cZfj&#10;70GWhfzfoPwGUEsDBBQAAAAIAIdO4kBS2++R9gEAAOUDAAAOAAAAZHJzL2Uyb0RvYy54bWytU82O&#10;0zAQviPxDpbvNE2hCxs13UPLckFQCXiAqeMklvwnj7dpb9wQz8CNI+8Ab7MSvAVjp9uF5dIDOThj&#10;z8w3830eL672RrOdDKicrXk5mXImrXCNsl3NP7y/fvKCM4xgG9DOypofJPKr5eNHi8FXcuZ6pxsZ&#10;GIFYrAZf8z5GXxUFil4awInz0pKzdcFApG3oiibAQOhGF7Pp9KIYXGh8cEIi0ul6dPIjYjgH0LWt&#10;EnLtxI2RNo6oQWqIRAl75ZEvc7dtK0V827YoI9M1J6Yxr1SE7G1ai+UCqi6A75U4tgDntPCAkwFl&#10;qegJag0R2E1Q/0AZJYJD18aJcKYYiWRFiEU5faDNux68zFxIavQn0fH/wYo3u01gqqFJuHjKmQVD&#10;V/7z07dfHz/ffvlx+/0rK5NGg8eKQld2E4479JuQCO/bYNKfqLB91vVw0lXuIxN0OJ8/L59dkuTi&#10;zlfcJ/qA8ZV0hiWj5hgDqK6PK2ct3Z4LZdYVdq8xUmlKvEtIVbVlQ80v57M5gQNNY0tTQKbxxAht&#10;l3PRadVcK61TBoZuu9KB7SBNRP4SQcL9KywVWQP2Y1x2jbPSS2he2obFgyelLD0RnlowsuFMS3pR&#10;ySJAqCIofU4kldaWOkgaj6oma+uaQxY7n9Pt5x6Pk5rG6899zr5/n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UyKv9cAAAAJAQAADwAAAAAAAAABACAAAAAiAAAAZHJzL2Rvd25yZXYueG1sUEsB&#10;AhQAFAAAAAgAh07iQFLb75H2AQAA5QMAAA4AAAAAAAAAAQAgAAAAJgEAAGRycy9lMm9Eb2MueG1s&#10;UEsFBgAAAAAGAAYAWQEAAI4FAAAAAA==&#10;">
                  <v:fill on="f" focussize="0,0"/>
                  <v:stroke color="#000000" joinstyle="round"/>
                  <v:imagedata o:title=""/>
                  <o:lock v:ext="edit" aspectratio="f"/>
                </v:shape>
              </w:pict>
            </mc:Fallback>
          </mc:AlternateContent>
        </w:r>
        <w:r>
          <w:rPr>
            <w:rFonts w:hint="eastAsia"/>
          </w:rPr>
          <w:t xml:space="preserve">浙江高鑫安全检测科技有限公司   地址：金华市金东区金武北街318号三楼  电话：0579-82133115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default"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ascii="Times New Roman" w:hAnsi="Times New Roman" w:cs="Times New Roman" w:eastAsiaTheme="minorEastAsia"/>
        <w:lang w:eastAsia="zh-CN"/>
      </w:rPr>
    </w:pPr>
    <w:r>
      <w:rPr>
        <w:rFonts w:hint="eastAsia" w:ascii="Times New Roman" w:hAnsi="Times New Roman" w:cs="Times New Roman"/>
        <w:lang w:eastAsia="zh-CN"/>
      </w:rPr>
      <w:t>浙江历山红工贸有限公司年产8000樘非标门生产线技改项目竣工环境保护验收监测报告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ascii="Times New Roman" w:hAnsi="Times New Roman" w:cs="Times New Roman" w:eastAsiaTheme="minorEastAsia"/>
        <w:lang w:eastAsia="zh-CN"/>
      </w:rPr>
    </w:pPr>
    <w:r>
      <w:rPr>
        <w:rFonts w:hint="eastAsia" w:ascii="Times New Roman" w:hAnsi="Times New Roman" w:cs="Times New Roman"/>
        <w:lang w:eastAsia="zh-CN"/>
      </w:rPr>
      <w:t>浙江历山红工贸有限公司年产8000樘非标门生产线技改项目竣工环境保护验收监测报告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2F4F7"/>
    <w:multiLevelType w:val="singleLevel"/>
    <w:tmpl w:val="B4B2F4F7"/>
    <w:lvl w:ilvl="0" w:tentative="0">
      <w:start w:val="1"/>
      <w:numFmt w:val="decimal"/>
      <w:suff w:val="nothing"/>
      <w:lvlText w:val="（%1）"/>
      <w:lvlJc w:val="left"/>
    </w:lvl>
  </w:abstractNum>
  <w:abstractNum w:abstractNumId="1">
    <w:nsid w:val="F13CB0AF"/>
    <w:multiLevelType w:val="singleLevel"/>
    <w:tmpl w:val="F13CB0AF"/>
    <w:lvl w:ilvl="0" w:tentative="0">
      <w:start w:val="1"/>
      <w:numFmt w:val="decimal"/>
      <w:suff w:val="nothing"/>
      <w:lvlText w:val="（%1）"/>
      <w:lvlJc w:val="left"/>
    </w:lvl>
  </w:abstractNum>
  <w:abstractNum w:abstractNumId="2">
    <w:nsid w:val="53942525"/>
    <w:multiLevelType w:val="multilevel"/>
    <w:tmpl w:val="53942525"/>
    <w:lvl w:ilvl="0" w:tentative="0">
      <w:start w:val="1"/>
      <w:numFmt w:val="decimal"/>
      <w:lvlText w:val="  %1."/>
      <w:lvlJc w:val="center"/>
      <w:pPr>
        <w:ind w:left="630" w:hanging="420"/>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
    <w:nsid w:val="5A4CC4FF"/>
    <w:multiLevelType w:val="singleLevel"/>
    <w:tmpl w:val="5A4CC4FF"/>
    <w:lvl w:ilvl="0" w:tentative="0">
      <w:start w:val="1"/>
      <w:numFmt w:val="decimal"/>
      <w:suff w:val="nothing"/>
      <w:lvlText w:val="（%1）"/>
      <w:lvlJc w:val="left"/>
    </w:lvl>
  </w:abstractNum>
  <w:abstractNum w:abstractNumId="4">
    <w:nsid w:val="64D92652"/>
    <w:multiLevelType w:val="multilevel"/>
    <w:tmpl w:val="64D92652"/>
    <w:lvl w:ilvl="0" w:tentative="0">
      <w:start w:val="1"/>
      <w:numFmt w:val="decimal"/>
      <w:lvlText w:val="  %1."/>
      <w:lvlJc w:val="center"/>
      <w:pPr>
        <w:ind w:left="6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2MTYyZjhlNDJhNWJkNjY4ZGJmYmJiNjY5MjYxOTEifQ=="/>
    <w:docVar w:name="KSO_WPS_MARK_KEY" w:val="4e491d5e-109d-4566-8b33-ae7e0bf8e120"/>
  </w:docVars>
  <w:rsids>
    <w:rsidRoot w:val="00EF4525"/>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40CF"/>
    <w:rsid w:val="00031773"/>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DE4"/>
    <w:rsid w:val="000675AC"/>
    <w:rsid w:val="0006762A"/>
    <w:rsid w:val="00067A5D"/>
    <w:rsid w:val="00070B88"/>
    <w:rsid w:val="0007154F"/>
    <w:rsid w:val="000719BD"/>
    <w:rsid w:val="00072273"/>
    <w:rsid w:val="0007260E"/>
    <w:rsid w:val="0007303B"/>
    <w:rsid w:val="00073B46"/>
    <w:rsid w:val="00073CBA"/>
    <w:rsid w:val="00073F4A"/>
    <w:rsid w:val="00074804"/>
    <w:rsid w:val="00076079"/>
    <w:rsid w:val="00077FB5"/>
    <w:rsid w:val="00080079"/>
    <w:rsid w:val="00080455"/>
    <w:rsid w:val="0008278A"/>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74E4"/>
    <w:rsid w:val="000C7D5E"/>
    <w:rsid w:val="000C7F12"/>
    <w:rsid w:val="000D052E"/>
    <w:rsid w:val="000D07CD"/>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613"/>
    <w:rsid w:val="000F7B41"/>
    <w:rsid w:val="001002E4"/>
    <w:rsid w:val="00102633"/>
    <w:rsid w:val="00102657"/>
    <w:rsid w:val="00102D60"/>
    <w:rsid w:val="00103F54"/>
    <w:rsid w:val="00104758"/>
    <w:rsid w:val="00104F16"/>
    <w:rsid w:val="0010568B"/>
    <w:rsid w:val="001078BF"/>
    <w:rsid w:val="001105D8"/>
    <w:rsid w:val="001112CC"/>
    <w:rsid w:val="001114F8"/>
    <w:rsid w:val="00112F2A"/>
    <w:rsid w:val="0011317E"/>
    <w:rsid w:val="00115A83"/>
    <w:rsid w:val="001166CE"/>
    <w:rsid w:val="0011778D"/>
    <w:rsid w:val="00117B0F"/>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2B89"/>
    <w:rsid w:val="00133C24"/>
    <w:rsid w:val="0013443B"/>
    <w:rsid w:val="00134C5F"/>
    <w:rsid w:val="00136751"/>
    <w:rsid w:val="00136AB4"/>
    <w:rsid w:val="00137D31"/>
    <w:rsid w:val="00137E85"/>
    <w:rsid w:val="00140283"/>
    <w:rsid w:val="00140E6F"/>
    <w:rsid w:val="00140F86"/>
    <w:rsid w:val="00141D26"/>
    <w:rsid w:val="00142330"/>
    <w:rsid w:val="0014366B"/>
    <w:rsid w:val="00144DDD"/>
    <w:rsid w:val="001450F8"/>
    <w:rsid w:val="001455DA"/>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25CD"/>
    <w:rsid w:val="001A32A3"/>
    <w:rsid w:val="001A341E"/>
    <w:rsid w:val="001A726B"/>
    <w:rsid w:val="001A7B0F"/>
    <w:rsid w:val="001B0277"/>
    <w:rsid w:val="001B1A1C"/>
    <w:rsid w:val="001B1BF0"/>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906"/>
    <w:rsid w:val="00221E08"/>
    <w:rsid w:val="002223A2"/>
    <w:rsid w:val="0022431C"/>
    <w:rsid w:val="00224920"/>
    <w:rsid w:val="00224CE4"/>
    <w:rsid w:val="002250DD"/>
    <w:rsid w:val="00225599"/>
    <w:rsid w:val="00225FA9"/>
    <w:rsid w:val="00226BB6"/>
    <w:rsid w:val="00226E21"/>
    <w:rsid w:val="00226FF9"/>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24F3"/>
    <w:rsid w:val="00243118"/>
    <w:rsid w:val="00245975"/>
    <w:rsid w:val="00245BB7"/>
    <w:rsid w:val="00247638"/>
    <w:rsid w:val="002546AF"/>
    <w:rsid w:val="002554EF"/>
    <w:rsid w:val="00255798"/>
    <w:rsid w:val="002575DC"/>
    <w:rsid w:val="00260E14"/>
    <w:rsid w:val="00265C57"/>
    <w:rsid w:val="00266886"/>
    <w:rsid w:val="0026688A"/>
    <w:rsid w:val="00267D45"/>
    <w:rsid w:val="00271CB3"/>
    <w:rsid w:val="00272386"/>
    <w:rsid w:val="0027289A"/>
    <w:rsid w:val="002737D4"/>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53D1"/>
    <w:rsid w:val="00297F33"/>
    <w:rsid w:val="002A050B"/>
    <w:rsid w:val="002A0941"/>
    <w:rsid w:val="002A1B4E"/>
    <w:rsid w:val="002A2953"/>
    <w:rsid w:val="002A3393"/>
    <w:rsid w:val="002A43D2"/>
    <w:rsid w:val="002A676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4553"/>
    <w:rsid w:val="0030472D"/>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B3F"/>
    <w:rsid w:val="00326DB2"/>
    <w:rsid w:val="00327057"/>
    <w:rsid w:val="00330177"/>
    <w:rsid w:val="00330228"/>
    <w:rsid w:val="00330673"/>
    <w:rsid w:val="00330A4B"/>
    <w:rsid w:val="00331917"/>
    <w:rsid w:val="00331933"/>
    <w:rsid w:val="00334A69"/>
    <w:rsid w:val="003350C8"/>
    <w:rsid w:val="00335A25"/>
    <w:rsid w:val="00336A55"/>
    <w:rsid w:val="003401D5"/>
    <w:rsid w:val="00342694"/>
    <w:rsid w:val="003429B6"/>
    <w:rsid w:val="00342FA4"/>
    <w:rsid w:val="003448B3"/>
    <w:rsid w:val="00344A98"/>
    <w:rsid w:val="00344F85"/>
    <w:rsid w:val="00345278"/>
    <w:rsid w:val="00345474"/>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EE2"/>
    <w:rsid w:val="003939A6"/>
    <w:rsid w:val="00393A18"/>
    <w:rsid w:val="003942BC"/>
    <w:rsid w:val="00396E5E"/>
    <w:rsid w:val="003A08B3"/>
    <w:rsid w:val="003A170B"/>
    <w:rsid w:val="003A20BF"/>
    <w:rsid w:val="003A5D6E"/>
    <w:rsid w:val="003A6941"/>
    <w:rsid w:val="003A69C1"/>
    <w:rsid w:val="003A7F82"/>
    <w:rsid w:val="003B0FC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2202"/>
    <w:rsid w:val="003F440B"/>
    <w:rsid w:val="003F4AFD"/>
    <w:rsid w:val="003F50A9"/>
    <w:rsid w:val="003F50DF"/>
    <w:rsid w:val="003F7FD4"/>
    <w:rsid w:val="0040000B"/>
    <w:rsid w:val="00400531"/>
    <w:rsid w:val="00400B88"/>
    <w:rsid w:val="00400E28"/>
    <w:rsid w:val="00401670"/>
    <w:rsid w:val="00401739"/>
    <w:rsid w:val="00402C5E"/>
    <w:rsid w:val="00402DB2"/>
    <w:rsid w:val="00405102"/>
    <w:rsid w:val="00405B21"/>
    <w:rsid w:val="00405B4C"/>
    <w:rsid w:val="004060AB"/>
    <w:rsid w:val="00406F6F"/>
    <w:rsid w:val="0040776E"/>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3068"/>
    <w:rsid w:val="0045387B"/>
    <w:rsid w:val="0045450B"/>
    <w:rsid w:val="0045576F"/>
    <w:rsid w:val="00455C85"/>
    <w:rsid w:val="00456EB1"/>
    <w:rsid w:val="00457E94"/>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3C4"/>
    <w:rsid w:val="00496AB3"/>
    <w:rsid w:val="004A041B"/>
    <w:rsid w:val="004A073D"/>
    <w:rsid w:val="004A18DF"/>
    <w:rsid w:val="004A192E"/>
    <w:rsid w:val="004A1B5A"/>
    <w:rsid w:val="004A1DA2"/>
    <w:rsid w:val="004A33F9"/>
    <w:rsid w:val="004A5171"/>
    <w:rsid w:val="004A5525"/>
    <w:rsid w:val="004A671A"/>
    <w:rsid w:val="004A6F06"/>
    <w:rsid w:val="004A7127"/>
    <w:rsid w:val="004A7AC7"/>
    <w:rsid w:val="004A7D54"/>
    <w:rsid w:val="004B1816"/>
    <w:rsid w:val="004B1B7D"/>
    <w:rsid w:val="004B25BF"/>
    <w:rsid w:val="004B264C"/>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FA3"/>
    <w:rsid w:val="004D2456"/>
    <w:rsid w:val="004D2C50"/>
    <w:rsid w:val="004D37FD"/>
    <w:rsid w:val="004D3B48"/>
    <w:rsid w:val="004D3C8C"/>
    <w:rsid w:val="004D4054"/>
    <w:rsid w:val="004D4063"/>
    <w:rsid w:val="004D457B"/>
    <w:rsid w:val="004D495B"/>
    <w:rsid w:val="004D5B9B"/>
    <w:rsid w:val="004D6153"/>
    <w:rsid w:val="004E0429"/>
    <w:rsid w:val="004E1C7E"/>
    <w:rsid w:val="004E29FB"/>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68"/>
    <w:rsid w:val="00501AB9"/>
    <w:rsid w:val="00502CB6"/>
    <w:rsid w:val="00505198"/>
    <w:rsid w:val="005052C9"/>
    <w:rsid w:val="005055AA"/>
    <w:rsid w:val="005056F3"/>
    <w:rsid w:val="00505AAB"/>
    <w:rsid w:val="005067BD"/>
    <w:rsid w:val="00507472"/>
    <w:rsid w:val="005077D8"/>
    <w:rsid w:val="00507BFD"/>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7D2"/>
    <w:rsid w:val="00561D93"/>
    <w:rsid w:val="00562B2E"/>
    <w:rsid w:val="00563D40"/>
    <w:rsid w:val="00564413"/>
    <w:rsid w:val="00564549"/>
    <w:rsid w:val="005649BC"/>
    <w:rsid w:val="00564D04"/>
    <w:rsid w:val="0056504F"/>
    <w:rsid w:val="00565154"/>
    <w:rsid w:val="005654D7"/>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DB6"/>
    <w:rsid w:val="005813FD"/>
    <w:rsid w:val="00582421"/>
    <w:rsid w:val="005829B6"/>
    <w:rsid w:val="00582B6D"/>
    <w:rsid w:val="0058343D"/>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687"/>
    <w:rsid w:val="005A16EE"/>
    <w:rsid w:val="005A2FBC"/>
    <w:rsid w:val="005A3A77"/>
    <w:rsid w:val="005A3E96"/>
    <w:rsid w:val="005A653D"/>
    <w:rsid w:val="005A6C62"/>
    <w:rsid w:val="005A7854"/>
    <w:rsid w:val="005B0165"/>
    <w:rsid w:val="005B0257"/>
    <w:rsid w:val="005B1AF2"/>
    <w:rsid w:val="005B2856"/>
    <w:rsid w:val="005B2907"/>
    <w:rsid w:val="005B29E7"/>
    <w:rsid w:val="005B3226"/>
    <w:rsid w:val="005B374C"/>
    <w:rsid w:val="005B3DD8"/>
    <w:rsid w:val="005B40F9"/>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213E"/>
    <w:rsid w:val="00632BEE"/>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432B"/>
    <w:rsid w:val="00675A08"/>
    <w:rsid w:val="006800FB"/>
    <w:rsid w:val="00680726"/>
    <w:rsid w:val="006809CC"/>
    <w:rsid w:val="0068105C"/>
    <w:rsid w:val="00683C61"/>
    <w:rsid w:val="00683FEA"/>
    <w:rsid w:val="006848C6"/>
    <w:rsid w:val="00684D90"/>
    <w:rsid w:val="00685535"/>
    <w:rsid w:val="00686445"/>
    <w:rsid w:val="006879DF"/>
    <w:rsid w:val="00690183"/>
    <w:rsid w:val="006912DE"/>
    <w:rsid w:val="006914BF"/>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13F5"/>
    <w:rsid w:val="006C195C"/>
    <w:rsid w:val="006C1F11"/>
    <w:rsid w:val="006C30AA"/>
    <w:rsid w:val="006C38E8"/>
    <w:rsid w:val="006C3938"/>
    <w:rsid w:val="006C39DB"/>
    <w:rsid w:val="006C5C3A"/>
    <w:rsid w:val="006C78BC"/>
    <w:rsid w:val="006C78C6"/>
    <w:rsid w:val="006C7E64"/>
    <w:rsid w:val="006D0822"/>
    <w:rsid w:val="006D0CD2"/>
    <w:rsid w:val="006D352E"/>
    <w:rsid w:val="006D4CDE"/>
    <w:rsid w:val="006D52E8"/>
    <w:rsid w:val="006D5E0C"/>
    <w:rsid w:val="006D604E"/>
    <w:rsid w:val="006D6DCA"/>
    <w:rsid w:val="006D7821"/>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43CA"/>
    <w:rsid w:val="006F4A5F"/>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49A7"/>
    <w:rsid w:val="00734E9A"/>
    <w:rsid w:val="00735E01"/>
    <w:rsid w:val="007363CD"/>
    <w:rsid w:val="00740DEF"/>
    <w:rsid w:val="00741573"/>
    <w:rsid w:val="00742BB0"/>
    <w:rsid w:val="00742DBA"/>
    <w:rsid w:val="00742DF0"/>
    <w:rsid w:val="00743164"/>
    <w:rsid w:val="0074589D"/>
    <w:rsid w:val="00745F8F"/>
    <w:rsid w:val="00750F8A"/>
    <w:rsid w:val="0075111A"/>
    <w:rsid w:val="007513EB"/>
    <w:rsid w:val="00752561"/>
    <w:rsid w:val="00752A84"/>
    <w:rsid w:val="00752C16"/>
    <w:rsid w:val="00753346"/>
    <w:rsid w:val="0075375F"/>
    <w:rsid w:val="007539BD"/>
    <w:rsid w:val="007558A7"/>
    <w:rsid w:val="00755C1F"/>
    <w:rsid w:val="00755C99"/>
    <w:rsid w:val="007564EE"/>
    <w:rsid w:val="007566DA"/>
    <w:rsid w:val="00756B4D"/>
    <w:rsid w:val="007575D8"/>
    <w:rsid w:val="00757A5F"/>
    <w:rsid w:val="00761A84"/>
    <w:rsid w:val="00763EE8"/>
    <w:rsid w:val="00763F8E"/>
    <w:rsid w:val="0076515E"/>
    <w:rsid w:val="007665CD"/>
    <w:rsid w:val="00766D0C"/>
    <w:rsid w:val="00770833"/>
    <w:rsid w:val="007710A6"/>
    <w:rsid w:val="00771AA7"/>
    <w:rsid w:val="007727E7"/>
    <w:rsid w:val="007729CA"/>
    <w:rsid w:val="00773CBB"/>
    <w:rsid w:val="007752BF"/>
    <w:rsid w:val="007755EF"/>
    <w:rsid w:val="00775C6A"/>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A0D"/>
    <w:rsid w:val="00811871"/>
    <w:rsid w:val="00811DD9"/>
    <w:rsid w:val="008133C2"/>
    <w:rsid w:val="008143EC"/>
    <w:rsid w:val="008154C8"/>
    <w:rsid w:val="00815E93"/>
    <w:rsid w:val="0081661F"/>
    <w:rsid w:val="00816B9A"/>
    <w:rsid w:val="00821965"/>
    <w:rsid w:val="00824C17"/>
    <w:rsid w:val="0082517F"/>
    <w:rsid w:val="00825FD8"/>
    <w:rsid w:val="008267ED"/>
    <w:rsid w:val="00827122"/>
    <w:rsid w:val="0083033D"/>
    <w:rsid w:val="00830A4D"/>
    <w:rsid w:val="00832929"/>
    <w:rsid w:val="0083390D"/>
    <w:rsid w:val="00834442"/>
    <w:rsid w:val="00834F9C"/>
    <w:rsid w:val="00836D32"/>
    <w:rsid w:val="00836F5E"/>
    <w:rsid w:val="0084056A"/>
    <w:rsid w:val="008405B5"/>
    <w:rsid w:val="0084086C"/>
    <w:rsid w:val="00840934"/>
    <w:rsid w:val="00843157"/>
    <w:rsid w:val="00844D83"/>
    <w:rsid w:val="00845EAC"/>
    <w:rsid w:val="008462CD"/>
    <w:rsid w:val="008465EB"/>
    <w:rsid w:val="00846717"/>
    <w:rsid w:val="00846E5D"/>
    <w:rsid w:val="008516C1"/>
    <w:rsid w:val="00852081"/>
    <w:rsid w:val="008526A3"/>
    <w:rsid w:val="00852708"/>
    <w:rsid w:val="008534EE"/>
    <w:rsid w:val="008543FC"/>
    <w:rsid w:val="008547BA"/>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B09"/>
    <w:rsid w:val="00880BF5"/>
    <w:rsid w:val="008816F8"/>
    <w:rsid w:val="00882229"/>
    <w:rsid w:val="008828E4"/>
    <w:rsid w:val="008833CB"/>
    <w:rsid w:val="00883BA6"/>
    <w:rsid w:val="00884466"/>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4FF"/>
    <w:rsid w:val="00897D42"/>
    <w:rsid w:val="008A0B24"/>
    <w:rsid w:val="008A109B"/>
    <w:rsid w:val="008A1FA9"/>
    <w:rsid w:val="008A269E"/>
    <w:rsid w:val="008A27A3"/>
    <w:rsid w:val="008A3795"/>
    <w:rsid w:val="008A3F1C"/>
    <w:rsid w:val="008A46F2"/>
    <w:rsid w:val="008A4FF4"/>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996"/>
    <w:rsid w:val="008C63AA"/>
    <w:rsid w:val="008C7C9B"/>
    <w:rsid w:val="008D1C2C"/>
    <w:rsid w:val="008D3FE7"/>
    <w:rsid w:val="008D6CBB"/>
    <w:rsid w:val="008D7311"/>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55CE"/>
    <w:rsid w:val="009155D3"/>
    <w:rsid w:val="00916FFF"/>
    <w:rsid w:val="00920225"/>
    <w:rsid w:val="00920F41"/>
    <w:rsid w:val="00921840"/>
    <w:rsid w:val="0092239A"/>
    <w:rsid w:val="009250E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5172"/>
    <w:rsid w:val="00955255"/>
    <w:rsid w:val="00955D78"/>
    <w:rsid w:val="0095601F"/>
    <w:rsid w:val="00956811"/>
    <w:rsid w:val="0096008D"/>
    <w:rsid w:val="00960222"/>
    <w:rsid w:val="00960483"/>
    <w:rsid w:val="00960833"/>
    <w:rsid w:val="009654E6"/>
    <w:rsid w:val="009670A8"/>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5B5A"/>
    <w:rsid w:val="00985C24"/>
    <w:rsid w:val="0098647A"/>
    <w:rsid w:val="00986BD5"/>
    <w:rsid w:val="00987370"/>
    <w:rsid w:val="009909BB"/>
    <w:rsid w:val="009910DD"/>
    <w:rsid w:val="009913A7"/>
    <w:rsid w:val="009917B3"/>
    <w:rsid w:val="00991822"/>
    <w:rsid w:val="00992353"/>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BA4"/>
    <w:rsid w:val="009B22D5"/>
    <w:rsid w:val="009B2807"/>
    <w:rsid w:val="009B40D6"/>
    <w:rsid w:val="009B539D"/>
    <w:rsid w:val="009B58B2"/>
    <w:rsid w:val="009B59E2"/>
    <w:rsid w:val="009B5B79"/>
    <w:rsid w:val="009B72BB"/>
    <w:rsid w:val="009B7944"/>
    <w:rsid w:val="009B7E46"/>
    <w:rsid w:val="009C0386"/>
    <w:rsid w:val="009C0423"/>
    <w:rsid w:val="009C233C"/>
    <w:rsid w:val="009C2DE2"/>
    <w:rsid w:val="009C4C90"/>
    <w:rsid w:val="009C52C7"/>
    <w:rsid w:val="009C5748"/>
    <w:rsid w:val="009C640F"/>
    <w:rsid w:val="009C6DC8"/>
    <w:rsid w:val="009C7702"/>
    <w:rsid w:val="009D004E"/>
    <w:rsid w:val="009D01E0"/>
    <w:rsid w:val="009D0DD9"/>
    <w:rsid w:val="009D2F3F"/>
    <w:rsid w:val="009D3306"/>
    <w:rsid w:val="009D45B8"/>
    <w:rsid w:val="009D48E3"/>
    <w:rsid w:val="009D4D01"/>
    <w:rsid w:val="009D576F"/>
    <w:rsid w:val="009D5B00"/>
    <w:rsid w:val="009D75A6"/>
    <w:rsid w:val="009E0C64"/>
    <w:rsid w:val="009E199F"/>
    <w:rsid w:val="009E2BC8"/>
    <w:rsid w:val="009E3997"/>
    <w:rsid w:val="009E3F4C"/>
    <w:rsid w:val="009E4734"/>
    <w:rsid w:val="009E49CA"/>
    <w:rsid w:val="009E4B65"/>
    <w:rsid w:val="009E5ADD"/>
    <w:rsid w:val="009E5BAF"/>
    <w:rsid w:val="009E7B6E"/>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93"/>
    <w:rsid w:val="00A109F0"/>
    <w:rsid w:val="00A10A19"/>
    <w:rsid w:val="00A10ACF"/>
    <w:rsid w:val="00A1145D"/>
    <w:rsid w:val="00A1180E"/>
    <w:rsid w:val="00A1198F"/>
    <w:rsid w:val="00A11A36"/>
    <w:rsid w:val="00A161DA"/>
    <w:rsid w:val="00A172AC"/>
    <w:rsid w:val="00A20180"/>
    <w:rsid w:val="00A203E4"/>
    <w:rsid w:val="00A21132"/>
    <w:rsid w:val="00A2119A"/>
    <w:rsid w:val="00A227C1"/>
    <w:rsid w:val="00A2329C"/>
    <w:rsid w:val="00A24637"/>
    <w:rsid w:val="00A24A1A"/>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4028"/>
    <w:rsid w:val="00A74041"/>
    <w:rsid w:val="00A74991"/>
    <w:rsid w:val="00A75619"/>
    <w:rsid w:val="00A762BC"/>
    <w:rsid w:val="00A76507"/>
    <w:rsid w:val="00A76A11"/>
    <w:rsid w:val="00A77117"/>
    <w:rsid w:val="00A77ED0"/>
    <w:rsid w:val="00A801A0"/>
    <w:rsid w:val="00A802E9"/>
    <w:rsid w:val="00A80F2F"/>
    <w:rsid w:val="00A81280"/>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341C"/>
    <w:rsid w:val="00AE343E"/>
    <w:rsid w:val="00AE3894"/>
    <w:rsid w:val="00AE4E29"/>
    <w:rsid w:val="00AE5048"/>
    <w:rsid w:val="00AE54C7"/>
    <w:rsid w:val="00AF29DE"/>
    <w:rsid w:val="00AF3823"/>
    <w:rsid w:val="00AF451B"/>
    <w:rsid w:val="00AF5ACC"/>
    <w:rsid w:val="00AF5CF0"/>
    <w:rsid w:val="00AF5EC6"/>
    <w:rsid w:val="00AF682E"/>
    <w:rsid w:val="00AF6DAB"/>
    <w:rsid w:val="00AF6E02"/>
    <w:rsid w:val="00AF7410"/>
    <w:rsid w:val="00AF7FAB"/>
    <w:rsid w:val="00B00292"/>
    <w:rsid w:val="00B00B29"/>
    <w:rsid w:val="00B0124D"/>
    <w:rsid w:val="00B029C8"/>
    <w:rsid w:val="00B03AF9"/>
    <w:rsid w:val="00B04264"/>
    <w:rsid w:val="00B0470A"/>
    <w:rsid w:val="00B04907"/>
    <w:rsid w:val="00B04E30"/>
    <w:rsid w:val="00B056DD"/>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267"/>
    <w:rsid w:val="00B86C6C"/>
    <w:rsid w:val="00B86D83"/>
    <w:rsid w:val="00B87148"/>
    <w:rsid w:val="00B87312"/>
    <w:rsid w:val="00B8783F"/>
    <w:rsid w:val="00B87B4A"/>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1189"/>
    <w:rsid w:val="00BC2B80"/>
    <w:rsid w:val="00BC2ECE"/>
    <w:rsid w:val="00BC5273"/>
    <w:rsid w:val="00BC688B"/>
    <w:rsid w:val="00BC6C0F"/>
    <w:rsid w:val="00BD008C"/>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7C9A"/>
    <w:rsid w:val="00BF7DB5"/>
    <w:rsid w:val="00C00D58"/>
    <w:rsid w:val="00C039F0"/>
    <w:rsid w:val="00C048FC"/>
    <w:rsid w:val="00C0492A"/>
    <w:rsid w:val="00C04F4D"/>
    <w:rsid w:val="00C05CE0"/>
    <w:rsid w:val="00C05EB1"/>
    <w:rsid w:val="00C07070"/>
    <w:rsid w:val="00C11380"/>
    <w:rsid w:val="00C12D97"/>
    <w:rsid w:val="00C12E6C"/>
    <w:rsid w:val="00C132B1"/>
    <w:rsid w:val="00C13341"/>
    <w:rsid w:val="00C13943"/>
    <w:rsid w:val="00C1427C"/>
    <w:rsid w:val="00C157EB"/>
    <w:rsid w:val="00C15FF2"/>
    <w:rsid w:val="00C17F20"/>
    <w:rsid w:val="00C20406"/>
    <w:rsid w:val="00C21761"/>
    <w:rsid w:val="00C219C2"/>
    <w:rsid w:val="00C25581"/>
    <w:rsid w:val="00C26BDD"/>
    <w:rsid w:val="00C27226"/>
    <w:rsid w:val="00C2722E"/>
    <w:rsid w:val="00C2782C"/>
    <w:rsid w:val="00C27E38"/>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810"/>
    <w:rsid w:val="00C521F0"/>
    <w:rsid w:val="00C5260A"/>
    <w:rsid w:val="00C53C52"/>
    <w:rsid w:val="00C55368"/>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E65"/>
    <w:rsid w:val="00CA5AAA"/>
    <w:rsid w:val="00CA7A68"/>
    <w:rsid w:val="00CB0652"/>
    <w:rsid w:val="00CB1683"/>
    <w:rsid w:val="00CB1CA9"/>
    <w:rsid w:val="00CB2084"/>
    <w:rsid w:val="00CB228B"/>
    <w:rsid w:val="00CB29F0"/>
    <w:rsid w:val="00CB2B34"/>
    <w:rsid w:val="00CB5132"/>
    <w:rsid w:val="00CB543D"/>
    <w:rsid w:val="00CB5ECB"/>
    <w:rsid w:val="00CB7E5F"/>
    <w:rsid w:val="00CC0A8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B79"/>
    <w:rsid w:val="00CD5C35"/>
    <w:rsid w:val="00CD63BB"/>
    <w:rsid w:val="00CD6E9C"/>
    <w:rsid w:val="00CD79DF"/>
    <w:rsid w:val="00CD7FF8"/>
    <w:rsid w:val="00CE04D0"/>
    <w:rsid w:val="00CE181E"/>
    <w:rsid w:val="00CE189D"/>
    <w:rsid w:val="00CE358E"/>
    <w:rsid w:val="00CE3C41"/>
    <w:rsid w:val="00CE6443"/>
    <w:rsid w:val="00CE6968"/>
    <w:rsid w:val="00CF1C68"/>
    <w:rsid w:val="00CF2D2C"/>
    <w:rsid w:val="00CF4D03"/>
    <w:rsid w:val="00CF57C2"/>
    <w:rsid w:val="00CF5AB6"/>
    <w:rsid w:val="00CF5F32"/>
    <w:rsid w:val="00CF6399"/>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FCE"/>
    <w:rsid w:val="00D23893"/>
    <w:rsid w:val="00D24788"/>
    <w:rsid w:val="00D25BB1"/>
    <w:rsid w:val="00D26714"/>
    <w:rsid w:val="00D27489"/>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3262"/>
    <w:rsid w:val="00D535BB"/>
    <w:rsid w:val="00D54D08"/>
    <w:rsid w:val="00D55C34"/>
    <w:rsid w:val="00D57111"/>
    <w:rsid w:val="00D574C1"/>
    <w:rsid w:val="00D6075B"/>
    <w:rsid w:val="00D613F9"/>
    <w:rsid w:val="00D61EAA"/>
    <w:rsid w:val="00D6275E"/>
    <w:rsid w:val="00D63D6C"/>
    <w:rsid w:val="00D64211"/>
    <w:rsid w:val="00D64B9E"/>
    <w:rsid w:val="00D66AC2"/>
    <w:rsid w:val="00D7016B"/>
    <w:rsid w:val="00D70B15"/>
    <w:rsid w:val="00D70E9A"/>
    <w:rsid w:val="00D7146E"/>
    <w:rsid w:val="00D71615"/>
    <w:rsid w:val="00D7241D"/>
    <w:rsid w:val="00D729C3"/>
    <w:rsid w:val="00D730F7"/>
    <w:rsid w:val="00D737E7"/>
    <w:rsid w:val="00D7424D"/>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DC2"/>
    <w:rsid w:val="00D900A8"/>
    <w:rsid w:val="00D90590"/>
    <w:rsid w:val="00D91171"/>
    <w:rsid w:val="00D91ECF"/>
    <w:rsid w:val="00D92AB5"/>
    <w:rsid w:val="00D92B4F"/>
    <w:rsid w:val="00D94A3D"/>
    <w:rsid w:val="00D95AD4"/>
    <w:rsid w:val="00D96C29"/>
    <w:rsid w:val="00D97246"/>
    <w:rsid w:val="00D97BE4"/>
    <w:rsid w:val="00D97D0C"/>
    <w:rsid w:val="00D97F21"/>
    <w:rsid w:val="00DA1428"/>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6D2"/>
    <w:rsid w:val="00DB4B1C"/>
    <w:rsid w:val="00DB5455"/>
    <w:rsid w:val="00DB61E1"/>
    <w:rsid w:val="00DB67D0"/>
    <w:rsid w:val="00DB68B9"/>
    <w:rsid w:val="00DB6AB1"/>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BC6"/>
    <w:rsid w:val="00E47DD4"/>
    <w:rsid w:val="00E503C6"/>
    <w:rsid w:val="00E51B73"/>
    <w:rsid w:val="00E524B9"/>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C28"/>
    <w:rsid w:val="00E80F8E"/>
    <w:rsid w:val="00E8117A"/>
    <w:rsid w:val="00E82FDD"/>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20C14"/>
    <w:rsid w:val="00F20CEF"/>
    <w:rsid w:val="00F20E86"/>
    <w:rsid w:val="00F21BF5"/>
    <w:rsid w:val="00F21D0F"/>
    <w:rsid w:val="00F23E7F"/>
    <w:rsid w:val="00F24B9E"/>
    <w:rsid w:val="00F260A7"/>
    <w:rsid w:val="00F26EFB"/>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EE7"/>
    <w:rsid w:val="00F516AB"/>
    <w:rsid w:val="00F51DBD"/>
    <w:rsid w:val="00F53700"/>
    <w:rsid w:val="00F541FC"/>
    <w:rsid w:val="00F55A59"/>
    <w:rsid w:val="00F564C7"/>
    <w:rsid w:val="00F5681D"/>
    <w:rsid w:val="00F57831"/>
    <w:rsid w:val="00F60B4F"/>
    <w:rsid w:val="00F60E23"/>
    <w:rsid w:val="00F60E6E"/>
    <w:rsid w:val="00F62D05"/>
    <w:rsid w:val="00F63F8C"/>
    <w:rsid w:val="00F64068"/>
    <w:rsid w:val="00F6633A"/>
    <w:rsid w:val="00F674AD"/>
    <w:rsid w:val="00F6763A"/>
    <w:rsid w:val="00F70CA5"/>
    <w:rsid w:val="00F70E18"/>
    <w:rsid w:val="00F7476D"/>
    <w:rsid w:val="00F762CA"/>
    <w:rsid w:val="00F77E0A"/>
    <w:rsid w:val="00F77F23"/>
    <w:rsid w:val="00F80C25"/>
    <w:rsid w:val="00F833D2"/>
    <w:rsid w:val="00F834BC"/>
    <w:rsid w:val="00F834ED"/>
    <w:rsid w:val="00F83661"/>
    <w:rsid w:val="00F84A51"/>
    <w:rsid w:val="00F84CB4"/>
    <w:rsid w:val="00F85AB7"/>
    <w:rsid w:val="00F86637"/>
    <w:rsid w:val="00F86E19"/>
    <w:rsid w:val="00F87A7E"/>
    <w:rsid w:val="00F90198"/>
    <w:rsid w:val="00F9126E"/>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547"/>
    <w:rsid w:val="00FF2829"/>
    <w:rsid w:val="00FF28DE"/>
    <w:rsid w:val="00FF2BC9"/>
    <w:rsid w:val="00FF3C52"/>
    <w:rsid w:val="00FF4F8A"/>
    <w:rsid w:val="00FF5C5E"/>
    <w:rsid w:val="00FF6C14"/>
    <w:rsid w:val="00FF7D09"/>
    <w:rsid w:val="017716F4"/>
    <w:rsid w:val="017A14D9"/>
    <w:rsid w:val="01A90127"/>
    <w:rsid w:val="01A90387"/>
    <w:rsid w:val="01B52C9A"/>
    <w:rsid w:val="01D77756"/>
    <w:rsid w:val="02330D72"/>
    <w:rsid w:val="025033FE"/>
    <w:rsid w:val="028265A2"/>
    <w:rsid w:val="028D5673"/>
    <w:rsid w:val="02AB41BB"/>
    <w:rsid w:val="02BF3353"/>
    <w:rsid w:val="02C76577"/>
    <w:rsid w:val="02D000C8"/>
    <w:rsid w:val="02D150FD"/>
    <w:rsid w:val="02D41224"/>
    <w:rsid w:val="02FF4C10"/>
    <w:rsid w:val="03522419"/>
    <w:rsid w:val="036601BF"/>
    <w:rsid w:val="03837AD1"/>
    <w:rsid w:val="03B145CA"/>
    <w:rsid w:val="03BE44B1"/>
    <w:rsid w:val="03CC4AF9"/>
    <w:rsid w:val="03FE3A27"/>
    <w:rsid w:val="04642C8F"/>
    <w:rsid w:val="047549BC"/>
    <w:rsid w:val="04BA292B"/>
    <w:rsid w:val="04C17856"/>
    <w:rsid w:val="05062463"/>
    <w:rsid w:val="05777F14"/>
    <w:rsid w:val="063B3638"/>
    <w:rsid w:val="06585E79"/>
    <w:rsid w:val="067B4063"/>
    <w:rsid w:val="06B73250"/>
    <w:rsid w:val="06E0107D"/>
    <w:rsid w:val="06FC7F91"/>
    <w:rsid w:val="07100953"/>
    <w:rsid w:val="073A689E"/>
    <w:rsid w:val="0767441E"/>
    <w:rsid w:val="07944DAE"/>
    <w:rsid w:val="084676A7"/>
    <w:rsid w:val="085963D5"/>
    <w:rsid w:val="08776ED2"/>
    <w:rsid w:val="087A16CF"/>
    <w:rsid w:val="08824CDD"/>
    <w:rsid w:val="08852948"/>
    <w:rsid w:val="089A08E7"/>
    <w:rsid w:val="08AF5C22"/>
    <w:rsid w:val="08DA0EC4"/>
    <w:rsid w:val="090D12BC"/>
    <w:rsid w:val="096802A0"/>
    <w:rsid w:val="0970120C"/>
    <w:rsid w:val="09CD104E"/>
    <w:rsid w:val="0A5B30EA"/>
    <w:rsid w:val="0A9A65A5"/>
    <w:rsid w:val="0ADD2B47"/>
    <w:rsid w:val="0B04049C"/>
    <w:rsid w:val="0B1547D1"/>
    <w:rsid w:val="0B6B22C9"/>
    <w:rsid w:val="0B80127A"/>
    <w:rsid w:val="0B8B1247"/>
    <w:rsid w:val="0B8B368D"/>
    <w:rsid w:val="0BDF05C2"/>
    <w:rsid w:val="0BF82B2B"/>
    <w:rsid w:val="0C08760F"/>
    <w:rsid w:val="0C4E1CE1"/>
    <w:rsid w:val="0C760F26"/>
    <w:rsid w:val="0C971927"/>
    <w:rsid w:val="0CB12F1A"/>
    <w:rsid w:val="0CC04897"/>
    <w:rsid w:val="0D0F5858"/>
    <w:rsid w:val="0D336E17"/>
    <w:rsid w:val="0D6136C2"/>
    <w:rsid w:val="0DE42506"/>
    <w:rsid w:val="0E247538"/>
    <w:rsid w:val="0E3D6641"/>
    <w:rsid w:val="0E9D4E90"/>
    <w:rsid w:val="0F6239E3"/>
    <w:rsid w:val="0F636B16"/>
    <w:rsid w:val="0F922B76"/>
    <w:rsid w:val="1002237D"/>
    <w:rsid w:val="1032785A"/>
    <w:rsid w:val="104866B1"/>
    <w:rsid w:val="105E2DCF"/>
    <w:rsid w:val="106C2E87"/>
    <w:rsid w:val="11235435"/>
    <w:rsid w:val="11734152"/>
    <w:rsid w:val="11F218F0"/>
    <w:rsid w:val="11F71A07"/>
    <w:rsid w:val="127F3835"/>
    <w:rsid w:val="12F70852"/>
    <w:rsid w:val="13557CF8"/>
    <w:rsid w:val="13963299"/>
    <w:rsid w:val="13E15DC0"/>
    <w:rsid w:val="13ED41C3"/>
    <w:rsid w:val="149477FD"/>
    <w:rsid w:val="149641DD"/>
    <w:rsid w:val="14B70F56"/>
    <w:rsid w:val="14E77BEC"/>
    <w:rsid w:val="14F90946"/>
    <w:rsid w:val="151678B7"/>
    <w:rsid w:val="15D9444D"/>
    <w:rsid w:val="15FE47A4"/>
    <w:rsid w:val="160C02EF"/>
    <w:rsid w:val="16111B63"/>
    <w:rsid w:val="1649795E"/>
    <w:rsid w:val="165D038E"/>
    <w:rsid w:val="16B82FC0"/>
    <w:rsid w:val="16CC441A"/>
    <w:rsid w:val="16DA4BC8"/>
    <w:rsid w:val="16F165B0"/>
    <w:rsid w:val="171B3855"/>
    <w:rsid w:val="17C706AA"/>
    <w:rsid w:val="17EA02BE"/>
    <w:rsid w:val="184619A9"/>
    <w:rsid w:val="1853779D"/>
    <w:rsid w:val="188712AB"/>
    <w:rsid w:val="189746FE"/>
    <w:rsid w:val="18A77F4E"/>
    <w:rsid w:val="192040A6"/>
    <w:rsid w:val="196D7FAB"/>
    <w:rsid w:val="19890A5B"/>
    <w:rsid w:val="19BD691C"/>
    <w:rsid w:val="1A034C6B"/>
    <w:rsid w:val="1A2D17B4"/>
    <w:rsid w:val="1A4A57A0"/>
    <w:rsid w:val="1AAE21D3"/>
    <w:rsid w:val="1B520DB0"/>
    <w:rsid w:val="1B8825E9"/>
    <w:rsid w:val="1B8E527A"/>
    <w:rsid w:val="1B940E1F"/>
    <w:rsid w:val="1BE54015"/>
    <w:rsid w:val="1BF51661"/>
    <w:rsid w:val="1C8F393E"/>
    <w:rsid w:val="1C9A2A0F"/>
    <w:rsid w:val="1CD15168"/>
    <w:rsid w:val="1CE26164"/>
    <w:rsid w:val="1D4420FD"/>
    <w:rsid w:val="1D4961E3"/>
    <w:rsid w:val="1D856F60"/>
    <w:rsid w:val="1D8730A7"/>
    <w:rsid w:val="1DA66F34"/>
    <w:rsid w:val="1DF00054"/>
    <w:rsid w:val="1DFB07D0"/>
    <w:rsid w:val="1E535DA0"/>
    <w:rsid w:val="1E862FDD"/>
    <w:rsid w:val="1EBE483A"/>
    <w:rsid w:val="1EDD4E34"/>
    <w:rsid w:val="1F22412F"/>
    <w:rsid w:val="1F26030B"/>
    <w:rsid w:val="1F354C71"/>
    <w:rsid w:val="1F4C2EB2"/>
    <w:rsid w:val="1F92657B"/>
    <w:rsid w:val="1FBC1843"/>
    <w:rsid w:val="1FC561ED"/>
    <w:rsid w:val="20330D9A"/>
    <w:rsid w:val="20477A8D"/>
    <w:rsid w:val="206C57EC"/>
    <w:rsid w:val="2083084A"/>
    <w:rsid w:val="20AE2CED"/>
    <w:rsid w:val="20D364EF"/>
    <w:rsid w:val="20DD4DD3"/>
    <w:rsid w:val="216D5AE0"/>
    <w:rsid w:val="21796EAA"/>
    <w:rsid w:val="217E26F0"/>
    <w:rsid w:val="21C463C3"/>
    <w:rsid w:val="21C4677D"/>
    <w:rsid w:val="222961F5"/>
    <w:rsid w:val="22315588"/>
    <w:rsid w:val="22333B45"/>
    <w:rsid w:val="225C2514"/>
    <w:rsid w:val="22631C71"/>
    <w:rsid w:val="2284054C"/>
    <w:rsid w:val="22CF00D7"/>
    <w:rsid w:val="23152DEF"/>
    <w:rsid w:val="232D6837"/>
    <w:rsid w:val="23452FA8"/>
    <w:rsid w:val="238B0D1B"/>
    <w:rsid w:val="23CF6990"/>
    <w:rsid w:val="249B7324"/>
    <w:rsid w:val="24DD5B8E"/>
    <w:rsid w:val="24EA02AB"/>
    <w:rsid w:val="258759B6"/>
    <w:rsid w:val="266B71CA"/>
    <w:rsid w:val="26A30712"/>
    <w:rsid w:val="26A47630"/>
    <w:rsid w:val="26A61E1D"/>
    <w:rsid w:val="26EC030B"/>
    <w:rsid w:val="270A586B"/>
    <w:rsid w:val="270D558A"/>
    <w:rsid w:val="273075E9"/>
    <w:rsid w:val="277037C2"/>
    <w:rsid w:val="27DF1A02"/>
    <w:rsid w:val="28530929"/>
    <w:rsid w:val="288B4F79"/>
    <w:rsid w:val="28E413A9"/>
    <w:rsid w:val="292F5B7D"/>
    <w:rsid w:val="294A461D"/>
    <w:rsid w:val="297F22C9"/>
    <w:rsid w:val="29A021BD"/>
    <w:rsid w:val="2A9724EC"/>
    <w:rsid w:val="2AA913F5"/>
    <w:rsid w:val="2AAE63AE"/>
    <w:rsid w:val="2B310ADE"/>
    <w:rsid w:val="2B434183"/>
    <w:rsid w:val="2B6057C6"/>
    <w:rsid w:val="2B740262"/>
    <w:rsid w:val="2B8A2EBE"/>
    <w:rsid w:val="2BB44F08"/>
    <w:rsid w:val="2BEC2C2C"/>
    <w:rsid w:val="2C117FE5"/>
    <w:rsid w:val="2C3F2ED9"/>
    <w:rsid w:val="2C7741F1"/>
    <w:rsid w:val="2C883982"/>
    <w:rsid w:val="2C9E6165"/>
    <w:rsid w:val="2CA81051"/>
    <w:rsid w:val="2CB70CC1"/>
    <w:rsid w:val="2CC4441B"/>
    <w:rsid w:val="2D0619FA"/>
    <w:rsid w:val="2D2C7362"/>
    <w:rsid w:val="2D496D6C"/>
    <w:rsid w:val="2D7B7819"/>
    <w:rsid w:val="2D807458"/>
    <w:rsid w:val="2DFD2857"/>
    <w:rsid w:val="2E1C1D98"/>
    <w:rsid w:val="2E2E2E1B"/>
    <w:rsid w:val="2E372A60"/>
    <w:rsid w:val="2F1C0ECB"/>
    <w:rsid w:val="2F651D1E"/>
    <w:rsid w:val="2F665388"/>
    <w:rsid w:val="2F741EB5"/>
    <w:rsid w:val="2FC140F6"/>
    <w:rsid w:val="306C74DB"/>
    <w:rsid w:val="30742902"/>
    <w:rsid w:val="30A6701D"/>
    <w:rsid w:val="310A5754"/>
    <w:rsid w:val="31722FE0"/>
    <w:rsid w:val="317408F3"/>
    <w:rsid w:val="319760D3"/>
    <w:rsid w:val="31FF678F"/>
    <w:rsid w:val="323F3BB2"/>
    <w:rsid w:val="32883778"/>
    <w:rsid w:val="32C02906"/>
    <w:rsid w:val="32D674F8"/>
    <w:rsid w:val="33D76E16"/>
    <w:rsid w:val="33E365F1"/>
    <w:rsid w:val="342F1837"/>
    <w:rsid w:val="34556DF8"/>
    <w:rsid w:val="34692285"/>
    <w:rsid w:val="347D4C95"/>
    <w:rsid w:val="34A47D97"/>
    <w:rsid w:val="34BD2D0D"/>
    <w:rsid w:val="34FE78BD"/>
    <w:rsid w:val="35103DAB"/>
    <w:rsid w:val="35271A88"/>
    <w:rsid w:val="353026EC"/>
    <w:rsid w:val="35505F08"/>
    <w:rsid w:val="35A162BD"/>
    <w:rsid w:val="35A47AFA"/>
    <w:rsid w:val="35B244CD"/>
    <w:rsid w:val="35D15757"/>
    <w:rsid w:val="364315C9"/>
    <w:rsid w:val="36B82D51"/>
    <w:rsid w:val="36E7289C"/>
    <w:rsid w:val="3752327D"/>
    <w:rsid w:val="381D5C73"/>
    <w:rsid w:val="38491CD3"/>
    <w:rsid w:val="38882E57"/>
    <w:rsid w:val="38DA5C4F"/>
    <w:rsid w:val="38EB3BFB"/>
    <w:rsid w:val="39473D32"/>
    <w:rsid w:val="397B6D55"/>
    <w:rsid w:val="3A513352"/>
    <w:rsid w:val="3A8E52DD"/>
    <w:rsid w:val="3A9A568E"/>
    <w:rsid w:val="3AC66D23"/>
    <w:rsid w:val="3AC77189"/>
    <w:rsid w:val="3B1B7AF4"/>
    <w:rsid w:val="3B5A363D"/>
    <w:rsid w:val="3BEC3654"/>
    <w:rsid w:val="3C4C68F1"/>
    <w:rsid w:val="3C7249B6"/>
    <w:rsid w:val="3C7E15AD"/>
    <w:rsid w:val="3C85086F"/>
    <w:rsid w:val="3CA07317"/>
    <w:rsid w:val="3D456A74"/>
    <w:rsid w:val="3D5B5D95"/>
    <w:rsid w:val="3D626685"/>
    <w:rsid w:val="3D676141"/>
    <w:rsid w:val="3DC6320C"/>
    <w:rsid w:val="3DD15DCE"/>
    <w:rsid w:val="3E15268D"/>
    <w:rsid w:val="3E901781"/>
    <w:rsid w:val="3EE5517B"/>
    <w:rsid w:val="3EF20F51"/>
    <w:rsid w:val="3F5C4B2D"/>
    <w:rsid w:val="3F9435DE"/>
    <w:rsid w:val="3F9B0E28"/>
    <w:rsid w:val="3FCF636B"/>
    <w:rsid w:val="40200E2B"/>
    <w:rsid w:val="402A166E"/>
    <w:rsid w:val="410E3CDA"/>
    <w:rsid w:val="412F42AE"/>
    <w:rsid w:val="41B44926"/>
    <w:rsid w:val="41F41349"/>
    <w:rsid w:val="42254279"/>
    <w:rsid w:val="422B7AE1"/>
    <w:rsid w:val="4297091B"/>
    <w:rsid w:val="436B215F"/>
    <w:rsid w:val="43A044FF"/>
    <w:rsid w:val="43EF11CE"/>
    <w:rsid w:val="44466E54"/>
    <w:rsid w:val="448B4CB8"/>
    <w:rsid w:val="44BD4C3D"/>
    <w:rsid w:val="45283FCD"/>
    <w:rsid w:val="458E3310"/>
    <w:rsid w:val="45C113D8"/>
    <w:rsid w:val="45E45B8C"/>
    <w:rsid w:val="45E71165"/>
    <w:rsid w:val="460A487E"/>
    <w:rsid w:val="46115240"/>
    <w:rsid w:val="46414AF7"/>
    <w:rsid w:val="46454B69"/>
    <w:rsid w:val="46463FF3"/>
    <w:rsid w:val="46AA6572"/>
    <w:rsid w:val="46B92953"/>
    <w:rsid w:val="4736392F"/>
    <w:rsid w:val="4839249D"/>
    <w:rsid w:val="485A29D4"/>
    <w:rsid w:val="487A33DC"/>
    <w:rsid w:val="48BF4A4F"/>
    <w:rsid w:val="48D34A2F"/>
    <w:rsid w:val="490E45E5"/>
    <w:rsid w:val="49780ED2"/>
    <w:rsid w:val="49D942C7"/>
    <w:rsid w:val="4A0A4941"/>
    <w:rsid w:val="4A200D85"/>
    <w:rsid w:val="4AFE76D7"/>
    <w:rsid w:val="4B0143E1"/>
    <w:rsid w:val="4B7778F3"/>
    <w:rsid w:val="4B7F6664"/>
    <w:rsid w:val="4B9C1904"/>
    <w:rsid w:val="4BBE00C5"/>
    <w:rsid w:val="4BC64EA2"/>
    <w:rsid w:val="4C457C34"/>
    <w:rsid w:val="4C880BA8"/>
    <w:rsid w:val="4CC9204B"/>
    <w:rsid w:val="4D07114B"/>
    <w:rsid w:val="4D1625D7"/>
    <w:rsid w:val="4D853BB4"/>
    <w:rsid w:val="4DDA72DE"/>
    <w:rsid w:val="4DEA70E8"/>
    <w:rsid w:val="4E9573A5"/>
    <w:rsid w:val="4EB50A8B"/>
    <w:rsid w:val="4EDB463D"/>
    <w:rsid w:val="4F1410D9"/>
    <w:rsid w:val="4F162702"/>
    <w:rsid w:val="4F1E3BEB"/>
    <w:rsid w:val="50126ED7"/>
    <w:rsid w:val="50375CD3"/>
    <w:rsid w:val="505A734A"/>
    <w:rsid w:val="50F10148"/>
    <w:rsid w:val="5133250E"/>
    <w:rsid w:val="516E62A7"/>
    <w:rsid w:val="516F13BA"/>
    <w:rsid w:val="517563B4"/>
    <w:rsid w:val="51B14BEE"/>
    <w:rsid w:val="51D16631"/>
    <w:rsid w:val="51E9516C"/>
    <w:rsid w:val="52377DDC"/>
    <w:rsid w:val="52CA0C50"/>
    <w:rsid w:val="52E32859"/>
    <w:rsid w:val="52F42198"/>
    <w:rsid w:val="53123A34"/>
    <w:rsid w:val="532E55A9"/>
    <w:rsid w:val="5372025D"/>
    <w:rsid w:val="5378626D"/>
    <w:rsid w:val="53916831"/>
    <w:rsid w:val="53957F4A"/>
    <w:rsid w:val="55202A17"/>
    <w:rsid w:val="55214D74"/>
    <w:rsid w:val="55222306"/>
    <w:rsid w:val="55445E17"/>
    <w:rsid w:val="558477DD"/>
    <w:rsid w:val="55C451AB"/>
    <w:rsid w:val="55EF10B1"/>
    <w:rsid w:val="561F20DA"/>
    <w:rsid w:val="564C59CC"/>
    <w:rsid w:val="5661367A"/>
    <w:rsid w:val="568F468B"/>
    <w:rsid w:val="56917640"/>
    <w:rsid w:val="570C6BBF"/>
    <w:rsid w:val="570F122C"/>
    <w:rsid w:val="57101096"/>
    <w:rsid w:val="57777B7B"/>
    <w:rsid w:val="57A06E0E"/>
    <w:rsid w:val="57EC7962"/>
    <w:rsid w:val="580503C9"/>
    <w:rsid w:val="58C20BB3"/>
    <w:rsid w:val="590C6E73"/>
    <w:rsid w:val="59345076"/>
    <w:rsid w:val="59873E4B"/>
    <w:rsid w:val="598A535C"/>
    <w:rsid w:val="5A054C64"/>
    <w:rsid w:val="5A1B1B1B"/>
    <w:rsid w:val="5A201A9E"/>
    <w:rsid w:val="5A425BE3"/>
    <w:rsid w:val="5A922C3C"/>
    <w:rsid w:val="5A9F7590"/>
    <w:rsid w:val="5AC36B81"/>
    <w:rsid w:val="5AC65030"/>
    <w:rsid w:val="5ADD69DB"/>
    <w:rsid w:val="5AE82AB0"/>
    <w:rsid w:val="5AF16D4B"/>
    <w:rsid w:val="5B4F0D24"/>
    <w:rsid w:val="5B7C0F6F"/>
    <w:rsid w:val="5BF64775"/>
    <w:rsid w:val="5C2B76EA"/>
    <w:rsid w:val="5C4A49C2"/>
    <w:rsid w:val="5C910A31"/>
    <w:rsid w:val="5C9B3876"/>
    <w:rsid w:val="5CA50208"/>
    <w:rsid w:val="5D3612A4"/>
    <w:rsid w:val="5D562AEE"/>
    <w:rsid w:val="5DA531E1"/>
    <w:rsid w:val="5DE337A5"/>
    <w:rsid w:val="5DEF4F80"/>
    <w:rsid w:val="5E6463FD"/>
    <w:rsid w:val="5E881790"/>
    <w:rsid w:val="5EBF03F3"/>
    <w:rsid w:val="5ECD6940"/>
    <w:rsid w:val="5EDB41E5"/>
    <w:rsid w:val="5EF3152F"/>
    <w:rsid w:val="5F225B08"/>
    <w:rsid w:val="5F3A7547"/>
    <w:rsid w:val="5F6D66D4"/>
    <w:rsid w:val="5F7F691E"/>
    <w:rsid w:val="5FC6785B"/>
    <w:rsid w:val="60317250"/>
    <w:rsid w:val="603B649E"/>
    <w:rsid w:val="605E1725"/>
    <w:rsid w:val="607026CF"/>
    <w:rsid w:val="60911680"/>
    <w:rsid w:val="60951E52"/>
    <w:rsid w:val="61682ABC"/>
    <w:rsid w:val="61764D8F"/>
    <w:rsid w:val="618C673E"/>
    <w:rsid w:val="61B256D1"/>
    <w:rsid w:val="61B74A96"/>
    <w:rsid w:val="620F01DB"/>
    <w:rsid w:val="626C3AD2"/>
    <w:rsid w:val="6271541F"/>
    <w:rsid w:val="630230AF"/>
    <w:rsid w:val="6336025A"/>
    <w:rsid w:val="63520F1A"/>
    <w:rsid w:val="636F2B07"/>
    <w:rsid w:val="637F27F8"/>
    <w:rsid w:val="638369E2"/>
    <w:rsid w:val="641D51C2"/>
    <w:rsid w:val="64495B60"/>
    <w:rsid w:val="647638EE"/>
    <w:rsid w:val="647B6D57"/>
    <w:rsid w:val="64D313C9"/>
    <w:rsid w:val="657E01DC"/>
    <w:rsid w:val="65921AA2"/>
    <w:rsid w:val="65A74E21"/>
    <w:rsid w:val="65FA2417"/>
    <w:rsid w:val="65FC6E0D"/>
    <w:rsid w:val="6615622F"/>
    <w:rsid w:val="661F550A"/>
    <w:rsid w:val="66246C4D"/>
    <w:rsid w:val="66323ADF"/>
    <w:rsid w:val="66A049C0"/>
    <w:rsid w:val="66E43F31"/>
    <w:rsid w:val="673724D9"/>
    <w:rsid w:val="676238E4"/>
    <w:rsid w:val="67847C32"/>
    <w:rsid w:val="67C808A2"/>
    <w:rsid w:val="67CE51E5"/>
    <w:rsid w:val="67CE73A3"/>
    <w:rsid w:val="67DD2D7C"/>
    <w:rsid w:val="68A5389A"/>
    <w:rsid w:val="68C23E7D"/>
    <w:rsid w:val="68C77719"/>
    <w:rsid w:val="68E36B91"/>
    <w:rsid w:val="69352407"/>
    <w:rsid w:val="693E20CD"/>
    <w:rsid w:val="69812FAE"/>
    <w:rsid w:val="69933ADC"/>
    <w:rsid w:val="69C71740"/>
    <w:rsid w:val="69D34437"/>
    <w:rsid w:val="6A092274"/>
    <w:rsid w:val="6A387706"/>
    <w:rsid w:val="6A3D5D3E"/>
    <w:rsid w:val="6B4669AA"/>
    <w:rsid w:val="6B737754"/>
    <w:rsid w:val="6B782340"/>
    <w:rsid w:val="6BCC3AF8"/>
    <w:rsid w:val="6C4F7452"/>
    <w:rsid w:val="6C5F6456"/>
    <w:rsid w:val="6C906AA9"/>
    <w:rsid w:val="6CAA1122"/>
    <w:rsid w:val="6CEF2846"/>
    <w:rsid w:val="6CFA4DBB"/>
    <w:rsid w:val="6D1E1E6D"/>
    <w:rsid w:val="6D333A0C"/>
    <w:rsid w:val="6D5E2D67"/>
    <w:rsid w:val="6D804A44"/>
    <w:rsid w:val="6D8A7502"/>
    <w:rsid w:val="6D8F3983"/>
    <w:rsid w:val="6DD62748"/>
    <w:rsid w:val="6DF90F1A"/>
    <w:rsid w:val="6E121E06"/>
    <w:rsid w:val="6E4E0530"/>
    <w:rsid w:val="6F0840DC"/>
    <w:rsid w:val="70A8071D"/>
    <w:rsid w:val="70AF4324"/>
    <w:rsid w:val="70B0066F"/>
    <w:rsid w:val="71164676"/>
    <w:rsid w:val="712B5FE2"/>
    <w:rsid w:val="71374F67"/>
    <w:rsid w:val="714E7FB6"/>
    <w:rsid w:val="71EE391E"/>
    <w:rsid w:val="725A5829"/>
    <w:rsid w:val="729B3E79"/>
    <w:rsid w:val="72CB5587"/>
    <w:rsid w:val="72D0654B"/>
    <w:rsid w:val="731F0608"/>
    <w:rsid w:val="73A6496A"/>
    <w:rsid w:val="743C2FED"/>
    <w:rsid w:val="748910CC"/>
    <w:rsid w:val="74BE7A92"/>
    <w:rsid w:val="74DC20AD"/>
    <w:rsid w:val="74ED196A"/>
    <w:rsid w:val="74EE3C45"/>
    <w:rsid w:val="7509173A"/>
    <w:rsid w:val="75204AA5"/>
    <w:rsid w:val="758142C0"/>
    <w:rsid w:val="75981A6A"/>
    <w:rsid w:val="75CC5963"/>
    <w:rsid w:val="761F67D0"/>
    <w:rsid w:val="76327073"/>
    <w:rsid w:val="764D7D34"/>
    <w:rsid w:val="76B90938"/>
    <w:rsid w:val="76BF021D"/>
    <w:rsid w:val="7764221E"/>
    <w:rsid w:val="779C203D"/>
    <w:rsid w:val="77B57C2A"/>
    <w:rsid w:val="77BA155E"/>
    <w:rsid w:val="7801342B"/>
    <w:rsid w:val="783B7550"/>
    <w:rsid w:val="785221EC"/>
    <w:rsid w:val="78B4702B"/>
    <w:rsid w:val="78F362FD"/>
    <w:rsid w:val="79044748"/>
    <w:rsid w:val="790560D9"/>
    <w:rsid w:val="7914436A"/>
    <w:rsid w:val="79342492"/>
    <w:rsid w:val="79775CD1"/>
    <w:rsid w:val="7A6C26D0"/>
    <w:rsid w:val="7A88487E"/>
    <w:rsid w:val="7AAF0CA6"/>
    <w:rsid w:val="7AE17B14"/>
    <w:rsid w:val="7B4050A9"/>
    <w:rsid w:val="7B4429E5"/>
    <w:rsid w:val="7B59136F"/>
    <w:rsid w:val="7B8D1755"/>
    <w:rsid w:val="7BA479E1"/>
    <w:rsid w:val="7BDF6911"/>
    <w:rsid w:val="7C4116D4"/>
    <w:rsid w:val="7C903CAD"/>
    <w:rsid w:val="7CAF05C3"/>
    <w:rsid w:val="7CD6779E"/>
    <w:rsid w:val="7CFB7625"/>
    <w:rsid w:val="7D3F76AE"/>
    <w:rsid w:val="7D47188E"/>
    <w:rsid w:val="7D906DC3"/>
    <w:rsid w:val="7D9A0304"/>
    <w:rsid w:val="7DB61736"/>
    <w:rsid w:val="7DC27A61"/>
    <w:rsid w:val="7DDC49B8"/>
    <w:rsid w:val="7E3B7932"/>
    <w:rsid w:val="7E585322"/>
    <w:rsid w:val="7E5A13E5"/>
    <w:rsid w:val="7E612A31"/>
    <w:rsid w:val="7EA247DF"/>
    <w:rsid w:val="7EFC7B34"/>
    <w:rsid w:val="7F205639"/>
    <w:rsid w:val="7F59780C"/>
    <w:rsid w:val="7FB31DE2"/>
    <w:rsid w:val="7FDC4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2"/>
    <w:autoRedefine/>
    <w:qFormat/>
    <w:uiPriority w:val="99"/>
    <w:pPr>
      <w:keepNext/>
      <w:keepLines/>
      <w:spacing w:before="340" w:after="340" w:line="578" w:lineRule="auto"/>
      <w:outlineLvl w:val="0"/>
    </w:pPr>
    <w:rPr>
      <w:rFonts w:ascii="Times New Roman" w:hAnsi="Times New Roman"/>
      <w:b/>
      <w:bCs/>
      <w:kern w:val="44"/>
      <w:sz w:val="44"/>
      <w:szCs w:val="44"/>
    </w:rPr>
  </w:style>
  <w:style w:type="paragraph" w:styleId="5">
    <w:name w:val="heading 2"/>
    <w:basedOn w:val="1"/>
    <w:next w:val="1"/>
    <w:link w:val="45"/>
    <w:autoRedefine/>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6">
    <w:name w:val="heading 3"/>
    <w:basedOn w:val="1"/>
    <w:next w:val="1"/>
    <w:link w:val="57"/>
    <w:autoRedefine/>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86"/>
    <w:autoRedefine/>
    <w:qFormat/>
    <w:uiPriority w:val="0"/>
    <w:rPr>
      <w:szCs w:val="24"/>
    </w:rPr>
  </w:style>
  <w:style w:type="paragraph" w:styleId="3">
    <w:name w:val="Normal Indent"/>
    <w:basedOn w:val="1"/>
    <w:next w:val="1"/>
    <w:link w:val="49"/>
    <w:autoRedefine/>
    <w:qFormat/>
    <w:uiPriority w:val="99"/>
    <w:pPr>
      <w:spacing w:beforeLines="50" w:afterLines="50"/>
      <w:jc w:val="center"/>
    </w:pPr>
    <w:rPr>
      <w:rFonts w:ascii="Arial" w:hAnsi="Arial" w:eastAsia="宋体" w:cs="Times New Roman"/>
      <w:spacing w:val="10"/>
      <w:szCs w:val="20"/>
    </w:rPr>
  </w:style>
  <w:style w:type="paragraph" w:styleId="7">
    <w:name w:val="toc 7"/>
    <w:basedOn w:val="1"/>
    <w:next w:val="1"/>
    <w:autoRedefine/>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8">
    <w:name w:val="Document Map"/>
    <w:basedOn w:val="1"/>
    <w:link w:val="43"/>
    <w:autoRedefine/>
    <w:unhideWhenUsed/>
    <w:qFormat/>
    <w:uiPriority w:val="99"/>
    <w:rPr>
      <w:rFonts w:ascii="宋体" w:eastAsia="宋体"/>
      <w:sz w:val="18"/>
      <w:szCs w:val="18"/>
    </w:rPr>
  </w:style>
  <w:style w:type="paragraph" w:styleId="9">
    <w:name w:val="annotation text"/>
    <w:basedOn w:val="1"/>
    <w:link w:val="61"/>
    <w:autoRedefine/>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10">
    <w:name w:val="Body Text Indent"/>
    <w:basedOn w:val="1"/>
    <w:link w:val="73"/>
    <w:autoRedefine/>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1">
    <w:name w:val="toc 5"/>
    <w:basedOn w:val="1"/>
    <w:next w:val="1"/>
    <w:autoRedefine/>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2">
    <w:name w:val="toc 3"/>
    <w:basedOn w:val="1"/>
    <w:next w:val="1"/>
    <w:autoRedefine/>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3">
    <w:name w:val="Plain Text"/>
    <w:basedOn w:val="1"/>
    <w:next w:val="14"/>
    <w:link w:val="88"/>
    <w:autoRedefine/>
    <w:qFormat/>
    <w:uiPriority w:val="99"/>
    <w:pPr>
      <w:widowControl/>
      <w:spacing w:beforeAutospacing="1" w:afterAutospacing="1"/>
      <w:jc w:val="left"/>
    </w:pPr>
    <w:rPr>
      <w:rFonts w:ascii="ˎ̥" w:hAnsi="ˎ̥"/>
      <w:sz w:val="18"/>
      <w:szCs w:val="18"/>
    </w:rPr>
  </w:style>
  <w:style w:type="paragraph" w:styleId="14">
    <w:name w:val="toc 1"/>
    <w:basedOn w:val="1"/>
    <w:next w:val="1"/>
    <w:autoRedefine/>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15">
    <w:name w:val="toc 8"/>
    <w:basedOn w:val="1"/>
    <w:next w:val="1"/>
    <w:autoRedefine/>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6">
    <w:name w:val="Date"/>
    <w:basedOn w:val="1"/>
    <w:next w:val="1"/>
    <w:link w:val="62"/>
    <w:autoRedefine/>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7">
    <w:name w:val="Body Text Indent 2"/>
    <w:basedOn w:val="1"/>
    <w:link w:val="98"/>
    <w:autoRedefine/>
    <w:unhideWhenUsed/>
    <w:qFormat/>
    <w:uiPriority w:val="99"/>
    <w:pPr>
      <w:spacing w:after="120" w:line="480" w:lineRule="auto"/>
      <w:ind w:left="420" w:leftChars="200"/>
    </w:pPr>
  </w:style>
  <w:style w:type="paragraph" w:styleId="18">
    <w:name w:val="Balloon Text"/>
    <w:basedOn w:val="1"/>
    <w:link w:val="48"/>
    <w:autoRedefine/>
    <w:unhideWhenUsed/>
    <w:qFormat/>
    <w:uiPriority w:val="99"/>
    <w:rPr>
      <w:sz w:val="18"/>
      <w:szCs w:val="18"/>
    </w:rPr>
  </w:style>
  <w:style w:type="paragraph" w:styleId="19">
    <w:name w:val="footer"/>
    <w:basedOn w:val="1"/>
    <w:link w:val="41"/>
    <w:autoRedefine/>
    <w:unhideWhenUsed/>
    <w:qFormat/>
    <w:uiPriority w:val="99"/>
    <w:pPr>
      <w:tabs>
        <w:tab w:val="center" w:pos="4153"/>
        <w:tab w:val="right" w:pos="8306"/>
      </w:tabs>
      <w:snapToGrid w:val="0"/>
      <w:jc w:val="left"/>
    </w:pPr>
    <w:rPr>
      <w:sz w:val="18"/>
      <w:szCs w:val="18"/>
    </w:rPr>
  </w:style>
  <w:style w:type="paragraph" w:styleId="20">
    <w:name w:val="header"/>
    <w:basedOn w:val="1"/>
    <w:link w:val="4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4"/>
    <w:basedOn w:val="1"/>
    <w:next w:val="1"/>
    <w:autoRedefine/>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2">
    <w:name w:val="Subtitle"/>
    <w:basedOn w:val="1"/>
    <w:next w:val="1"/>
    <w:link w:val="63"/>
    <w:autoRedefine/>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3">
    <w:name w:val="List"/>
    <w:basedOn w:val="1"/>
    <w:autoRedefine/>
    <w:unhideWhenUsed/>
    <w:qFormat/>
    <w:uiPriority w:val="0"/>
    <w:pPr>
      <w:ind w:left="200" w:hanging="200" w:hangingChars="200"/>
      <w:contextualSpacing/>
    </w:pPr>
  </w:style>
  <w:style w:type="paragraph" w:styleId="24">
    <w:name w:val="toc 6"/>
    <w:basedOn w:val="1"/>
    <w:next w:val="1"/>
    <w:autoRedefine/>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5">
    <w:name w:val="toc 2"/>
    <w:basedOn w:val="1"/>
    <w:next w:val="1"/>
    <w:autoRedefine/>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6">
    <w:name w:val="toc 9"/>
    <w:basedOn w:val="1"/>
    <w:next w:val="1"/>
    <w:autoRedefine/>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7">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8">
    <w:name w:val="Title"/>
    <w:basedOn w:val="1"/>
    <w:next w:val="1"/>
    <w:link w:val="58"/>
    <w:autoRedefine/>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29">
    <w:name w:val="annotation subject"/>
    <w:basedOn w:val="9"/>
    <w:next w:val="9"/>
    <w:link w:val="72"/>
    <w:autoRedefine/>
    <w:qFormat/>
    <w:uiPriority w:val="99"/>
    <w:pPr>
      <w:spacing w:beforeLines="0" w:afterLines="0" w:line="240" w:lineRule="auto"/>
      <w:ind w:firstLine="0" w:firstLineChars="0"/>
    </w:pPr>
    <w:rPr>
      <w:rFonts w:ascii="Calibri" w:hAnsi="Calibri"/>
      <w:b/>
      <w:bCs/>
      <w:sz w:val="21"/>
      <w:szCs w:val="22"/>
    </w:rPr>
  </w:style>
  <w:style w:type="paragraph" w:styleId="30">
    <w:name w:val="Body Text First Indent 2"/>
    <w:basedOn w:val="10"/>
    <w:next w:val="1"/>
    <w:autoRedefine/>
    <w:qFormat/>
    <w:uiPriority w:val="0"/>
    <w:pPr>
      <w:spacing w:after="120"/>
      <w:ind w:left="420" w:leftChars="200" w:firstLine="420"/>
    </w:p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uiPriority w:val="22"/>
    <w:rPr>
      <w:rFonts w:cs="Times New Roman"/>
      <w:b/>
      <w:bCs/>
    </w:rPr>
  </w:style>
  <w:style w:type="character" w:styleId="35">
    <w:name w:val="page number"/>
    <w:basedOn w:val="33"/>
    <w:autoRedefine/>
    <w:qFormat/>
    <w:uiPriority w:val="99"/>
    <w:rPr>
      <w:rFonts w:cs="Times New Roman"/>
    </w:rPr>
  </w:style>
  <w:style w:type="character" w:styleId="36">
    <w:name w:val="Emphasis"/>
    <w:autoRedefine/>
    <w:qFormat/>
    <w:uiPriority w:val="20"/>
    <w:rPr>
      <w:color w:val="CC0000"/>
    </w:rPr>
  </w:style>
  <w:style w:type="character" w:styleId="37">
    <w:name w:val="Hyperlink"/>
    <w:basedOn w:val="33"/>
    <w:autoRedefine/>
    <w:unhideWhenUsed/>
    <w:qFormat/>
    <w:uiPriority w:val="99"/>
    <w:rPr>
      <w:color w:val="0000FF"/>
      <w:u w:val="single"/>
    </w:rPr>
  </w:style>
  <w:style w:type="character" w:styleId="38">
    <w:name w:val="annotation reference"/>
    <w:autoRedefine/>
    <w:qFormat/>
    <w:uiPriority w:val="99"/>
    <w:rPr>
      <w:sz w:val="21"/>
      <w:szCs w:val="21"/>
    </w:rPr>
  </w:style>
  <w:style w:type="paragraph" w:customStyle="1" w:styleId="39">
    <w:name w:val="正文首行缩进2个字 Char"/>
    <w:basedOn w:val="1"/>
    <w:autoRedefine/>
    <w:qFormat/>
    <w:uiPriority w:val="0"/>
    <w:pPr>
      <w:ind w:firstLine="480" w:firstLineChars="200"/>
    </w:pPr>
    <w:rPr>
      <w:rFonts w:eastAsia="楷体"/>
      <w:sz w:val="24"/>
      <w:szCs w:val="24"/>
    </w:rPr>
  </w:style>
  <w:style w:type="character" w:customStyle="1" w:styleId="40">
    <w:name w:val="页眉 字符"/>
    <w:basedOn w:val="33"/>
    <w:link w:val="20"/>
    <w:autoRedefine/>
    <w:qFormat/>
    <w:uiPriority w:val="99"/>
    <w:rPr>
      <w:sz w:val="18"/>
      <w:szCs w:val="18"/>
    </w:rPr>
  </w:style>
  <w:style w:type="character" w:customStyle="1" w:styleId="41">
    <w:name w:val="页脚 字符"/>
    <w:basedOn w:val="33"/>
    <w:link w:val="19"/>
    <w:autoRedefine/>
    <w:qFormat/>
    <w:uiPriority w:val="99"/>
    <w:rPr>
      <w:sz w:val="18"/>
      <w:szCs w:val="18"/>
    </w:rPr>
  </w:style>
  <w:style w:type="character" w:customStyle="1" w:styleId="42">
    <w:name w:val="标题 1 字符"/>
    <w:basedOn w:val="33"/>
    <w:link w:val="4"/>
    <w:autoRedefine/>
    <w:qFormat/>
    <w:uiPriority w:val="99"/>
    <w:rPr>
      <w:rFonts w:ascii="Times New Roman" w:hAnsi="Times New Roman"/>
      <w:b/>
      <w:bCs/>
      <w:kern w:val="44"/>
      <w:sz w:val="44"/>
      <w:szCs w:val="44"/>
    </w:rPr>
  </w:style>
  <w:style w:type="character" w:customStyle="1" w:styleId="43">
    <w:name w:val="文档结构图 字符"/>
    <w:basedOn w:val="33"/>
    <w:link w:val="8"/>
    <w:autoRedefine/>
    <w:qFormat/>
    <w:uiPriority w:val="99"/>
    <w:rPr>
      <w:rFonts w:ascii="宋体" w:eastAsia="宋体"/>
      <w:sz w:val="18"/>
      <w:szCs w:val="18"/>
    </w:rPr>
  </w:style>
  <w:style w:type="paragraph" w:customStyle="1" w:styleId="44">
    <w:name w:val="列表段落1"/>
    <w:basedOn w:val="1"/>
    <w:autoRedefine/>
    <w:qFormat/>
    <w:uiPriority w:val="34"/>
    <w:pPr>
      <w:ind w:firstLine="420" w:firstLineChars="200"/>
    </w:pPr>
  </w:style>
  <w:style w:type="character" w:customStyle="1" w:styleId="45">
    <w:name w:val="标题 2 字符"/>
    <w:basedOn w:val="33"/>
    <w:link w:val="5"/>
    <w:autoRedefine/>
    <w:qFormat/>
    <w:uiPriority w:val="99"/>
    <w:rPr>
      <w:rFonts w:ascii="Times New Roman" w:hAnsi="Times New Roman" w:eastAsiaTheme="majorEastAsia" w:cstheme="majorBidi"/>
      <w:b/>
      <w:bCs/>
      <w:sz w:val="32"/>
      <w:szCs w:val="32"/>
    </w:rPr>
  </w:style>
  <w:style w:type="character" w:customStyle="1" w:styleId="46">
    <w:name w:val="图片 Char"/>
    <w:basedOn w:val="33"/>
    <w:link w:val="47"/>
    <w:autoRedefine/>
    <w:qFormat/>
    <w:uiPriority w:val="0"/>
    <w:rPr>
      <w:sz w:val="24"/>
      <w:szCs w:val="24"/>
    </w:rPr>
  </w:style>
  <w:style w:type="paragraph" w:customStyle="1" w:styleId="47">
    <w:name w:val="图片"/>
    <w:basedOn w:val="1"/>
    <w:link w:val="46"/>
    <w:autoRedefine/>
    <w:qFormat/>
    <w:uiPriority w:val="0"/>
    <w:pPr>
      <w:spacing w:beforeLines="50" w:afterLines="50"/>
      <w:ind w:firstLine="480" w:firstLineChars="200"/>
      <w:jc w:val="left"/>
    </w:pPr>
    <w:rPr>
      <w:sz w:val="24"/>
      <w:szCs w:val="24"/>
    </w:rPr>
  </w:style>
  <w:style w:type="character" w:customStyle="1" w:styleId="48">
    <w:name w:val="批注框文本 字符"/>
    <w:basedOn w:val="33"/>
    <w:link w:val="18"/>
    <w:autoRedefine/>
    <w:qFormat/>
    <w:uiPriority w:val="99"/>
    <w:rPr>
      <w:sz w:val="18"/>
      <w:szCs w:val="18"/>
    </w:rPr>
  </w:style>
  <w:style w:type="character" w:customStyle="1" w:styleId="49">
    <w:name w:val="正文缩进 字符"/>
    <w:link w:val="3"/>
    <w:autoRedefine/>
    <w:qFormat/>
    <w:uiPriority w:val="99"/>
    <w:rPr>
      <w:rFonts w:ascii="Arial" w:hAnsi="Arial" w:eastAsia="宋体" w:cs="Times New Roman"/>
      <w:spacing w:val="10"/>
      <w:szCs w:val="20"/>
    </w:rPr>
  </w:style>
  <w:style w:type="paragraph" w:customStyle="1" w:styleId="50">
    <w:name w:val="表格标题"/>
    <w:basedOn w:val="1"/>
    <w:link w:val="51"/>
    <w:autoRedefine/>
    <w:qFormat/>
    <w:uiPriority w:val="99"/>
    <w:pPr>
      <w:jc w:val="center"/>
    </w:pPr>
    <w:rPr>
      <w:rFonts w:ascii="Times New Roman" w:hAnsi="Times New Roman" w:eastAsia="仿宋_GB2312" w:cs="Times New Roman"/>
      <w:sz w:val="24"/>
      <w:szCs w:val="20"/>
    </w:rPr>
  </w:style>
  <w:style w:type="character" w:customStyle="1" w:styleId="51">
    <w:name w:val="表格标题 Char Char"/>
    <w:link w:val="50"/>
    <w:autoRedefine/>
    <w:qFormat/>
    <w:uiPriority w:val="0"/>
    <w:rPr>
      <w:rFonts w:ascii="Times New Roman" w:hAnsi="Times New Roman" w:eastAsia="仿宋_GB2312" w:cs="Times New Roman"/>
      <w:sz w:val="24"/>
      <w:szCs w:val="20"/>
    </w:rPr>
  </w:style>
  <w:style w:type="character" w:customStyle="1" w:styleId="52">
    <w:name w:val="文本 Char"/>
    <w:link w:val="53"/>
    <w:autoRedefine/>
    <w:qFormat/>
    <w:uiPriority w:val="0"/>
    <w:rPr>
      <w:sz w:val="24"/>
    </w:rPr>
  </w:style>
  <w:style w:type="paragraph" w:customStyle="1" w:styleId="53">
    <w:name w:val="文本"/>
    <w:basedOn w:val="1"/>
    <w:link w:val="52"/>
    <w:autoRedefine/>
    <w:qFormat/>
    <w:uiPriority w:val="0"/>
    <w:pPr>
      <w:spacing w:line="360" w:lineRule="auto"/>
      <w:ind w:firstLine="480" w:firstLineChars="200"/>
      <w:jc w:val="left"/>
    </w:pPr>
    <w:rPr>
      <w:sz w:val="24"/>
    </w:rPr>
  </w:style>
  <w:style w:type="paragraph" w:customStyle="1" w:styleId="54">
    <w:name w:val="表格正文"/>
    <w:basedOn w:val="1"/>
    <w:link w:val="55"/>
    <w:autoRedefine/>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5">
    <w:name w:val="表格正文 Char"/>
    <w:link w:val="54"/>
    <w:autoRedefine/>
    <w:qFormat/>
    <w:uiPriority w:val="99"/>
    <w:rPr>
      <w:rFonts w:ascii="Times New Roman" w:hAnsi="Times New Roman" w:eastAsia="宋体" w:cs="Times New Roman"/>
      <w:sz w:val="24"/>
      <w:szCs w:val="24"/>
    </w:rPr>
  </w:style>
  <w:style w:type="paragraph" w:customStyle="1" w:styleId="56">
    <w:name w:val="表格样式1"/>
    <w:basedOn w:val="1"/>
    <w:autoRedefine/>
    <w:qFormat/>
    <w:uiPriority w:val="99"/>
    <w:pPr>
      <w:spacing w:line="360" w:lineRule="exact"/>
      <w:jc w:val="center"/>
    </w:pPr>
    <w:rPr>
      <w:rFonts w:ascii="Times New Roman" w:hAnsi="Times New Roman" w:eastAsia="仿宋_GB2312" w:cs="Times New Roman"/>
      <w:color w:val="000080"/>
      <w:szCs w:val="21"/>
    </w:rPr>
  </w:style>
  <w:style w:type="character" w:customStyle="1" w:styleId="57">
    <w:name w:val="标题 3 字符"/>
    <w:basedOn w:val="33"/>
    <w:link w:val="6"/>
    <w:autoRedefine/>
    <w:qFormat/>
    <w:uiPriority w:val="0"/>
    <w:rPr>
      <w:rFonts w:ascii="Times New Roman" w:hAnsi="Times New Roman"/>
      <w:b/>
      <w:bCs/>
      <w:sz w:val="28"/>
      <w:szCs w:val="32"/>
    </w:rPr>
  </w:style>
  <w:style w:type="character" w:customStyle="1" w:styleId="58">
    <w:name w:val="标题 字符"/>
    <w:basedOn w:val="33"/>
    <w:link w:val="28"/>
    <w:autoRedefine/>
    <w:qFormat/>
    <w:uiPriority w:val="99"/>
    <w:rPr>
      <w:rFonts w:ascii="Cambria" w:hAnsi="Cambria" w:eastAsia="宋体" w:cs="Times New Roman"/>
      <w:b/>
      <w:bCs/>
      <w:sz w:val="32"/>
      <w:szCs w:val="32"/>
    </w:rPr>
  </w:style>
  <w:style w:type="paragraph" w:customStyle="1" w:styleId="59">
    <w:name w:val="表格式"/>
    <w:basedOn w:val="23"/>
    <w:autoRedefine/>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0">
    <w:name w:val="注释"/>
    <w:basedOn w:val="1"/>
    <w:autoRedefine/>
    <w:qFormat/>
    <w:uiPriority w:val="0"/>
    <w:pPr>
      <w:spacing w:line="360" w:lineRule="exact"/>
      <w:ind w:firstLine="944" w:firstLineChars="200"/>
    </w:pPr>
    <w:rPr>
      <w:rFonts w:ascii="Times New Roman" w:hAnsi="Times New Roman" w:eastAsia="宋体" w:cs="Times New Roman"/>
      <w:szCs w:val="20"/>
    </w:rPr>
  </w:style>
  <w:style w:type="character" w:customStyle="1" w:styleId="61">
    <w:name w:val="批注文字 字符"/>
    <w:basedOn w:val="33"/>
    <w:link w:val="9"/>
    <w:autoRedefine/>
    <w:qFormat/>
    <w:uiPriority w:val="99"/>
    <w:rPr>
      <w:rFonts w:ascii="Times New Roman" w:hAnsi="Times New Roman" w:eastAsia="宋体" w:cs="Times New Roman"/>
      <w:sz w:val="24"/>
      <w:szCs w:val="24"/>
    </w:rPr>
  </w:style>
  <w:style w:type="character" w:customStyle="1" w:styleId="62">
    <w:name w:val="日期 字符"/>
    <w:basedOn w:val="33"/>
    <w:link w:val="16"/>
    <w:autoRedefine/>
    <w:qFormat/>
    <w:uiPriority w:val="0"/>
    <w:rPr>
      <w:rFonts w:ascii="Times New Roman" w:hAnsi="Times New Roman" w:eastAsia="宋体" w:cs="Times New Roman"/>
      <w:sz w:val="24"/>
      <w:szCs w:val="24"/>
    </w:rPr>
  </w:style>
  <w:style w:type="character" w:customStyle="1" w:styleId="63">
    <w:name w:val="副标题 字符"/>
    <w:basedOn w:val="33"/>
    <w:link w:val="22"/>
    <w:autoRedefine/>
    <w:qFormat/>
    <w:uiPriority w:val="0"/>
    <w:rPr>
      <w:rFonts w:ascii="Cambria" w:hAnsi="Cambria" w:eastAsia="宋体" w:cs="Times New Roman"/>
      <w:b/>
      <w:bCs/>
      <w:kern w:val="28"/>
      <w:sz w:val="28"/>
      <w:szCs w:val="32"/>
    </w:rPr>
  </w:style>
  <w:style w:type="character" w:customStyle="1" w:styleId="64">
    <w:name w:val="表格内容 Char Char"/>
    <w:basedOn w:val="33"/>
    <w:link w:val="65"/>
    <w:autoRedefine/>
    <w:qFormat/>
    <w:uiPriority w:val="0"/>
    <w:rPr>
      <w:rFonts w:ascii="宋体"/>
      <w:szCs w:val="24"/>
    </w:rPr>
  </w:style>
  <w:style w:type="paragraph" w:customStyle="1" w:styleId="65">
    <w:name w:val="表格内容"/>
    <w:basedOn w:val="1"/>
    <w:link w:val="64"/>
    <w:autoRedefine/>
    <w:qFormat/>
    <w:uiPriority w:val="0"/>
    <w:pPr>
      <w:spacing w:beforeLines="50" w:afterLines="50" w:line="360" w:lineRule="auto"/>
      <w:ind w:firstLine="200" w:firstLineChars="200"/>
      <w:jc w:val="center"/>
    </w:pPr>
    <w:rPr>
      <w:rFonts w:ascii="宋体"/>
      <w:szCs w:val="24"/>
    </w:rPr>
  </w:style>
  <w:style w:type="character" w:customStyle="1" w:styleId="66">
    <w:name w:val="正文缩进 Char2"/>
    <w:autoRedefine/>
    <w:qFormat/>
    <w:uiPriority w:val="0"/>
    <w:rPr>
      <w:rFonts w:ascii="Arial" w:hAnsi="Arial" w:cs="Arial"/>
      <w:spacing w:val="10"/>
      <w:kern w:val="2"/>
      <w:sz w:val="24"/>
    </w:rPr>
  </w:style>
  <w:style w:type="paragraph" w:customStyle="1" w:styleId="67">
    <w:name w:val="Char4"/>
    <w:basedOn w:val="1"/>
    <w:autoRedefine/>
    <w:qFormat/>
    <w:uiPriority w:val="0"/>
    <w:rPr>
      <w:rFonts w:ascii="Times New Roman" w:hAnsi="Times New Roman" w:eastAsia="宋体" w:cs="Times New Roman"/>
      <w:szCs w:val="20"/>
    </w:rPr>
  </w:style>
  <w:style w:type="paragraph" w:customStyle="1" w:styleId="68">
    <w:name w:val="Char Char Char Char"/>
    <w:basedOn w:val="1"/>
    <w:autoRedefine/>
    <w:qFormat/>
    <w:uiPriority w:val="99"/>
    <w:pPr>
      <w:spacing w:line="360" w:lineRule="auto"/>
      <w:ind w:firstLine="200" w:firstLineChars="200"/>
    </w:pPr>
    <w:rPr>
      <w:rFonts w:ascii="宋体" w:hAnsi="宋体" w:eastAsia="宋体" w:cs="宋体"/>
      <w:sz w:val="24"/>
      <w:szCs w:val="24"/>
    </w:rPr>
  </w:style>
  <w:style w:type="paragraph" w:customStyle="1" w:styleId="69">
    <w:name w:val="TOC 标题1"/>
    <w:basedOn w:val="4"/>
    <w:next w:val="1"/>
    <w:autoRedefine/>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0">
    <w:name w:val="正文01"/>
    <w:basedOn w:val="1"/>
    <w:link w:val="71"/>
    <w:autoRedefine/>
    <w:qFormat/>
    <w:uiPriority w:val="0"/>
    <w:pPr>
      <w:spacing w:line="480" w:lineRule="exact"/>
      <w:ind w:firstLine="539"/>
    </w:pPr>
    <w:rPr>
      <w:rFonts w:ascii="Times New Roman" w:hAnsi="Times New Roman" w:eastAsia="宋体" w:cs="Times New Roman"/>
      <w:sz w:val="27"/>
      <w:szCs w:val="27"/>
    </w:rPr>
  </w:style>
  <w:style w:type="character" w:customStyle="1" w:styleId="71">
    <w:name w:val="正文01 Char"/>
    <w:link w:val="70"/>
    <w:autoRedefine/>
    <w:qFormat/>
    <w:uiPriority w:val="0"/>
    <w:rPr>
      <w:rFonts w:ascii="Times New Roman" w:hAnsi="Times New Roman" w:eastAsia="宋体" w:cs="Times New Roman"/>
      <w:sz w:val="27"/>
      <w:szCs w:val="27"/>
    </w:rPr>
  </w:style>
  <w:style w:type="character" w:customStyle="1" w:styleId="72">
    <w:name w:val="批注主题 字符"/>
    <w:basedOn w:val="61"/>
    <w:link w:val="29"/>
    <w:autoRedefine/>
    <w:qFormat/>
    <w:uiPriority w:val="99"/>
    <w:rPr>
      <w:rFonts w:ascii="Calibri" w:hAnsi="Calibri" w:eastAsia="宋体" w:cs="Times New Roman"/>
      <w:b/>
      <w:bCs/>
      <w:sz w:val="24"/>
      <w:szCs w:val="24"/>
    </w:rPr>
  </w:style>
  <w:style w:type="character" w:customStyle="1" w:styleId="73">
    <w:name w:val="正文文本缩进 字符"/>
    <w:basedOn w:val="33"/>
    <w:link w:val="10"/>
    <w:autoRedefine/>
    <w:qFormat/>
    <w:uiPriority w:val="99"/>
    <w:rPr>
      <w:rFonts w:ascii="Times New Roman" w:hAnsi="Times New Roman" w:eastAsia="宋体" w:cs="Times New Roman"/>
      <w:sz w:val="28"/>
      <w:szCs w:val="24"/>
    </w:rPr>
  </w:style>
  <w:style w:type="paragraph" w:customStyle="1" w:styleId="74">
    <w:name w:val="p0"/>
    <w:basedOn w:val="1"/>
    <w:autoRedefine/>
    <w:qFormat/>
    <w:uiPriority w:val="0"/>
    <w:pPr>
      <w:widowControl/>
    </w:pPr>
    <w:rPr>
      <w:rFonts w:ascii="Times New Roman" w:hAnsi="Times New Roman" w:eastAsia="宋体" w:cs="Times New Roman"/>
      <w:kern w:val="0"/>
      <w:szCs w:val="21"/>
    </w:rPr>
  </w:style>
  <w:style w:type="paragraph" w:customStyle="1" w:styleId="75">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6">
    <w:name w:val="表格文字"/>
    <w:basedOn w:val="1"/>
    <w:autoRedefine/>
    <w:qFormat/>
    <w:uiPriority w:val="99"/>
    <w:pPr>
      <w:adjustRightInd w:val="0"/>
      <w:spacing w:line="240" w:lineRule="atLeast"/>
    </w:pPr>
    <w:rPr>
      <w:rFonts w:ascii="Times New Roman" w:hAnsi="Times New Roman" w:eastAsia="宋体" w:cs="Times New Roman"/>
      <w:kern w:val="0"/>
      <w:sz w:val="28"/>
      <w:szCs w:val="20"/>
    </w:rPr>
  </w:style>
  <w:style w:type="paragraph" w:customStyle="1" w:styleId="77">
    <w:name w:val="1guizs_正文"/>
    <w:basedOn w:val="1"/>
    <w:autoRedefine/>
    <w:qFormat/>
    <w:uiPriority w:val="99"/>
    <w:pPr>
      <w:ind w:firstLine="560" w:firstLineChars="200"/>
      <w:jc w:val="left"/>
    </w:pPr>
    <w:rPr>
      <w:rFonts w:ascii="Times New Roman" w:hAnsi="Times New Roman" w:eastAsia="楷体_GB2312" w:cs="宋体"/>
      <w:sz w:val="28"/>
      <w:szCs w:val="20"/>
    </w:rPr>
  </w:style>
  <w:style w:type="paragraph" w:customStyle="1" w:styleId="78">
    <w:name w:val="默认段落字体 Para Char Char Char Char"/>
    <w:basedOn w:val="1"/>
    <w:autoRedefine/>
    <w:qFormat/>
    <w:uiPriority w:val="99"/>
    <w:rPr>
      <w:rFonts w:ascii="Times New Roman" w:hAnsi="Times New Roman" w:eastAsia="宋体" w:cs="Times New Roman"/>
      <w:sz w:val="24"/>
      <w:szCs w:val="24"/>
    </w:rPr>
  </w:style>
  <w:style w:type="paragraph" w:customStyle="1" w:styleId="79">
    <w:name w:val="默认段落字体 Para Char Char Char Char Char Char Char Char Char Char"/>
    <w:basedOn w:val="1"/>
    <w:autoRedefine/>
    <w:qFormat/>
    <w:uiPriority w:val="99"/>
    <w:rPr>
      <w:rFonts w:ascii="Tahoma" w:hAnsi="Tahoma" w:eastAsia="宋体" w:cs="Times New Roman"/>
      <w:sz w:val="24"/>
      <w:szCs w:val="20"/>
    </w:rPr>
  </w:style>
  <w:style w:type="paragraph" w:customStyle="1" w:styleId="80">
    <w:name w:val="Char Char Char2 Char"/>
    <w:basedOn w:val="1"/>
    <w:autoRedefine/>
    <w:qFormat/>
    <w:uiPriority w:val="99"/>
    <w:pPr>
      <w:tabs>
        <w:tab w:val="left" w:pos="360"/>
        <w:tab w:val="left" w:pos="425"/>
      </w:tabs>
    </w:pPr>
    <w:rPr>
      <w:rFonts w:ascii="Times New Roman" w:hAnsi="Times New Roman" w:eastAsia="楷体_GB2312" w:cs="Times New Roman"/>
      <w:szCs w:val="20"/>
    </w:rPr>
  </w:style>
  <w:style w:type="paragraph" w:customStyle="1" w:styleId="81">
    <w:name w:val="1"/>
    <w:basedOn w:val="1"/>
    <w:autoRedefine/>
    <w:qFormat/>
    <w:uiPriority w:val="99"/>
    <w:pPr>
      <w:outlineLvl w:val="0"/>
    </w:pPr>
    <w:rPr>
      <w:rFonts w:ascii="Times New Roman" w:hAnsi="Times New Roman" w:eastAsia="黑体" w:cs="Times New Roman"/>
      <w:sz w:val="36"/>
      <w:szCs w:val="36"/>
    </w:rPr>
  </w:style>
  <w:style w:type="paragraph" w:customStyle="1" w:styleId="82">
    <w:name w:val="表"/>
    <w:basedOn w:val="1"/>
    <w:autoRedefine/>
    <w:qFormat/>
    <w:uiPriority w:val="99"/>
    <w:pPr>
      <w:snapToGrid w:val="0"/>
      <w:jc w:val="center"/>
    </w:pPr>
    <w:rPr>
      <w:rFonts w:ascii="Times New Roman" w:hAnsi="Times New Roman" w:eastAsia="宋体" w:cs="Times New Roman"/>
      <w:spacing w:val="2"/>
      <w:szCs w:val="20"/>
    </w:rPr>
  </w:style>
  <w:style w:type="paragraph" w:customStyle="1" w:styleId="83">
    <w:name w:val="表格样式2"/>
    <w:basedOn w:val="1"/>
    <w:autoRedefine/>
    <w:qFormat/>
    <w:uiPriority w:val="99"/>
    <w:pPr>
      <w:spacing w:line="460" w:lineRule="exact"/>
      <w:jc w:val="center"/>
    </w:pPr>
    <w:rPr>
      <w:rFonts w:ascii="Times New Roman" w:hAnsi="Times New Roman" w:eastAsia="宋体" w:cs="Times New Roman"/>
      <w:color w:val="000000"/>
      <w:sz w:val="24"/>
      <w:szCs w:val="21"/>
    </w:rPr>
  </w:style>
  <w:style w:type="paragraph" w:customStyle="1" w:styleId="84">
    <w:name w:val="Char Char1 Char Char Char Char Char Char Char Char Char Char Char Char Char Char Char Char Char Char"/>
    <w:basedOn w:val="1"/>
    <w:autoRedefine/>
    <w:qFormat/>
    <w:uiPriority w:val="99"/>
    <w:pPr>
      <w:spacing w:line="360" w:lineRule="auto"/>
      <w:ind w:firstLine="200" w:firstLineChars="200"/>
    </w:pPr>
    <w:rPr>
      <w:rFonts w:ascii="宋体" w:hAnsi="宋体" w:eastAsia="宋体" w:cs="宋体"/>
      <w:sz w:val="24"/>
      <w:szCs w:val="24"/>
    </w:rPr>
  </w:style>
  <w:style w:type="character" w:customStyle="1" w:styleId="85">
    <w:name w:val="正文文本 Char"/>
    <w:basedOn w:val="33"/>
    <w:autoRedefine/>
    <w:qFormat/>
    <w:uiPriority w:val="0"/>
    <w:rPr>
      <w:szCs w:val="24"/>
    </w:rPr>
  </w:style>
  <w:style w:type="character" w:customStyle="1" w:styleId="86">
    <w:name w:val="正文文本 字符"/>
    <w:basedOn w:val="33"/>
    <w:link w:val="2"/>
    <w:autoRedefine/>
    <w:semiHidden/>
    <w:qFormat/>
    <w:uiPriority w:val="99"/>
  </w:style>
  <w:style w:type="character" w:customStyle="1" w:styleId="87">
    <w:name w:val="纯文本 Char"/>
    <w:basedOn w:val="33"/>
    <w:autoRedefine/>
    <w:qFormat/>
    <w:uiPriority w:val="0"/>
    <w:rPr>
      <w:rFonts w:ascii="ˎ̥" w:hAnsi="ˎ̥"/>
      <w:sz w:val="18"/>
      <w:szCs w:val="18"/>
    </w:rPr>
  </w:style>
  <w:style w:type="character" w:customStyle="1" w:styleId="88">
    <w:name w:val="纯文本 字符"/>
    <w:basedOn w:val="33"/>
    <w:link w:val="13"/>
    <w:autoRedefine/>
    <w:qFormat/>
    <w:uiPriority w:val="99"/>
    <w:rPr>
      <w:rFonts w:ascii="宋体" w:hAnsi="Courier New" w:eastAsia="宋体" w:cs="Courier New"/>
      <w:szCs w:val="21"/>
    </w:rPr>
  </w:style>
  <w:style w:type="paragraph" w:customStyle="1" w:styleId="89">
    <w:name w:val="TOC 标题2"/>
    <w:basedOn w:val="4"/>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0">
    <w:name w:val="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1">
    <w:name w:val="Char Char1 Char Char Char1 Char Char Char Char Char Char Char Char Char Char Char Char Char Char"/>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2">
    <w:name w:val="Char Char1 Char Char Char1 Char Char Char Char Char Char Char Char Char Char Char Char Char Char1"/>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表格"/>
    <w:basedOn w:val="13"/>
    <w:next w:val="1"/>
    <w:link w:val="94"/>
    <w:autoRedefine/>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4">
    <w:name w:val="表格 Char"/>
    <w:basedOn w:val="33"/>
    <w:link w:val="93"/>
    <w:autoRedefine/>
    <w:qFormat/>
    <w:uiPriority w:val="0"/>
    <w:rPr>
      <w:rFonts w:ascii="宋体" w:hAnsi="宋体" w:eastAsia="宋体" w:cs="Times New Roman"/>
      <w:snapToGrid w:val="0"/>
      <w:kern w:val="0"/>
      <w:szCs w:val="20"/>
    </w:rPr>
  </w:style>
  <w:style w:type="paragraph" w:customStyle="1" w:styleId="95">
    <w:name w:val="Char Char1 Char Char Char1 Char Char Char Char Char Char Char Char Char Char Char Char Char Char2"/>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6">
    <w:name w:val="正文01 Char2"/>
    <w:autoRedefine/>
    <w:qFormat/>
    <w:uiPriority w:val="0"/>
    <w:rPr>
      <w:color w:val="000000"/>
      <w:sz w:val="24"/>
      <w:szCs w:val="21"/>
    </w:rPr>
  </w:style>
  <w:style w:type="paragraph" w:customStyle="1" w:styleId="9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正文文本缩进 2 字符"/>
    <w:basedOn w:val="33"/>
    <w:link w:val="17"/>
    <w:autoRedefine/>
    <w:qFormat/>
    <w:uiPriority w:val="99"/>
  </w:style>
  <w:style w:type="table" w:customStyle="1" w:styleId="99">
    <w:name w:val="TableGrid"/>
    <w:autoRedefine/>
    <w:qFormat/>
    <w:uiPriority w:val="0"/>
    <w:tblPr>
      <w:tblCellMar>
        <w:top w:w="0" w:type="dxa"/>
        <w:left w:w="0" w:type="dxa"/>
        <w:bottom w:w="0" w:type="dxa"/>
        <w:right w:w="0" w:type="dxa"/>
      </w:tblCellMar>
    </w:tblPr>
  </w:style>
  <w:style w:type="paragraph" w:customStyle="1" w:styleId="100">
    <w:name w:val="普通(网站)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
    <w:name w:val="导则正文"/>
    <w:basedOn w:val="1"/>
    <w:autoRedefine/>
    <w:qFormat/>
    <w:uiPriority w:val="0"/>
    <w:pPr>
      <w:ind w:firstLine="200" w:firstLineChars="200"/>
      <w:jc w:val="left"/>
    </w:pPr>
    <w:rPr>
      <w:rFonts w:ascii="Times New Roman" w:hAnsi="Times New Roman" w:eastAsia="宋体" w:cs="Times New Roman"/>
      <w:szCs w:val="21"/>
    </w:rPr>
  </w:style>
  <w:style w:type="character" w:customStyle="1" w:styleId="102">
    <w:name w:val="正文文本 (2)_"/>
    <w:basedOn w:val="33"/>
    <w:autoRedefine/>
    <w:qFormat/>
    <w:uiPriority w:val="0"/>
    <w:rPr>
      <w:rFonts w:ascii="黑体" w:hAnsi="黑体" w:eastAsia="黑体" w:cs="黑体"/>
      <w:sz w:val="22"/>
      <w:szCs w:val="22"/>
      <w:u w:val="none"/>
    </w:rPr>
  </w:style>
  <w:style w:type="character" w:customStyle="1" w:styleId="103">
    <w:name w:val="正文文本 (2)"/>
    <w:basedOn w:val="102"/>
    <w:autoRedefine/>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4">
    <w:name w:val="正文文本 (2) + 10 pt"/>
    <w:basedOn w:val="102"/>
    <w:autoRedefine/>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5">
    <w:name w:val="正文文本 (2) + 间距 1 pt"/>
    <w:basedOn w:val="102"/>
    <w:autoRedefine/>
    <w:qFormat/>
    <w:uiPriority w:val="0"/>
    <w:rPr>
      <w:rFonts w:ascii="黑体" w:hAnsi="黑体" w:eastAsia="黑体" w:cs="黑体"/>
      <w:spacing w:val="30"/>
      <w:sz w:val="22"/>
      <w:szCs w:val="22"/>
      <w:u w:val="none"/>
    </w:rPr>
  </w:style>
  <w:style w:type="character" w:customStyle="1" w:styleId="106">
    <w:name w:val="正文文本 (2) + Georgia"/>
    <w:basedOn w:val="102"/>
    <w:autoRedefine/>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7">
    <w:name w:val="正文文本 (2) + SimSun"/>
    <w:basedOn w:val="102"/>
    <w:autoRedefine/>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8">
    <w:name w:val="普通(网站)2"/>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Default"/>
    <w:basedOn w:val="110"/>
    <w:autoRedefine/>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0">
    <w:name w:val="纯文本1"/>
    <w:basedOn w:val="1"/>
    <w:autoRedefine/>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1">
    <w:name w:val="List Paragraph"/>
    <w:basedOn w:val="1"/>
    <w:autoRedefine/>
    <w:qFormat/>
    <w:uiPriority w:val="34"/>
    <w:pPr>
      <w:ind w:firstLine="420" w:firstLineChars="200"/>
    </w:pPr>
  </w:style>
  <w:style w:type="character" w:customStyle="1" w:styleId="112">
    <w:name w:val="样式1 Char Char"/>
    <w:link w:val="113"/>
    <w:autoRedefine/>
    <w:qFormat/>
    <w:uiPriority w:val="99"/>
    <w:rPr>
      <w:kern w:val="2"/>
      <w:sz w:val="24"/>
      <w:szCs w:val="24"/>
    </w:rPr>
  </w:style>
  <w:style w:type="paragraph" w:customStyle="1" w:styleId="113">
    <w:name w:val="样式1"/>
    <w:basedOn w:val="10"/>
    <w:link w:val="112"/>
    <w:autoRedefine/>
    <w:qFormat/>
    <w:uiPriority w:val="99"/>
    <w:pPr>
      <w:tabs>
        <w:tab w:val="clear" w:pos="2820"/>
        <w:tab w:val="clear" w:pos="2975"/>
        <w:tab w:val="clear" w:pos="4707"/>
      </w:tabs>
      <w:spacing w:line="360" w:lineRule="auto"/>
      <w:ind w:firstLine="480"/>
    </w:pPr>
    <w:rPr>
      <w:sz w:val="24"/>
    </w:rPr>
  </w:style>
  <w:style w:type="paragraph" w:customStyle="1" w:styleId="114">
    <w:name w:val="xl26"/>
    <w:basedOn w:val="1"/>
    <w:autoRedefine/>
    <w:qFormat/>
    <w:uiPriority w:val="99"/>
    <w:pPr>
      <w:spacing w:before="100" w:after="100"/>
      <w:jc w:val="center"/>
    </w:pPr>
    <w:rPr>
      <w:rFonts w:ascii="Calibri" w:hAnsi="Calibri" w:eastAsia="宋体" w:cs="Calibri"/>
      <w:szCs w:val="21"/>
    </w:rPr>
  </w:style>
  <w:style w:type="paragraph" w:customStyle="1" w:styleId="115">
    <w:name w:val="Table Paragraph"/>
    <w:basedOn w:val="1"/>
    <w:autoRedefine/>
    <w:qFormat/>
    <w:uiPriority w:val="1"/>
    <w:pPr>
      <w:jc w:val="left"/>
    </w:pPr>
    <w:rPr>
      <w:rFonts w:ascii="Calibri" w:hAnsi="Calibri" w:eastAsia="宋体" w:cs="Calibri"/>
      <w:kern w:val="0"/>
      <w:sz w:val="22"/>
    </w:rPr>
  </w:style>
  <w:style w:type="paragraph" w:customStyle="1" w:styleId="116">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7">
    <w:name w:val="报告正文-连续目录"/>
    <w:basedOn w:val="1"/>
    <w:link w:val="118"/>
    <w:autoRedefine/>
    <w:qFormat/>
    <w:uiPriority w:val="0"/>
    <w:pPr>
      <w:spacing w:line="440" w:lineRule="exact"/>
      <w:ind w:firstLine="200" w:firstLineChars="200"/>
    </w:pPr>
    <w:rPr>
      <w:rFonts w:ascii="Arial" w:hAnsi="Arial" w:eastAsia="宋体" w:cs="Arial"/>
      <w:kern w:val="0"/>
      <w:sz w:val="24"/>
      <w:szCs w:val="24"/>
    </w:rPr>
  </w:style>
  <w:style w:type="character" w:customStyle="1" w:styleId="118">
    <w:name w:val="报告正文-连续目录 Char Char"/>
    <w:link w:val="117"/>
    <w:autoRedefine/>
    <w:qFormat/>
    <w:uiPriority w:val="0"/>
    <w:rPr>
      <w:rFonts w:ascii="Arial" w:hAnsi="Arial" w:cs="Arial"/>
      <w:sz w:val="24"/>
      <w:szCs w:val="24"/>
    </w:rPr>
  </w:style>
  <w:style w:type="table" w:customStyle="1" w:styleId="119">
    <w:name w:val="网格型1"/>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1">
    <w:name w:val="网格型2"/>
    <w:basedOn w:val="31"/>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3"/>
    <w:basedOn w:val="31"/>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正文文本缩进 21"/>
    <w:basedOn w:val="1"/>
    <w:autoRedefine/>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4">
    <w:name w:val="网格型4"/>
    <w:basedOn w:val="31"/>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5"/>
    <w:basedOn w:val="31"/>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6">
    <w:name w:val="表中"/>
    <w:basedOn w:val="1"/>
    <w:autoRedefine/>
    <w:qFormat/>
    <w:uiPriority w:val="0"/>
    <w:pPr>
      <w:adjustRightInd w:val="0"/>
      <w:snapToGrid w:val="0"/>
      <w:spacing w:line="240" w:lineRule="atLeast"/>
      <w:jc w:val="center"/>
    </w:pPr>
    <w:rPr>
      <w:rFonts w:ascii="Times New Roman" w:hAnsi="Times New Roman" w:eastAsia="宋体" w:cs="Times New Roman"/>
      <w:szCs w:val="21"/>
    </w:rPr>
  </w:style>
  <w:style w:type="paragraph" w:customStyle="1" w:styleId="127">
    <w:name w:val="表格字体"/>
    <w:basedOn w:val="1"/>
    <w:autoRedefine/>
    <w:qFormat/>
    <w:uiPriority w:val="0"/>
    <w:pPr>
      <w:spacing w:line="400" w:lineRule="exact"/>
      <w:jc w:val="center"/>
    </w:pPr>
    <w:rPr>
      <w:rFonts w:ascii="仿宋_GB2312" w:eastAsia="仿宋_GB2312"/>
      <w:spacing w:val="2"/>
      <w:szCs w:val="20"/>
    </w:rPr>
  </w:style>
  <w:style w:type="paragraph" w:customStyle="1" w:styleId="128">
    <w:name w:val="Body Text 22"/>
    <w:basedOn w:val="1"/>
    <w:autoRedefine/>
    <w:qFormat/>
    <w:uiPriority w:val="0"/>
    <w:pPr>
      <w:adjustRightInd w:val="0"/>
      <w:spacing w:line="440" w:lineRule="atLeast"/>
      <w:ind w:firstLine="480"/>
      <w:textAlignment w:val="baseline"/>
    </w:pPr>
    <w:rPr>
      <w:rFonts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2.xml"/><Relationship Id="rId49" Type="http://schemas.openxmlformats.org/officeDocument/2006/relationships/image" Target="media/image31.jpeg"/><Relationship Id="rId48" Type="http://schemas.openxmlformats.org/officeDocument/2006/relationships/image" Target="media/image30.jpeg"/><Relationship Id="rId47" Type="http://schemas.openxmlformats.org/officeDocument/2006/relationships/image" Target="media/image29.jpeg"/><Relationship Id="rId46" Type="http://schemas.openxmlformats.org/officeDocument/2006/relationships/image" Target="media/image28.jpeg"/><Relationship Id="rId45" Type="http://schemas.openxmlformats.org/officeDocument/2006/relationships/image" Target="media/image27.jpeg"/><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header" Target="header1.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A3B9F-1A17-4184-852A-AC3A63742FF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94</Pages>
  <Words>29779</Words>
  <Characters>40101</Characters>
  <Lines>293</Lines>
  <Paragraphs>82</Paragraphs>
  <TotalTime>1</TotalTime>
  <ScaleCrop>false</ScaleCrop>
  <LinksUpToDate>false</LinksUpToDate>
  <CharactersWithSpaces>40707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2017-11-08T13:47:00Z</dcterms:created>
  <dc:creator>微软用户</dc:creator>
  <cp:lastModifiedBy>羽-中_翀</cp:lastModifiedBy>
  <cp:lastPrinted>2024-04-01T11:27:00Z</cp:lastPrinted>
  <dcterms:modified xsi:type="dcterms:W3CDTF">2024-06-13T13:08:36Z</dcterms:modified>
  <cp:revision>205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1B88508FE42D4EC8A040C3AF3D82CFBC</vt:lpwstr>
  </property>
</Properties>
</file>